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78499" w14:textId="2B2A6371" w:rsidR="002B613E" w:rsidRDefault="009C7743" w:rsidP="00E53515">
      <w:pPr>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МІНІСТЕРСТВО ОХОРОНИ ЗДОРОВ’Я УКРАЇНИ</w:t>
      </w:r>
    </w:p>
    <w:p w14:paraId="5242B4AE" w14:textId="6AC7D9C0" w:rsidR="002B613E" w:rsidRDefault="009C7743" w:rsidP="00E53515">
      <w:pPr>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4F2170A5" w14:textId="77777777" w:rsidR="002B613E" w:rsidRDefault="002B613E" w:rsidP="00E53515">
      <w:pPr>
        <w:jc w:val="center"/>
        <w:rPr>
          <w:rFonts w:ascii="Times New Roman" w:hAnsi="Times New Roman" w:cs="Times New Roman"/>
          <w:sz w:val="28"/>
          <w:szCs w:val="28"/>
          <w:lang w:val="uk-UA"/>
        </w:rPr>
      </w:pPr>
    </w:p>
    <w:p w14:paraId="6B1012C9" w14:textId="77777777" w:rsidR="002B613E" w:rsidRDefault="002B613E" w:rsidP="00E53515">
      <w:pPr>
        <w:jc w:val="center"/>
        <w:rPr>
          <w:rFonts w:ascii="Times New Roman" w:hAnsi="Times New Roman" w:cs="Times New Roman"/>
          <w:sz w:val="28"/>
          <w:szCs w:val="28"/>
          <w:lang w:val="uk-UA"/>
        </w:rPr>
      </w:pPr>
    </w:p>
    <w:p w14:paraId="72CD459B" w14:textId="77777777" w:rsidR="008919FB" w:rsidRDefault="008919FB" w:rsidP="00E53515">
      <w:pPr>
        <w:jc w:val="center"/>
        <w:rPr>
          <w:rFonts w:ascii="Times New Roman" w:hAnsi="Times New Roman" w:cs="Times New Roman"/>
          <w:sz w:val="28"/>
          <w:szCs w:val="28"/>
          <w:lang w:val="uk-UA"/>
        </w:rPr>
      </w:pPr>
    </w:p>
    <w:p w14:paraId="0E114980" w14:textId="77777777" w:rsidR="006D443C" w:rsidRPr="008A7106" w:rsidRDefault="006D443C" w:rsidP="006D443C">
      <w:pPr>
        <w:spacing w:after="0" w:line="360" w:lineRule="auto"/>
        <w:ind w:firstLine="6521"/>
        <w:rPr>
          <w:lang w:val="ru-RU"/>
        </w:rPr>
      </w:pPr>
      <w:r w:rsidRPr="008A7106">
        <w:rPr>
          <w:rFonts w:ascii="Times New Roman" w:hAnsi="Times New Roman" w:cs="Times New Roman"/>
          <w:sz w:val="28"/>
          <w:szCs w:val="28"/>
          <w:lang w:val="ru-RU"/>
        </w:rPr>
        <w:t xml:space="preserve">Кваліфікаційна наукова </w:t>
      </w:r>
    </w:p>
    <w:p w14:paraId="62AD95AA" w14:textId="483D75A9" w:rsidR="002B613E" w:rsidRDefault="006D443C" w:rsidP="006D443C">
      <w:pPr>
        <w:ind w:firstLine="6521"/>
        <w:jc w:val="right"/>
        <w:rPr>
          <w:rFonts w:ascii="Times New Roman" w:hAnsi="Times New Roman" w:cs="Times New Roman"/>
          <w:sz w:val="28"/>
          <w:szCs w:val="28"/>
          <w:lang w:val="ru-RU"/>
        </w:rPr>
      </w:pPr>
      <w:r w:rsidRPr="006D443C">
        <w:rPr>
          <w:rFonts w:ascii="Times New Roman" w:hAnsi="Times New Roman" w:cs="Times New Roman"/>
          <w:sz w:val="28"/>
          <w:szCs w:val="28"/>
          <w:lang w:val="ru-RU"/>
        </w:rPr>
        <w:t>праця на правах рукопису</w:t>
      </w:r>
    </w:p>
    <w:p w14:paraId="7F1A7D66" w14:textId="77777777" w:rsidR="007923B1" w:rsidRPr="009C7743" w:rsidRDefault="007923B1" w:rsidP="006D443C">
      <w:pPr>
        <w:ind w:firstLine="6521"/>
        <w:jc w:val="right"/>
        <w:rPr>
          <w:rFonts w:ascii="Times New Roman" w:hAnsi="Times New Roman" w:cs="Times New Roman"/>
          <w:i/>
          <w:sz w:val="28"/>
          <w:szCs w:val="28"/>
          <w:lang w:val="uk-UA"/>
        </w:rPr>
      </w:pPr>
    </w:p>
    <w:p w14:paraId="38538349" w14:textId="6F6E7267" w:rsidR="002B613E" w:rsidRDefault="002B613E" w:rsidP="00E53515">
      <w:pPr>
        <w:jc w:val="center"/>
        <w:rPr>
          <w:rFonts w:ascii="Times New Roman" w:hAnsi="Times New Roman" w:cs="Times New Roman"/>
          <w:sz w:val="28"/>
          <w:szCs w:val="28"/>
          <w:lang w:val="uk-UA"/>
        </w:rPr>
      </w:pPr>
      <w:r>
        <w:rPr>
          <w:rFonts w:ascii="Times New Roman" w:hAnsi="Times New Roman" w:cs="Times New Roman"/>
          <w:sz w:val="28"/>
          <w:szCs w:val="28"/>
          <w:lang w:val="uk-UA"/>
        </w:rPr>
        <w:t>Кривенко Людмила Станіславівна</w:t>
      </w:r>
    </w:p>
    <w:p w14:paraId="15802093" w14:textId="77777777" w:rsidR="002B613E" w:rsidRDefault="002B613E" w:rsidP="00E53515">
      <w:pPr>
        <w:jc w:val="center"/>
        <w:rPr>
          <w:rFonts w:ascii="Times New Roman" w:hAnsi="Times New Roman" w:cs="Times New Roman"/>
          <w:sz w:val="28"/>
          <w:szCs w:val="28"/>
          <w:lang w:val="uk-UA"/>
        </w:rPr>
      </w:pPr>
    </w:p>
    <w:p w14:paraId="29A4CAAB" w14:textId="77777777" w:rsidR="008919FB" w:rsidRDefault="008919FB" w:rsidP="00E53515">
      <w:pPr>
        <w:jc w:val="center"/>
        <w:rPr>
          <w:rFonts w:ascii="Times New Roman" w:hAnsi="Times New Roman" w:cs="Times New Roman"/>
          <w:sz w:val="28"/>
          <w:szCs w:val="28"/>
          <w:lang w:val="uk-UA"/>
        </w:rPr>
      </w:pPr>
    </w:p>
    <w:p w14:paraId="20B0E35B" w14:textId="772A87BE" w:rsidR="00E53515" w:rsidRPr="007923B1" w:rsidRDefault="00E53515" w:rsidP="007923B1">
      <w:pPr>
        <w:jc w:val="center"/>
        <w:rPr>
          <w:rFonts w:ascii="Times New Roman" w:hAnsi="Times New Roman" w:cs="Times New Roman"/>
          <w:sz w:val="28"/>
          <w:szCs w:val="28"/>
          <w:lang w:val="ru-RU"/>
        </w:rPr>
      </w:pPr>
      <w:r>
        <w:rPr>
          <w:rFonts w:ascii="Times New Roman" w:hAnsi="Times New Roman" w:cs="Times New Roman"/>
          <w:sz w:val="28"/>
          <w:szCs w:val="28"/>
          <w:lang w:val="uk-UA"/>
        </w:rPr>
        <w:t>УДК</w:t>
      </w:r>
      <w:r w:rsidR="003B4ECB" w:rsidRPr="00F554F3">
        <w:rPr>
          <w:rFonts w:ascii="Times New Roman" w:hAnsi="Times New Roman" w:cs="Times New Roman"/>
          <w:sz w:val="28"/>
          <w:szCs w:val="28"/>
          <w:lang w:val="ru-RU"/>
        </w:rPr>
        <w:t xml:space="preserve"> 616</w:t>
      </w:r>
      <w:r w:rsidR="003B4ECB">
        <w:rPr>
          <w:rFonts w:ascii="Times New Roman" w:hAnsi="Times New Roman" w:cs="Times New Roman"/>
          <w:sz w:val="28"/>
          <w:szCs w:val="28"/>
          <w:lang w:val="ru-RU"/>
        </w:rPr>
        <w:t>.311.2-002-053.2-07-084:616.5-002:616.248:616.211-002</w:t>
      </w:r>
    </w:p>
    <w:p w14:paraId="31FFCB54" w14:textId="77777777" w:rsidR="008919FB" w:rsidRDefault="008919FB" w:rsidP="00E53515">
      <w:pPr>
        <w:jc w:val="center"/>
        <w:rPr>
          <w:rFonts w:ascii="Times New Roman" w:hAnsi="Times New Roman" w:cs="Times New Roman"/>
          <w:sz w:val="28"/>
          <w:szCs w:val="28"/>
          <w:lang w:val="uk-UA"/>
        </w:rPr>
      </w:pPr>
    </w:p>
    <w:p w14:paraId="5ABA42A8" w14:textId="748C820A" w:rsidR="00E53515" w:rsidRPr="009C7743" w:rsidRDefault="009C7743" w:rsidP="00E53515">
      <w:pPr>
        <w:jc w:val="center"/>
        <w:rPr>
          <w:rFonts w:ascii="Times New Roman" w:hAnsi="Times New Roman" w:cs="Times New Roman"/>
          <w:b/>
          <w:sz w:val="28"/>
          <w:szCs w:val="28"/>
          <w:lang w:val="uk-UA"/>
        </w:rPr>
      </w:pPr>
      <w:r w:rsidRPr="009C7743">
        <w:rPr>
          <w:rFonts w:ascii="Times New Roman" w:hAnsi="Times New Roman" w:cs="Times New Roman"/>
          <w:b/>
          <w:sz w:val="28"/>
          <w:szCs w:val="28"/>
          <w:lang w:val="uk-UA"/>
        </w:rPr>
        <w:t>ГІНГІВІТ У ДІТЕЙ З АТОПІЧНИМИ ЗАХВОРЮВАННЯМИ</w:t>
      </w:r>
    </w:p>
    <w:p w14:paraId="7DCCFCF8" w14:textId="72F0AA3C" w:rsidR="00E53515" w:rsidRPr="009C7743" w:rsidRDefault="009C7743" w:rsidP="00E53515">
      <w:pPr>
        <w:jc w:val="center"/>
        <w:rPr>
          <w:rFonts w:ascii="Times New Roman" w:hAnsi="Times New Roman" w:cs="Times New Roman"/>
          <w:b/>
          <w:sz w:val="28"/>
          <w:szCs w:val="28"/>
          <w:lang w:val="uk-UA"/>
        </w:rPr>
      </w:pPr>
      <w:r w:rsidRPr="009C7743">
        <w:rPr>
          <w:rFonts w:ascii="Times New Roman" w:hAnsi="Times New Roman" w:cs="Times New Roman"/>
          <w:b/>
          <w:sz w:val="28"/>
          <w:szCs w:val="28"/>
          <w:lang w:val="uk-UA"/>
        </w:rPr>
        <w:t>(КЛІНІКА, ДІАГНОСТИКА, ПРОФІЛАКТИКА ТА ЛІКУВАННЯ)</w:t>
      </w:r>
    </w:p>
    <w:p w14:paraId="2C03EADF" w14:textId="77777777" w:rsidR="00E53515" w:rsidRDefault="00E53515" w:rsidP="00E53515">
      <w:pPr>
        <w:jc w:val="center"/>
        <w:rPr>
          <w:rFonts w:ascii="Times New Roman" w:hAnsi="Times New Roman" w:cs="Times New Roman"/>
          <w:sz w:val="28"/>
          <w:szCs w:val="28"/>
          <w:lang w:val="uk-UA"/>
        </w:rPr>
      </w:pPr>
    </w:p>
    <w:p w14:paraId="3D2831C1" w14:textId="48DE8583" w:rsidR="008919FB" w:rsidRDefault="000A157E" w:rsidP="006D443C">
      <w:pPr>
        <w:jc w:val="center"/>
        <w:rPr>
          <w:rFonts w:ascii="Times New Roman" w:hAnsi="Times New Roman" w:cs="Times New Roman"/>
          <w:sz w:val="28"/>
          <w:szCs w:val="28"/>
          <w:lang w:val="uk-UA"/>
        </w:rPr>
      </w:pPr>
      <w:r>
        <w:rPr>
          <w:rFonts w:ascii="Times New Roman" w:hAnsi="Times New Roman" w:cs="Times New Roman"/>
          <w:sz w:val="28"/>
          <w:szCs w:val="28"/>
          <w:lang w:val="uk-UA"/>
        </w:rPr>
        <w:t>14.01.22</w:t>
      </w:r>
      <w:r w:rsidR="00E53515">
        <w:rPr>
          <w:rFonts w:ascii="Times New Roman" w:hAnsi="Times New Roman" w:cs="Times New Roman"/>
          <w:sz w:val="28"/>
          <w:szCs w:val="28"/>
          <w:lang w:val="uk-UA"/>
        </w:rPr>
        <w:t xml:space="preserve"> Стоматологія</w:t>
      </w:r>
    </w:p>
    <w:p w14:paraId="4A098397" w14:textId="77777777" w:rsidR="008919FB" w:rsidRDefault="008919FB" w:rsidP="00E53515">
      <w:pPr>
        <w:jc w:val="center"/>
        <w:rPr>
          <w:rFonts w:ascii="Times New Roman" w:hAnsi="Times New Roman" w:cs="Times New Roman"/>
          <w:sz w:val="28"/>
          <w:szCs w:val="28"/>
          <w:lang w:val="uk-UA"/>
        </w:rPr>
      </w:pPr>
    </w:p>
    <w:p w14:paraId="7B27D2CC" w14:textId="6FCED60C" w:rsidR="002B613E" w:rsidRPr="006D443C" w:rsidRDefault="006D443C" w:rsidP="00E53515">
      <w:pPr>
        <w:jc w:val="center"/>
        <w:rPr>
          <w:rFonts w:ascii="Times New Roman" w:hAnsi="Times New Roman" w:cs="Times New Roman"/>
          <w:sz w:val="28"/>
          <w:szCs w:val="28"/>
          <w:lang w:val="uk-UA"/>
        </w:rPr>
      </w:pPr>
      <w:r w:rsidRPr="006D443C">
        <w:rPr>
          <w:rFonts w:ascii="Times New Roman" w:hAnsi="Times New Roman" w:cs="Times New Roman"/>
          <w:sz w:val="28"/>
          <w:szCs w:val="28"/>
          <w:lang w:val="ru-RU"/>
        </w:rPr>
        <w:t>Подається на здобуття наукового ступеня</w:t>
      </w:r>
      <w:r>
        <w:rPr>
          <w:rFonts w:ascii="Times New Roman" w:hAnsi="Times New Roman" w:cs="Times New Roman"/>
          <w:sz w:val="28"/>
          <w:szCs w:val="28"/>
          <w:lang w:val="uk-UA"/>
        </w:rPr>
        <w:t xml:space="preserve"> доктора медичних наук</w:t>
      </w:r>
    </w:p>
    <w:p w14:paraId="656220D5" w14:textId="77777777" w:rsidR="00E53515" w:rsidRDefault="00E53515" w:rsidP="00E53515">
      <w:pPr>
        <w:jc w:val="center"/>
        <w:rPr>
          <w:rFonts w:ascii="Times New Roman" w:hAnsi="Times New Roman" w:cs="Times New Roman"/>
          <w:sz w:val="28"/>
          <w:szCs w:val="28"/>
          <w:lang w:val="uk-UA"/>
        </w:rPr>
      </w:pPr>
    </w:p>
    <w:p w14:paraId="1BB4E0BD" w14:textId="443856E0" w:rsidR="006D443C" w:rsidRPr="006D443C" w:rsidRDefault="006D443C" w:rsidP="006D443C">
      <w:pPr>
        <w:spacing w:after="0" w:line="360" w:lineRule="auto"/>
        <w:ind w:right="140"/>
        <w:jc w:val="both"/>
        <w:rPr>
          <w:lang w:val="ru-RU"/>
        </w:rPr>
      </w:pPr>
      <w:r w:rsidRPr="006D443C">
        <w:rPr>
          <w:rFonts w:ascii="Times New Roman" w:hAnsi="Times New Roman" w:cs="Times New Roman"/>
          <w:sz w:val="28"/>
          <w:szCs w:val="28"/>
          <w:lang w:val="ru-RU"/>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Pr>
          <w:rFonts w:ascii="Times New Roman" w:hAnsi="Times New Roman" w:cs="Times New Roman"/>
          <w:sz w:val="28"/>
          <w:szCs w:val="28"/>
          <w:lang w:val="ru-RU"/>
        </w:rPr>
        <w:t>Л. С. Кривенко</w:t>
      </w:r>
    </w:p>
    <w:p w14:paraId="051E6697" w14:textId="2B48D716" w:rsidR="006D443C" w:rsidRPr="006D443C" w:rsidRDefault="006D443C" w:rsidP="006D443C">
      <w:pPr>
        <w:spacing w:after="0" w:line="360" w:lineRule="auto"/>
        <w:jc w:val="both"/>
        <w:rPr>
          <w:sz w:val="20"/>
          <w:szCs w:val="20"/>
          <w:lang w:val="ru-RU"/>
        </w:rPr>
      </w:pPr>
    </w:p>
    <w:p w14:paraId="7A525D9C" w14:textId="77777777" w:rsidR="006D443C" w:rsidRPr="006D443C" w:rsidRDefault="006D443C" w:rsidP="006D443C">
      <w:pPr>
        <w:spacing w:after="0" w:line="360" w:lineRule="auto"/>
        <w:jc w:val="both"/>
        <w:rPr>
          <w:lang w:val="ru-RU"/>
        </w:rPr>
      </w:pPr>
    </w:p>
    <w:p w14:paraId="44DE10B3" w14:textId="0CA183C5" w:rsidR="006D443C" w:rsidRPr="006D443C" w:rsidRDefault="006D443C" w:rsidP="006D443C">
      <w:pPr>
        <w:spacing w:after="0" w:line="360" w:lineRule="auto"/>
        <w:jc w:val="both"/>
        <w:rPr>
          <w:lang w:val="ru-RU"/>
        </w:rPr>
      </w:pPr>
      <w:r w:rsidRPr="006D443C">
        <w:rPr>
          <w:rFonts w:ascii="Times New Roman" w:hAnsi="Times New Roman" w:cs="Times New Roman"/>
          <w:sz w:val="28"/>
          <w:szCs w:val="28"/>
          <w:lang w:val="ru-RU"/>
        </w:rPr>
        <w:t>Науковий консультант</w:t>
      </w:r>
      <w:r>
        <w:rPr>
          <w:rFonts w:ascii="Times New Roman" w:hAnsi="Times New Roman" w:cs="Times New Roman"/>
          <w:sz w:val="28"/>
          <w:szCs w:val="28"/>
          <w:lang w:val="uk-UA"/>
        </w:rPr>
        <w:t>: Назарян Розана Степанівна, д.мед.н., професор</w:t>
      </w:r>
      <w:r w:rsidRPr="006D443C">
        <w:rPr>
          <w:rFonts w:ascii="Times New Roman" w:hAnsi="Times New Roman" w:cs="Times New Roman"/>
          <w:sz w:val="28"/>
          <w:szCs w:val="28"/>
          <w:lang w:val="ru-RU"/>
        </w:rPr>
        <w:t xml:space="preserve"> </w:t>
      </w:r>
    </w:p>
    <w:p w14:paraId="61854253" w14:textId="24703B83" w:rsidR="009C7743" w:rsidRDefault="009C7743" w:rsidP="006D443C">
      <w:pPr>
        <w:rPr>
          <w:rFonts w:ascii="Times New Roman" w:hAnsi="Times New Roman" w:cs="Times New Roman"/>
          <w:sz w:val="20"/>
          <w:szCs w:val="20"/>
          <w:lang w:val="ru-RU"/>
        </w:rPr>
      </w:pPr>
    </w:p>
    <w:p w14:paraId="66152E21" w14:textId="77777777" w:rsidR="006D443C" w:rsidRDefault="006D443C" w:rsidP="006D443C">
      <w:pPr>
        <w:rPr>
          <w:rFonts w:ascii="Times New Roman" w:hAnsi="Times New Roman" w:cs="Times New Roman"/>
          <w:sz w:val="20"/>
          <w:szCs w:val="20"/>
          <w:lang w:val="ru-RU"/>
        </w:rPr>
      </w:pPr>
    </w:p>
    <w:p w14:paraId="559786C6" w14:textId="53F55091" w:rsidR="006D443C" w:rsidRPr="006D443C" w:rsidRDefault="006D443C" w:rsidP="006D443C">
      <w:pPr>
        <w:jc w:val="center"/>
        <w:rPr>
          <w:rFonts w:ascii="Times New Roman" w:hAnsi="Times New Roman" w:cs="Times New Roman"/>
          <w:sz w:val="28"/>
          <w:szCs w:val="28"/>
          <w:lang w:val="ru-RU"/>
        </w:rPr>
      </w:pPr>
      <w:r>
        <w:rPr>
          <w:rFonts w:ascii="Times New Roman" w:hAnsi="Times New Roman" w:cs="Times New Roman"/>
          <w:sz w:val="28"/>
          <w:szCs w:val="28"/>
          <w:lang w:val="ru-RU"/>
        </w:rPr>
        <w:t>Харків 2018</w:t>
      </w:r>
    </w:p>
    <w:p w14:paraId="44B6A983" w14:textId="2F8394CE" w:rsidR="002B613E" w:rsidRDefault="002B613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069A95E" w14:textId="1A00A6C9" w:rsidR="006D443C" w:rsidRDefault="006D443C" w:rsidP="00FE3AAE">
      <w:pPr>
        <w:spacing w:after="0" w:line="360" w:lineRule="auto"/>
        <w:jc w:val="center"/>
        <w:rPr>
          <w:rFonts w:ascii="Times New Roman" w:hAnsi="Times New Roman" w:cs="Times New Roman"/>
          <w:b/>
          <w:sz w:val="28"/>
          <w:szCs w:val="28"/>
          <w:lang w:val="uk-UA"/>
        </w:rPr>
      </w:pPr>
      <w:r w:rsidRPr="006D443C">
        <w:rPr>
          <w:rFonts w:ascii="Times New Roman" w:hAnsi="Times New Roman" w:cs="Times New Roman"/>
          <w:b/>
          <w:sz w:val="28"/>
          <w:szCs w:val="28"/>
          <w:lang w:val="uk-UA"/>
        </w:rPr>
        <w:lastRenderedPageBreak/>
        <w:t>АНОТАЦІЯ</w:t>
      </w:r>
    </w:p>
    <w:p w14:paraId="6075474A" w14:textId="77777777" w:rsidR="00E24DEC" w:rsidRPr="006D443C" w:rsidRDefault="00E24DEC" w:rsidP="00FE3AAE">
      <w:pPr>
        <w:spacing w:after="0" w:line="360" w:lineRule="auto"/>
        <w:jc w:val="center"/>
        <w:rPr>
          <w:rFonts w:ascii="Times New Roman" w:hAnsi="Times New Roman" w:cs="Times New Roman"/>
          <w:b/>
          <w:sz w:val="28"/>
          <w:szCs w:val="28"/>
          <w:lang w:val="uk-UA"/>
        </w:rPr>
      </w:pPr>
    </w:p>
    <w:p w14:paraId="260B35DA" w14:textId="4F47C826" w:rsidR="006D443C" w:rsidRDefault="00FE3AAE" w:rsidP="00813E93">
      <w:pPr>
        <w:spacing w:after="0" w:line="360" w:lineRule="auto"/>
        <w:ind w:firstLine="709"/>
        <w:jc w:val="both"/>
        <w:rPr>
          <w:rFonts w:ascii="Times New Roman" w:hAnsi="Times New Roman" w:cs="Times New Roman"/>
          <w:sz w:val="28"/>
          <w:szCs w:val="28"/>
          <w:lang w:val="uk-UA"/>
        </w:rPr>
      </w:pPr>
      <w:r w:rsidRPr="00FE3AAE">
        <w:rPr>
          <w:rFonts w:ascii="Times New Roman" w:hAnsi="Times New Roman" w:cs="Times New Roman"/>
          <w:i/>
          <w:sz w:val="28"/>
          <w:szCs w:val="28"/>
          <w:lang w:val="uk-UA"/>
        </w:rPr>
        <w:t>Кривенко Л.С.</w:t>
      </w:r>
      <w:r>
        <w:rPr>
          <w:rFonts w:ascii="Times New Roman" w:hAnsi="Times New Roman" w:cs="Times New Roman"/>
          <w:sz w:val="28"/>
          <w:szCs w:val="28"/>
          <w:lang w:val="uk-UA"/>
        </w:rPr>
        <w:t xml:space="preserve"> Гінгівіт у дітей з атопічними захворюваннями (клініка, діагностика, профілактика та лікування). </w:t>
      </w:r>
      <w:r w:rsidRPr="00FE3AAE">
        <w:rPr>
          <w:rFonts w:ascii="Times New Roman" w:hAnsi="Times New Roman" w:cs="Times New Roman"/>
          <w:sz w:val="28"/>
          <w:szCs w:val="28"/>
          <w:lang w:val="uk-UA"/>
        </w:rPr>
        <w:t>Кваліфікаційна наукова праця на правах рукопису</w:t>
      </w:r>
      <w:r>
        <w:rPr>
          <w:rFonts w:ascii="Times New Roman" w:hAnsi="Times New Roman" w:cs="Times New Roman"/>
          <w:sz w:val="28"/>
          <w:szCs w:val="28"/>
          <w:lang w:val="uk-UA"/>
        </w:rPr>
        <w:t xml:space="preserve">. </w:t>
      </w:r>
    </w:p>
    <w:p w14:paraId="0FD632AC" w14:textId="40E3D40D" w:rsidR="00FE3AAE" w:rsidRDefault="00FE3AAE" w:rsidP="00813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Дисертація на здобуття наукового ступеня доктора медичних наук за спеціальністю 14.01.22</w:t>
      </w:r>
      <w:r w:rsidR="00813E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E3DAD">
        <w:rPr>
          <w:rFonts w:ascii="Times New Roman" w:hAnsi="Times New Roman" w:cs="Times New Roman"/>
          <w:sz w:val="28"/>
          <w:szCs w:val="28"/>
          <w:lang w:val="uk-UA"/>
        </w:rPr>
        <w:t>с</w:t>
      </w:r>
      <w:r w:rsidR="00813E93" w:rsidRPr="008A7106">
        <w:rPr>
          <w:rFonts w:ascii="Times New Roman" w:hAnsi="Times New Roman" w:cs="Times New Roman"/>
          <w:sz w:val="28"/>
          <w:szCs w:val="28"/>
          <w:lang w:val="uk-UA"/>
        </w:rPr>
        <w:t>томатолог</w:t>
      </w:r>
      <w:r w:rsidR="00813E93">
        <w:rPr>
          <w:rFonts w:ascii="Times New Roman" w:hAnsi="Times New Roman" w:cs="Times New Roman"/>
          <w:sz w:val="28"/>
          <w:szCs w:val="28"/>
          <w:lang w:val="uk-UA"/>
        </w:rPr>
        <w:t>ія. – Харківський національний медичний університет МОЗ України, Харків, 2018.</w:t>
      </w:r>
    </w:p>
    <w:p w14:paraId="19D1F59B" w14:textId="14514334" w:rsidR="00813E93" w:rsidRDefault="009141C4" w:rsidP="009141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роботи була </w:t>
      </w:r>
      <w:r>
        <w:rPr>
          <w:rFonts w:ascii="Times New Roman" w:hAnsi="Times New Roman"/>
          <w:sz w:val="28"/>
          <w:szCs w:val="28"/>
          <w:lang w:val="uk-UA"/>
        </w:rPr>
        <w:t>розробка концептуально нової</w:t>
      </w:r>
      <w:r w:rsidRPr="00DD39D0">
        <w:rPr>
          <w:rFonts w:ascii="Times New Roman" w:hAnsi="Times New Roman"/>
          <w:sz w:val="28"/>
          <w:szCs w:val="28"/>
          <w:lang w:val="uk-UA"/>
        </w:rPr>
        <w:t xml:space="preserve"> </w:t>
      </w:r>
      <w:r>
        <w:rPr>
          <w:rFonts w:ascii="Times New Roman" w:hAnsi="Times New Roman"/>
          <w:sz w:val="28"/>
          <w:szCs w:val="28"/>
          <w:lang w:val="uk-UA"/>
        </w:rPr>
        <w:t>програми лікування та профілактики</w:t>
      </w:r>
      <w:r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Pr>
          <w:rFonts w:ascii="Times New Roman" w:hAnsi="Times New Roman"/>
          <w:sz w:val="28"/>
          <w:szCs w:val="28"/>
          <w:lang w:val="uk-UA"/>
        </w:rPr>
        <w:t xml:space="preserve">гінгівіту </w:t>
      </w:r>
      <w:r w:rsidRPr="00DD39D0">
        <w:rPr>
          <w:rFonts w:ascii="Times New Roman" w:hAnsi="Times New Roman"/>
          <w:sz w:val="28"/>
          <w:szCs w:val="28"/>
          <w:lang w:val="uk-UA"/>
        </w:rPr>
        <w:t>та диференційованої корекції імунометаболічних ланок</w:t>
      </w:r>
      <w:r>
        <w:rPr>
          <w:rFonts w:ascii="Times New Roman" w:hAnsi="Times New Roman"/>
          <w:sz w:val="28"/>
          <w:szCs w:val="28"/>
          <w:lang w:val="uk-UA"/>
        </w:rPr>
        <w:t xml:space="preserve"> його патогенезу</w:t>
      </w:r>
      <w:r w:rsidR="00813E93">
        <w:rPr>
          <w:rFonts w:ascii="Times New Roman" w:hAnsi="Times New Roman" w:cs="Times New Roman"/>
          <w:sz w:val="28"/>
          <w:szCs w:val="28"/>
          <w:lang w:val="uk-UA"/>
        </w:rPr>
        <w:t>.</w:t>
      </w:r>
      <w:r w:rsidR="00476D71">
        <w:rPr>
          <w:rFonts w:ascii="Times New Roman" w:hAnsi="Times New Roman" w:cs="Times New Roman"/>
          <w:sz w:val="28"/>
          <w:szCs w:val="28"/>
          <w:lang w:val="uk-UA"/>
        </w:rPr>
        <w:t xml:space="preserve"> Для вирішення поставленої мети були використані клінічні, експериментальні, біохімічні, клініко-лабораторні, генетичні, цитоморфологічні, імуногістохімічні, клініко-статистичні методи дослідження.</w:t>
      </w:r>
    </w:p>
    <w:p w14:paraId="100DB4E9" w14:textId="77777777" w:rsidR="00813E93" w:rsidRDefault="00813E93" w:rsidP="00813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новизна проведеного дослідження полягає у вирішенні проблеми прогнозу,</w:t>
      </w:r>
      <w:r w:rsidRPr="00893FF6">
        <w:rPr>
          <w:rFonts w:ascii="Times New Roman" w:hAnsi="Times New Roman" w:cs="Times New Roman"/>
          <w:sz w:val="28"/>
          <w:szCs w:val="28"/>
          <w:lang w:val="uk-UA"/>
        </w:rPr>
        <w:t xml:space="preserve"> </w:t>
      </w:r>
      <w:r>
        <w:rPr>
          <w:rFonts w:ascii="Times New Roman" w:hAnsi="Times New Roman" w:cs="Times New Roman"/>
          <w:sz w:val="28"/>
          <w:szCs w:val="28"/>
          <w:lang w:val="uk-UA"/>
        </w:rPr>
        <w:t>ранньої діагностики, профілактики та лікування гінгівіту у дітей на тлі атопічних захворювань, що досягнуто за рахунок комплексного дослідження клінічного, імунологічіного та антиоксидантного статусу даного контингенту та регресійного аналізу отриманих даних.</w:t>
      </w:r>
    </w:p>
    <w:p w14:paraId="4675CA46" w14:textId="13FEFF1C" w:rsidR="001C4CF0" w:rsidRDefault="00813E93" w:rsidP="001C4CF0">
      <w:pPr>
        <w:spacing w:after="0" w:line="360" w:lineRule="auto"/>
        <w:ind w:firstLine="709"/>
        <w:jc w:val="both"/>
        <w:rPr>
          <w:rFonts w:ascii="Times New Roman" w:hAnsi="Times New Roman" w:cs="Times New Roman"/>
          <w:sz w:val="28"/>
          <w:szCs w:val="28"/>
          <w:lang w:val="uk-UA"/>
        </w:rPr>
      </w:pPr>
      <w:r w:rsidRPr="00813E93">
        <w:rPr>
          <w:rFonts w:ascii="Times New Roman" w:hAnsi="Times New Roman" w:cs="Times New Roman"/>
          <w:sz w:val="28"/>
          <w:szCs w:val="28"/>
          <w:lang w:val="uk-UA"/>
        </w:rPr>
        <w:t xml:space="preserve">Вивчені показники клінічного стоматологічного статусу у дітей з гінгівітом та провідні етіологічні чинники розвитку гінгівіту у дітей на тлі атопічних захворювань. Встановлено, що у дітей з атопічними захворюваннями ступінь запалення тканин пародонту за індексом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та РМА достовірно вищий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дорівнював 2.11 ± 0.22 бали та РМА дорівнював 21.14 ± 1.86 %), ніж у дітей без </w:t>
      </w:r>
      <w:r w:rsidR="001C4CF0">
        <w:rPr>
          <w:rFonts w:ascii="Times New Roman" w:hAnsi="Times New Roman" w:cs="Times New Roman"/>
          <w:sz w:val="28"/>
          <w:szCs w:val="28"/>
          <w:lang w:val="uk-UA"/>
        </w:rPr>
        <w:t>атопічних захворювань</w:t>
      </w:r>
      <w:r w:rsidRPr="00813E93">
        <w:rPr>
          <w:rFonts w:ascii="Times New Roman" w:hAnsi="Times New Roman" w:cs="Times New Roman"/>
          <w:sz w:val="28"/>
          <w:szCs w:val="28"/>
          <w:lang w:val="uk-UA"/>
        </w:rPr>
        <w:t xml:space="preserve">, де </w:t>
      </w:r>
      <w:r w:rsidRPr="00813E93">
        <w:rPr>
          <w:rFonts w:ascii="Times New Roman" w:hAnsi="Times New Roman" w:cs="Times New Roman"/>
          <w:sz w:val="28"/>
          <w:szCs w:val="28"/>
        </w:rPr>
        <w:t>SBI</w:t>
      </w:r>
      <w:r w:rsidRPr="00813E93">
        <w:rPr>
          <w:rFonts w:ascii="Times New Roman" w:hAnsi="Times New Roman" w:cs="Times New Roman"/>
          <w:sz w:val="28"/>
          <w:szCs w:val="28"/>
          <w:lang w:val="uk-UA"/>
        </w:rPr>
        <w:t xml:space="preserve"> знаходився на рівні 0.48 ± 0.21 бали, РМА - на рівні </w:t>
      </w:r>
      <w:r w:rsidRPr="00813E93">
        <w:rPr>
          <w:rFonts w:ascii="Times New Roman" w:hAnsi="Times New Roman"/>
          <w:sz w:val="28"/>
          <w:szCs w:val="28"/>
          <w:lang w:val="uk-UA"/>
        </w:rPr>
        <w:t xml:space="preserve">6.03 </w:t>
      </w:r>
      <w:r w:rsidRPr="00813E93">
        <w:rPr>
          <w:rFonts w:ascii="Times New Roman" w:hAnsi="Times New Roman" w:cs="Times New Roman"/>
          <w:sz w:val="28"/>
          <w:szCs w:val="28"/>
          <w:lang w:val="uk-UA"/>
        </w:rPr>
        <w:t xml:space="preserve">± </w:t>
      </w:r>
      <w:r w:rsidRPr="00813E93">
        <w:rPr>
          <w:rFonts w:ascii="Times New Roman" w:hAnsi="Times New Roman"/>
          <w:sz w:val="28"/>
          <w:szCs w:val="28"/>
          <w:lang w:val="uk-UA"/>
        </w:rPr>
        <w:t>2.56 %</w:t>
      </w:r>
      <w:r w:rsidR="001C4CF0">
        <w:rPr>
          <w:rFonts w:ascii="Times New Roman" w:hAnsi="Times New Roman" w:cs="Times New Roman"/>
          <w:sz w:val="28"/>
          <w:szCs w:val="28"/>
          <w:lang w:val="uk-UA"/>
        </w:rPr>
        <w:t>. С</w:t>
      </w:r>
      <w:r w:rsidRPr="00813E93">
        <w:rPr>
          <w:rFonts w:ascii="Times New Roman" w:hAnsi="Times New Roman" w:cs="Times New Roman"/>
          <w:sz w:val="28"/>
          <w:szCs w:val="28"/>
          <w:lang w:val="uk-UA"/>
        </w:rPr>
        <w:t>постерігали зміни у властивостя</w:t>
      </w:r>
      <w:r w:rsidR="00C93CEF">
        <w:rPr>
          <w:rFonts w:ascii="Times New Roman" w:hAnsi="Times New Roman" w:cs="Times New Roman"/>
          <w:sz w:val="28"/>
          <w:szCs w:val="28"/>
          <w:lang w:val="uk-UA"/>
        </w:rPr>
        <w:t>х ротової рідини, які полягали в</w:t>
      </w:r>
      <w:r w:rsidRPr="00813E93">
        <w:rPr>
          <w:rFonts w:ascii="Times New Roman" w:hAnsi="Times New Roman" w:cs="Times New Roman"/>
          <w:sz w:val="28"/>
          <w:szCs w:val="28"/>
          <w:lang w:val="uk-UA"/>
        </w:rPr>
        <w:t xml:space="preserve"> підвищенні кислотності до рівня</w:t>
      </w:r>
      <w:r w:rsidR="00C93CEF">
        <w:rPr>
          <w:rFonts w:ascii="Times New Roman" w:hAnsi="Times New Roman" w:cs="Times New Roman"/>
          <w:sz w:val="28"/>
          <w:szCs w:val="28"/>
          <w:lang w:val="uk-UA"/>
        </w:rPr>
        <w:t xml:space="preserve"> 4.94 ± 0.49 та збільшенні рівня</w:t>
      </w:r>
      <w:r w:rsidRPr="00813E93">
        <w:rPr>
          <w:rFonts w:ascii="Times New Roman" w:hAnsi="Times New Roman" w:cs="Times New Roman"/>
          <w:sz w:val="28"/>
          <w:szCs w:val="28"/>
          <w:lang w:val="uk-UA"/>
        </w:rPr>
        <w:t xml:space="preserve"> муцину до 5.76 ± 0.82 г/л в середньому серед груп дітей з атопією. Встановлено, що у групі пацієнтів з атопічними захворюваннями при мінімальних значеннях </w:t>
      </w:r>
      <w:r w:rsidR="00C93CEF">
        <w:rPr>
          <w:rFonts w:ascii="Times New Roman" w:hAnsi="Times New Roman" w:cs="Times New Roman"/>
          <w:sz w:val="28"/>
          <w:szCs w:val="28"/>
          <w:lang w:val="uk-UA"/>
        </w:rPr>
        <w:lastRenderedPageBreak/>
        <w:t>показників, які</w:t>
      </w:r>
      <w:r w:rsidRPr="00813E93">
        <w:rPr>
          <w:rFonts w:ascii="Times New Roman" w:hAnsi="Times New Roman" w:cs="Times New Roman"/>
          <w:sz w:val="28"/>
          <w:szCs w:val="28"/>
          <w:lang w:val="uk-UA"/>
        </w:rPr>
        <w:t xml:space="preserve">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Встановлено, що</w:t>
      </w:r>
      <w:r w:rsidR="00C93CEF">
        <w:rPr>
          <w:rFonts w:ascii="Times New Roman" w:hAnsi="Times New Roman" w:cs="Times New Roman"/>
          <w:sz w:val="28"/>
          <w:szCs w:val="28"/>
          <w:lang w:val="uk-UA"/>
        </w:rPr>
        <w:t>,</w:t>
      </w:r>
      <w:r w:rsidRPr="00813E93">
        <w:rPr>
          <w:rFonts w:ascii="Times New Roman" w:hAnsi="Times New Roman" w:cs="Times New Roman"/>
          <w:sz w:val="28"/>
          <w:szCs w:val="28"/>
          <w:lang w:val="uk-UA"/>
        </w:rPr>
        <w:t xml:space="preserve"> незалежно від рівня запалення, спостерігається зниження рівня імуноглобулінів класу А, </w:t>
      </w:r>
      <w:r w:rsidRPr="00813E93">
        <w:rPr>
          <w:rFonts w:ascii="Times New Roman" w:hAnsi="Times New Roman" w:cs="Times New Roman"/>
          <w:sz w:val="28"/>
          <w:szCs w:val="28"/>
        </w:rPr>
        <w:t>G</w:t>
      </w:r>
      <w:r w:rsidRPr="00813E93">
        <w:rPr>
          <w:rFonts w:ascii="Times New Roman" w:hAnsi="Times New Roman" w:cs="Times New Roman"/>
          <w:sz w:val="28"/>
          <w:szCs w:val="28"/>
          <w:lang w:val="uk-UA"/>
        </w:rPr>
        <w:t xml:space="preserve">, М та </w:t>
      </w:r>
      <w:r w:rsidRPr="00813E93">
        <w:rPr>
          <w:rFonts w:ascii="Times New Roman" w:hAnsi="Times New Roman"/>
          <w:sz w:val="28"/>
          <w:szCs w:val="28"/>
          <w:lang w:val="uk-UA"/>
        </w:rPr>
        <w:t>зниження активності СОД, зроста</w:t>
      </w:r>
      <w:r w:rsidR="00C93CEF">
        <w:rPr>
          <w:rFonts w:ascii="Times New Roman" w:hAnsi="Times New Roman"/>
          <w:sz w:val="28"/>
          <w:szCs w:val="28"/>
          <w:lang w:val="uk-UA"/>
        </w:rPr>
        <w:t>ння концентрації МДА, зниження</w:t>
      </w:r>
      <w:r w:rsidRPr="00813E93">
        <w:rPr>
          <w:rFonts w:ascii="Times New Roman" w:hAnsi="Times New Roman"/>
          <w:sz w:val="28"/>
          <w:szCs w:val="28"/>
          <w:lang w:val="uk-UA"/>
        </w:rPr>
        <w:t xml:space="preserve"> вміст</w:t>
      </w:r>
      <w:r w:rsidR="00C93CEF">
        <w:rPr>
          <w:rFonts w:ascii="Times New Roman" w:hAnsi="Times New Roman"/>
          <w:sz w:val="28"/>
          <w:szCs w:val="28"/>
          <w:lang w:val="uk-UA"/>
        </w:rPr>
        <w:t>у</w:t>
      </w:r>
      <w:r w:rsidRPr="00813E93">
        <w:rPr>
          <w:rFonts w:ascii="Times New Roman" w:hAnsi="Times New Roman"/>
          <w:sz w:val="28"/>
          <w:szCs w:val="28"/>
          <w:lang w:val="uk-UA"/>
        </w:rPr>
        <w:t xml:space="preserve"> каталази та глутатіону. Провідними чинниками хронічного гінгівіту у дітей з атопічними захворюваннями є наявність імунометаболічного дисбалансу.</w:t>
      </w:r>
    </w:p>
    <w:p w14:paraId="08062F66" w14:textId="213F0317" w:rsidR="001C4CF0" w:rsidRDefault="001C4CF0" w:rsidP="001C4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Вперше експериментально доведено, що п</w:t>
      </w:r>
      <w:r w:rsidR="00C20794">
        <w:rPr>
          <w:rFonts w:ascii="Times New Roman" w:hAnsi="Times New Roman" w:cs="Times New Roman"/>
          <w:sz w:val="28"/>
          <w:szCs w:val="28"/>
          <w:lang w:val="uk-UA"/>
        </w:rPr>
        <w:t>ри атопічних процесах у</w:t>
      </w:r>
      <w:r w:rsidR="00813E93" w:rsidRPr="001C4CF0">
        <w:rPr>
          <w:rFonts w:ascii="Times New Roman" w:hAnsi="Times New Roman" w:cs="Times New Roman"/>
          <w:sz w:val="28"/>
          <w:szCs w:val="28"/>
          <w:lang w:val="uk-UA"/>
        </w:rPr>
        <w:t xml:space="preserve"> ротовій порожнині</w:t>
      </w:r>
      <w:r w:rsidR="009141C4">
        <w:rPr>
          <w:rFonts w:ascii="Times New Roman" w:hAnsi="Times New Roman" w:cs="Times New Roman"/>
          <w:sz w:val="28"/>
          <w:szCs w:val="28"/>
          <w:lang w:val="uk-UA"/>
        </w:rPr>
        <w:t xml:space="preserve"> дослідних тварин</w:t>
      </w:r>
      <w:r w:rsidR="00813E93" w:rsidRPr="001C4CF0">
        <w:rPr>
          <w:rFonts w:ascii="Times New Roman" w:hAnsi="Times New Roman" w:cs="Times New Roman"/>
          <w:sz w:val="28"/>
          <w:szCs w:val="28"/>
          <w:lang w:val="uk-UA"/>
        </w:rPr>
        <w:t xml:space="preserve"> морфологічна картина характеризується запальними, дистрофічними, дисциркуляторними змінами</w:t>
      </w:r>
      <w:r w:rsidR="00C93CEF">
        <w:rPr>
          <w:rFonts w:ascii="Times New Roman" w:hAnsi="Times New Roman" w:cs="Times New Roman"/>
          <w:sz w:val="28"/>
          <w:szCs w:val="28"/>
          <w:lang w:val="uk-UA"/>
        </w:rPr>
        <w:t>, що</w:t>
      </w:r>
      <w:r w:rsidR="00C20794">
        <w:rPr>
          <w:rFonts w:ascii="Times New Roman" w:hAnsi="Times New Roman" w:cs="Times New Roman"/>
          <w:sz w:val="28"/>
          <w:szCs w:val="28"/>
          <w:lang w:val="uk-UA"/>
        </w:rPr>
        <w:t xml:space="preserve"> супроводжує</w:t>
      </w:r>
      <w:r w:rsidR="00813E93" w:rsidRPr="001C4CF0">
        <w:rPr>
          <w:rFonts w:ascii="Times New Roman" w:hAnsi="Times New Roman" w:cs="Times New Roman"/>
          <w:sz w:val="28"/>
          <w:szCs w:val="28"/>
          <w:lang w:val="uk-UA"/>
        </w:rPr>
        <w:t>ться порушенням синтази оксиду азоту. Останнє характеризується зниженням синтезу ендотеліальної фракції синтази оксиду азот</w:t>
      </w:r>
      <w:r w:rsidR="009141C4">
        <w:rPr>
          <w:rFonts w:ascii="Times New Roman" w:hAnsi="Times New Roman" w:cs="Times New Roman"/>
          <w:sz w:val="28"/>
          <w:szCs w:val="28"/>
          <w:lang w:val="uk-UA"/>
        </w:rPr>
        <w:t>у, підвищенням активності індуци</w:t>
      </w:r>
      <w:r w:rsidR="00813E93" w:rsidRPr="001C4CF0">
        <w:rPr>
          <w:rFonts w:ascii="Times New Roman" w:hAnsi="Times New Roman" w:cs="Times New Roman"/>
          <w:sz w:val="28"/>
          <w:szCs w:val="28"/>
          <w:lang w:val="uk-UA"/>
        </w:rPr>
        <w:t xml:space="preserve">бельної </w:t>
      </w:r>
      <w:r w:rsidR="00C93CEF">
        <w:rPr>
          <w:rFonts w:ascii="Times New Roman" w:hAnsi="Times New Roman" w:cs="Times New Roman"/>
          <w:sz w:val="28"/>
          <w:szCs w:val="28"/>
          <w:lang w:val="uk-UA"/>
        </w:rPr>
        <w:t>синтази оксиду азоту більш ніж у</w:t>
      </w:r>
      <w:r w:rsidR="00C20794">
        <w:rPr>
          <w:rFonts w:ascii="Times New Roman" w:hAnsi="Times New Roman" w:cs="Times New Roman"/>
          <w:sz w:val="28"/>
          <w:szCs w:val="28"/>
          <w:lang w:val="uk-UA"/>
        </w:rPr>
        <w:t xml:space="preserve"> два рази, зростанням</w:t>
      </w:r>
      <w:r w:rsidR="00813E93" w:rsidRPr="001C4CF0">
        <w:rPr>
          <w:rFonts w:ascii="Times New Roman" w:hAnsi="Times New Roman" w:cs="Times New Roman"/>
          <w:sz w:val="28"/>
          <w:szCs w:val="28"/>
          <w:lang w:val="uk-UA"/>
        </w:rPr>
        <w:t xml:space="preserve"> активності ендотеліальної си</w:t>
      </w:r>
      <w:r w:rsidR="00C20794">
        <w:rPr>
          <w:rFonts w:ascii="Times New Roman" w:hAnsi="Times New Roman" w:cs="Times New Roman"/>
          <w:sz w:val="28"/>
          <w:szCs w:val="28"/>
          <w:lang w:val="uk-UA"/>
        </w:rPr>
        <w:t>нтази оксиду азоту в позасудинно</w:t>
      </w:r>
      <w:r w:rsidR="00813E93" w:rsidRPr="001C4CF0">
        <w:rPr>
          <w:rFonts w:ascii="Times New Roman" w:hAnsi="Times New Roman" w:cs="Times New Roman"/>
          <w:sz w:val="28"/>
          <w:szCs w:val="28"/>
          <w:lang w:val="uk-UA"/>
        </w:rPr>
        <w:t>м</w:t>
      </w:r>
      <w:r w:rsidR="00C20794">
        <w:rPr>
          <w:rFonts w:ascii="Times New Roman" w:hAnsi="Times New Roman" w:cs="Times New Roman"/>
          <w:sz w:val="28"/>
          <w:szCs w:val="28"/>
          <w:lang w:val="uk-UA"/>
        </w:rPr>
        <w:t>у</w:t>
      </w:r>
      <w:r w:rsidR="00813E93" w:rsidRPr="001C4CF0">
        <w:rPr>
          <w:rFonts w:ascii="Times New Roman" w:hAnsi="Times New Roman" w:cs="Times New Roman"/>
          <w:sz w:val="28"/>
          <w:szCs w:val="28"/>
          <w:lang w:val="uk-UA"/>
        </w:rPr>
        <w:t xml:space="preserve"> просторі. 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 у групі тварин з модульованою атопією. У власній пластинці слизової</w:t>
      </w:r>
      <w:r w:rsidR="009141C4">
        <w:rPr>
          <w:rFonts w:ascii="Times New Roman" w:hAnsi="Times New Roman" w:cs="Times New Roman"/>
          <w:sz w:val="28"/>
          <w:szCs w:val="28"/>
          <w:lang w:val="uk-UA"/>
        </w:rPr>
        <w:t xml:space="preserve"> оболонки</w:t>
      </w:r>
      <w:r w:rsidR="00813E93" w:rsidRPr="001C4CF0">
        <w:rPr>
          <w:rFonts w:ascii="Times New Roman" w:hAnsi="Times New Roman" w:cs="Times New Roman"/>
          <w:sz w:val="28"/>
          <w:szCs w:val="28"/>
          <w:lang w:val="uk-UA"/>
        </w:rPr>
        <w:t xml:space="preserve"> переважна більшість клітинни</w:t>
      </w:r>
      <w:r w:rsidR="00BE141B">
        <w:rPr>
          <w:rFonts w:ascii="Times New Roman" w:hAnsi="Times New Roman" w:cs="Times New Roman"/>
          <w:sz w:val="28"/>
          <w:szCs w:val="28"/>
          <w:lang w:val="uk-UA"/>
        </w:rPr>
        <w:t>х елементів була імунопозитивною</w:t>
      </w:r>
      <w:r w:rsidR="00813E93" w:rsidRPr="001C4CF0">
        <w:rPr>
          <w:rFonts w:ascii="Times New Roman" w:hAnsi="Times New Roman" w:cs="Times New Roman"/>
          <w:sz w:val="28"/>
          <w:szCs w:val="28"/>
          <w:lang w:val="uk-UA"/>
        </w:rPr>
        <w:t xml:space="preserve"> до CD23, при цьому щільність клітин з ядерним фарбуванням</w:t>
      </w:r>
      <w:r w:rsidR="00C20794">
        <w:rPr>
          <w:rFonts w:ascii="Times New Roman" w:hAnsi="Times New Roman" w:cs="Times New Roman"/>
          <w:sz w:val="28"/>
          <w:szCs w:val="28"/>
          <w:lang w:val="uk-UA"/>
        </w:rPr>
        <w:t xml:space="preserve"> CD23 виявилася в 7,7 раз вище в</w:t>
      </w:r>
      <w:r w:rsidR="00813E93" w:rsidRPr="001C4CF0">
        <w:rPr>
          <w:rFonts w:ascii="Times New Roman" w:hAnsi="Times New Roman" w:cs="Times New Roman"/>
          <w:sz w:val="28"/>
          <w:szCs w:val="28"/>
          <w:lang w:val="uk-UA"/>
        </w:rPr>
        <w:t xml:space="preserve"> групі тварин з атопією, ніж у інтактних тварин. Застосування запропонованої методики лікування</w:t>
      </w:r>
      <w:r w:rsidR="009141C4">
        <w:rPr>
          <w:rFonts w:ascii="Times New Roman" w:hAnsi="Times New Roman" w:cs="Times New Roman"/>
          <w:sz w:val="28"/>
          <w:szCs w:val="28"/>
          <w:lang w:val="uk-UA"/>
        </w:rPr>
        <w:t xml:space="preserve"> у експерименті дозволила</w:t>
      </w:r>
      <w:r w:rsidR="00813E93" w:rsidRPr="001C4CF0">
        <w:rPr>
          <w:rFonts w:ascii="Times New Roman" w:hAnsi="Times New Roman" w:cs="Times New Roman"/>
          <w:sz w:val="28"/>
          <w:szCs w:val="28"/>
          <w:lang w:val="uk-UA"/>
        </w:rPr>
        <w:t xml:space="preserve"> поліпшити стан мікроциркуляторного русла слизової оболонки, що проявляється у відновленні констрікторно-ділататорних механізмів судинного тонусу. </w:t>
      </w:r>
    </w:p>
    <w:p w14:paraId="7E700BB3" w14:textId="26421499" w:rsidR="001C4CF0" w:rsidRPr="00212C58" w:rsidRDefault="001C4CF0" w:rsidP="001C4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Вперше в</w:t>
      </w:r>
      <w:r w:rsidR="00813E93" w:rsidRPr="001C4CF0">
        <w:rPr>
          <w:rFonts w:ascii="Times New Roman" w:hAnsi="Times New Roman" w:cs="Times New Roman"/>
          <w:sz w:val="28"/>
          <w:szCs w:val="28"/>
          <w:lang w:val="uk-UA"/>
        </w:rPr>
        <w:t xml:space="preserve">становлено найбільш інформативні неінвазивні скринінгові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w:t>
      </w:r>
      <w:r>
        <w:rPr>
          <w:rFonts w:ascii="Times New Roman" w:hAnsi="Times New Roman" w:cs="Times New Roman"/>
          <w:sz w:val="28"/>
          <w:szCs w:val="28"/>
          <w:lang w:val="uk-UA"/>
        </w:rPr>
        <w:t>Вперше п</w:t>
      </w:r>
      <w:r w:rsidR="00813E93" w:rsidRPr="001C4CF0">
        <w:rPr>
          <w:rFonts w:ascii="Times New Roman" w:hAnsi="Times New Roman" w:cs="Times New Roman"/>
          <w:sz w:val="28"/>
          <w:szCs w:val="28"/>
          <w:lang w:val="uk-UA"/>
        </w:rPr>
        <w:t xml:space="preserve">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Побудовано рівняння лінійної регресії, за допомогою якого можливе </w:t>
      </w:r>
      <w:r w:rsidR="009141C4">
        <w:rPr>
          <w:rFonts w:ascii="Times New Roman" w:hAnsi="Times New Roman" w:cs="Times New Roman"/>
          <w:sz w:val="28"/>
          <w:szCs w:val="28"/>
          <w:lang w:val="uk-UA"/>
        </w:rPr>
        <w:lastRenderedPageBreak/>
        <w:t>цифрове визначення прогностичних</w:t>
      </w:r>
      <w:r w:rsidR="00813E93" w:rsidRPr="001C4CF0">
        <w:rPr>
          <w:rFonts w:ascii="Times New Roman" w:hAnsi="Times New Roman" w:cs="Times New Roman"/>
          <w:sz w:val="28"/>
          <w:szCs w:val="28"/>
          <w:lang w:val="uk-UA"/>
        </w:rPr>
        <w:t xml:space="preserve"> значень </w:t>
      </w:r>
      <w:r w:rsidR="00813E93" w:rsidRPr="00212C58">
        <w:rPr>
          <w:rFonts w:ascii="Times New Roman" w:hAnsi="Times New Roman" w:cs="Times New Roman"/>
          <w:sz w:val="28"/>
          <w:szCs w:val="28"/>
          <w:lang w:val="uk-UA"/>
        </w:rPr>
        <w:t xml:space="preserve">запалення тканин пародонту при здійсненні профілактичних та лікувальних заходів. </w:t>
      </w:r>
      <w:r w:rsidR="00813E93" w:rsidRPr="00212C58">
        <w:rPr>
          <w:rFonts w:ascii="Times New Roman" w:hAnsi="Times New Roman"/>
          <w:sz w:val="28"/>
          <w:szCs w:val="28"/>
          <w:lang w:val="uk-UA"/>
        </w:rPr>
        <w:t>Визначено коефіцієнти рівняння лінійної регресії зале</w:t>
      </w:r>
      <w:r w:rsidR="00C20794">
        <w:rPr>
          <w:rFonts w:ascii="Times New Roman" w:hAnsi="Times New Roman"/>
          <w:sz w:val="28"/>
          <w:szCs w:val="28"/>
          <w:lang w:val="uk-UA"/>
        </w:rPr>
        <w:t>жності ступеня запалення тканин</w:t>
      </w:r>
      <w:r w:rsidR="00813E93" w:rsidRPr="00212C58">
        <w:rPr>
          <w:rFonts w:ascii="Times New Roman" w:hAnsi="Times New Roman"/>
          <w:sz w:val="28"/>
          <w:szCs w:val="28"/>
          <w:lang w:val="uk-UA"/>
        </w:rPr>
        <w:t xml:space="preserve"> пародонту за рівнем РМА від рівню імуноглобуліну А, які дорівнюють мінус 1,63 та 10,85</w:t>
      </w:r>
      <w:r w:rsidR="00C20794">
        <w:rPr>
          <w:rFonts w:ascii="Times New Roman" w:hAnsi="Times New Roman"/>
          <w:sz w:val="28"/>
          <w:szCs w:val="28"/>
          <w:lang w:val="uk-UA"/>
        </w:rPr>
        <w:t xml:space="preserve"> відповідно</w:t>
      </w:r>
      <w:r w:rsidR="00813E93" w:rsidRPr="00212C58">
        <w:rPr>
          <w:rFonts w:ascii="Times New Roman" w:hAnsi="Times New Roman"/>
          <w:sz w:val="28"/>
          <w:szCs w:val="28"/>
          <w:lang w:val="uk-UA"/>
        </w:rPr>
        <w:t xml:space="preserve">; за рівнем індексу кровоточивості залежність від рівню секреторного імуноглобуліну А - мінус 88,7 та 50,6; від рівню імуноглобуліну </w:t>
      </w:r>
      <w:r w:rsidR="00813E93" w:rsidRPr="00212C58">
        <w:rPr>
          <w:rFonts w:ascii="Times New Roman" w:hAnsi="Times New Roman"/>
          <w:sz w:val="28"/>
          <w:szCs w:val="28"/>
        </w:rPr>
        <w:t>G</w:t>
      </w:r>
      <w:r w:rsidR="00813E93" w:rsidRPr="00212C58">
        <w:rPr>
          <w:rFonts w:ascii="Times New Roman" w:hAnsi="Times New Roman"/>
          <w:sz w:val="28"/>
          <w:szCs w:val="28"/>
          <w:lang w:val="uk-UA"/>
        </w:rPr>
        <w:t xml:space="preserve">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w:t>
      </w:r>
      <w:r w:rsidR="00813E93" w:rsidRPr="00212C58">
        <w:rPr>
          <w:rFonts w:ascii="Times New Roman" w:hAnsi="Times New Roman" w:cs="Times New Roman"/>
          <w:sz w:val="28"/>
          <w:szCs w:val="28"/>
          <w:lang w:val="uk-UA"/>
        </w:rPr>
        <w:t>мінус 2.49 та 40.97.</w:t>
      </w:r>
    </w:p>
    <w:p w14:paraId="4FED7A68" w14:textId="6C86FF36" w:rsidR="001C4CF0" w:rsidRPr="00212C58" w:rsidRDefault="001C4CF0"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Вперше в</w:t>
      </w:r>
      <w:r w:rsidR="00813E93" w:rsidRPr="00212C58">
        <w:rPr>
          <w:rFonts w:ascii="Times New Roman" w:hAnsi="Times New Roman" w:cs="Times New Roman"/>
          <w:sz w:val="28"/>
          <w:szCs w:val="28"/>
          <w:lang w:val="uk-UA"/>
        </w:rPr>
        <w:t>изначено, що найбільш інформативним біомаркером, який характеризує антиоксидантний статус та дає змогу прогнозувати ступінь запалення тканин</w:t>
      </w:r>
      <w:r w:rsidR="00C20794">
        <w:rPr>
          <w:rFonts w:ascii="Times New Roman" w:hAnsi="Times New Roman" w:cs="Times New Roman"/>
          <w:sz w:val="28"/>
          <w:szCs w:val="28"/>
          <w:lang w:val="uk-UA"/>
        </w:rPr>
        <w:t xml:space="preserve"> пародонту, є рівень глутатіону в</w:t>
      </w:r>
      <w:r w:rsidR="00813E93" w:rsidRPr="00212C58">
        <w:rPr>
          <w:rFonts w:ascii="Times New Roman" w:hAnsi="Times New Roman" w:cs="Times New Roman"/>
          <w:sz w:val="28"/>
          <w:szCs w:val="28"/>
          <w:lang w:val="uk-UA"/>
        </w:rPr>
        <w:t xml:space="preserve"> ротовій рідині, коефіцієнт детермінації складає 91%. </w:t>
      </w:r>
      <w:r w:rsidR="00813E93" w:rsidRPr="00212C58">
        <w:rPr>
          <w:rFonts w:ascii="Times New Roman" w:hAnsi="Times New Roman"/>
          <w:sz w:val="28"/>
          <w:szCs w:val="28"/>
          <w:lang w:val="uk-UA"/>
        </w:rPr>
        <w:t>Встановлено, що коефіціє</w:t>
      </w:r>
      <w:r w:rsidR="00C20794">
        <w:rPr>
          <w:rFonts w:ascii="Times New Roman" w:hAnsi="Times New Roman"/>
          <w:sz w:val="28"/>
          <w:szCs w:val="28"/>
          <w:lang w:val="uk-UA"/>
        </w:rPr>
        <w:t>нт детермінації залежності рівня</w:t>
      </w:r>
      <w:r w:rsidR="00813E93" w:rsidRPr="00212C58">
        <w:rPr>
          <w:rFonts w:ascii="Times New Roman" w:hAnsi="Times New Roman"/>
          <w:sz w:val="28"/>
          <w:szCs w:val="28"/>
          <w:lang w:val="uk-UA"/>
        </w:rPr>
        <w:t xml:space="preserve"> запалення тканин пародонту (за індексом </w:t>
      </w:r>
      <w:r w:rsidR="00813E93" w:rsidRPr="00212C58">
        <w:rPr>
          <w:rFonts w:ascii="Times New Roman" w:hAnsi="Times New Roman"/>
          <w:sz w:val="28"/>
          <w:szCs w:val="28"/>
        </w:rPr>
        <w:t>SBI</w:t>
      </w:r>
      <w:r w:rsidR="00813E93" w:rsidRPr="00212C58">
        <w:rPr>
          <w:rFonts w:ascii="Times New Roman" w:hAnsi="Times New Roman"/>
          <w:sz w:val="28"/>
          <w:szCs w:val="28"/>
          <w:lang w:val="uk-UA"/>
        </w:rPr>
        <w:t xml:space="preserve">) від рівня секреторного імуноглобуліну А дорівнює 86 %, від рівня імуноглобуліну </w:t>
      </w:r>
      <w:r w:rsidR="00813E93" w:rsidRPr="00212C58">
        <w:rPr>
          <w:rFonts w:ascii="Times New Roman" w:hAnsi="Times New Roman"/>
          <w:sz w:val="28"/>
          <w:szCs w:val="28"/>
        </w:rPr>
        <w:t>G</w:t>
      </w:r>
      <w:r w:rsidR="00813E93" w:rsidRPr="00212C58">
        <w:rPr>
          <w:rFonts w:ascii="Times New Roman" w:hAnsi="Times New Roman"/>
          <w:sz w:val="28"/>
          <w:szCs w:val="28"/>
          <w:lang w:val="uk-UA"/>
        </w:rPr>
        <w:t xml:space="preserve"> – 82 %. </w:t>
      </w:r>
      <w:r w:rsidR="00813E93" w:rsidRPr="00212C58">
        <w:rPr>
          <w:rFonts w:ascii="Times New Roman" w:hAnsi="Times New Roman" w:cs="Times New Roman"/>
          <w:sz w:val="28"/>
          <w:szCs w:val="28"/>
          <w:lang w:val="uk-UA"/>
        </w:rPr>
        <w:t xml:space="preserve">Встановлено, що коефіцієнт </w:t>
      </w:r>
      <w:r w:rsidR="00C20794">
        <w:rPr>
          <w:rFonts w:ascii="Times New Roman" w:hAnsi="Times New Roman"/>
          <w:sz w:val="28"/>
          <w:szCs w:val="28"/>
          <w:lang w:val="uk-UA"/>
        </w:rPr>
        <w:t>детермінації залежності рівня</w:t>
      </w:r>
      <w:r w:rsidR="00813E93" w:rsidRPr="00212C58">
        <w:rPr>
          <w:rFonts w:ascii="Times New Roman" w:hAnsi="Times New Roman"/>
          <w:sz w:val="28"/>
          <w:szCs w:val="28"/>
          <w:lang w:val="uk-UA"/>
        </w:rPr>
        <w:t xml:space="preserve"> запалення тканин пародонту (за індексом РМА) від рівня імуноглобуліну А дорівнює 76 %. Дані біомаркери можуть бути використані для прогнозу з</w:t>
      </w:r>
      <w:r w:rsidR="00C20794">
        <w:rPr>
          <w:rFonts w:ascii="Times New Roman" w:hAnsi="Times New Roman"/>
          <w:sz w:val="28"/>
          <w:szCs w:val="28"/>
          <w:lang w:val="uk-UA"/>
        </w:rPr>
        <w:t>апальних захворювань пародонту в</w:t>
      </w:r>
      <w:r w:rsidR="00813E93" w:rsidRPr="00212C58">
        <w:rPr>
          <w:rFonts w:ascii="Times New Roman" w:hAnsi="Times New Roman"/>
          <w:sz w:val="28"/>
          <w:szCs w:val="28"/>
          <w:lang w:val="uk-UA"/>
        </w:rPr>
        <w:t xml:space="preserve"> пародонтологічно здорових дітей.</w:t>
      </w:r>
    </w:p>
    <w:p w14:paraId="25502163" w14:textId="684789A4" w:rsidR="001C4CF0" w:rsidRPr="00212C58" w:rsidRDefault="00813E93"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Спостерігали тенденцію до різного формування ім</w:t>
      </w:r>
      <w:r w:rsidR="00C20794">
        <w:rPr>
          <w:rFonts w:ascii="Times New Roman" w:hAnsi="Times New Roman" w:cs="Times New Roman"/>
          <w:sz w:val="28"/>
          <w:szCs w:val="28"/>
          <w:lang w:val="uk-UA"/>
        </w:rPr>
        <w:t>унної відповіді (за імуноглобулі</w:t>
      </w:r>
      <w:r w:rsidRPr="00212C58">
        <w:rPr>
          <w:rFonts w:ascii="Times New Roman" w:hAnsi="Times New Roman" w:cs="Times New Roman"/>
          <w:sz w:val="28"/>
          <w:szCs w:val="28"/>
          <w:lang w:val="uk-UA"/>
        </w:rPr>
        <w:t xml:space="preserve">нами А, </w:t>
      </w:r>
      <w:r w:rsidRPr="00212C58">
        <w:rPr>
          <w:rFonts w:ascii="Times New Roman" w:hAnsi="Times New Roman" w:cs="Times New Roman"/>
          <w:sz w:val="28"/>
          <w:szCs w:val="28"/>
        </w:rPr>
        <w:t>G</w:t>
      </w:r>
      <w:r w:rsidRPr="00212C58">
        <w:rPr>
          <w:rFonts w:ascii="Times New Roman" w:hAnsi="Times New Roman" w:cs="Times New Roman"/>
          <w:sz w:val="28"/>
          <w:szCs w:val="28"/>
          <w:lang w:val="uk-UA"/>
        </w:rPr>
        <w:t xml:space="preserve">, M) у пацієнтів з атопічними захворюваннями та різними генотипами за </w:t>
      </w:r>
      <w:r w:rsidRPr="00212C58">
        <w:rPr>
          <w:rFonts w:ascii="Times New Roman" w:hAnsi="Times New Roman" w:cs="Times New Roman"/>
          <w:sz w:val="28"/>
          <w:szCs w:val="28"/>
          <w:lang w:val="de-DE"/>
        </w:rPr>
        <w:t>rs</w:t>
      </w:r>
      <w:r w:rsidRPr="00212C58">
        <w:rPr>
          <w:rFonts w:ascii="Times New Roman" w:hAnsi="Times New Roman" w:cs="Times New Roman"/>
          <w:sz w:val="28"/>
          <w:szCs w:val="28"/>
          <w:lang w:val="uk-UA"/>
        </w:rPr>
        <w:t xml:space="preserve">1801270 поліморфізмом, зокрема гомозиготи </w:t>
      </w:r>
      <w:r w:rsidRPr="00212C58">
        <w:rPr>
          <w:rFonts w:ascii="Times New Roman" w:hAnsi="Times New Roman" w:cs="Times New Roman"/>
          <w:i/>
          <w:sz w:val="28"/>
          <w:szCs w:val="28"/>
          <w:lang w:val="uk-UA"/>
        </w:rPr>
        <w:t>АА</w:t>
      </w:r>
      <w:r w:rsidRPr="00212C58">
        <w:rPr>
          <w:rFonts w:ascii="Times New Roman" w:hAnsi="Times New Roman" w:cs="Times New Roman"/>
          <w:sz w:val="28"/>
          <w:szCs w:val="28"/>
          <w:lang w:val="uk-UA"/>
        </w:rPr>
        <w:t xml:space="preserve"> тяжіють до більш агресивного протікання гінгівіту. </w:t>
      </w:r>
      <w:r w:rsidR="001C4CF0" w:rsidRPr="00212C58">
        <w:rPr>
          <w:rFonts w:ascii="Times New Roman" w:hAnsi="Times New Roman" w:cs="Times New Roman"/>
          <w:sz w:val="28"/>
          <w:szCs w:val="28"/>
          <w:lang w:val="uk-UA"/>
        </w:rPr>
        <w:t>Вперше вияв</w:t>
      </w:r>
      <w:r w:rsidR="00C20794">
        <w:rPr>
          <w:rFonts w:ascii="Times New Roman" w:hAnsi="Times New Roman" w:cs="Times New Roman"/>
          <w:sz w:val="28"/>
          <w:szCs w:val="28"/>
          <w:lang w:val="uk-UA"/>
        </w:rPr>
        <w:t>л</w:t>
      </w:r>
      <w:r w:rsidR="001C4CF0" w:rsidRPr="00212C58">
        <w:rPr>
          <w:rFonts w:ascii="Times New Roman" w:hAnsi="Times New Roman" w:cs="Times New Roman"/>
          <w:sz w:val="28"/>
          <w:szCs w:val="28"/>
          <w:lang w:val="uk-UA"/>
        </w:rPr>
        <w:t xml:space="preserve">ено </w:t>
      </w:r>
      <w:r w:rsidR="001C4CF0" w:rsidRPr="00212C58">
        <w:rPr>
          <w:rFonts w:ascii="Times New Roman" w:hAnsi="Times New Roman"/>
          <w:sz w:val="28"/>
          <w:szCs w:val="28"/>
          <w:lang w:val="uk-UA"/>
        </w:rPr>
        <w:t>у</w:t>
      </w:r>
      <w:r w:rsidRPr="00212C58">
        <w:rPr>
          <w:rFonts w:ascii="Times New Roman" w:hAnsi="Times New Roman"/>
          <w:sz w:val="28"/>
          <w:szCs w:val="28"/>
          <w:lang w:val="uk-UA"/>
        </w:rPr>
        <w:t xml:space="preserve"> дітей з атопічними захворюваннями генетичні предиктори розвитку стоматологічних захворювань, а саме </w:t>
      </w:r>
      <w:r w:rsidRPr="00212C58">
        <w:rPr>
          <w:rFonts w:ascii="Times New Roman" w:hAnsi="Times New Roman" w:cs="Times New Roman"/>
          <w:sz w:val="28"/>
          <w:szCs w:val="28"/>
          <w:lang w:val="uk-UA"/>
        </w:rPr>
        <w:t xml:space="preserve">для представників даної групи характерними були «довгі» алелі з 7-ма, 8-ма або 9-ма повторами в інтроні 36 гена </w:t>
      </w:r>
      <w:r w:rsidRPr="00212C58">
        <w:rPr>
          <w:rFonts w:ascii="Times New Roman" w:hAnsi="Times New Roman" w:cs="Times New Roman"/>
          <w:sz w:val="28"/>
          <w:szCs w:val="28"/>
        </w:rPr>
        <w:t>MUC</w:t>
      </w:r>
      <w:r w:rsidRPr="00212C58">
        <w:rPr>
          <w:rFonts w:ascii="Times New Roman" w:hAnsi="Times New Roman" w:cs="Times New Roman"/>
          <w:sz w:val="28"/>
          <w:szCs w:val="28"/>
          <w:lang w:val="uk-UA"/>
        </w:rPr>
        <w:t>5</w:t>
      </w:r>
      <w:r w:rsidRPr="00212C58">
        <w:rPr>
          <w:rFonts w:ascii="Times New Roman" w:hAnsi="Times New Roman" w:cs="Times New Roman"/>
          <w:sz w:val="28"/>
          <w:szCs w:val="28"/>
        </w:rPr>
        <w:t>B</w:t>
      </w:r>
      <w:r w:rsidR="00C20794">
        <w:rPr>
          <w:rFonts w:ascii="Times New Roman" w:hAnsi="Times New Roman" w:cs="Times New Roman"/>
          <w:sz w:val="28"/>
          <w:szCs w:val="28"/>
          <w:lang w:val="uk-UA"/>
        </w:rPr>
        <w:t xml:space="preserve"> (поширені в</w:t>
      </w:r>
      <w:r w:rsidRPr="00212C58">
        <w:rPr>
          <w:rFonts w:ascii="Times New Roman" w:hAnsi="Times New Roman" w:cs="Times New Roman"/>
          <w:sz w:val="28"/>
          <w:szCs w:val="28"/>
          <w:lang w:val="uk-UA"/>
        </w:rPr>
        <w:t xml:space="preserve"> 79</w:t>
      </w:r>
      <w:r w:rsidR="00C20794">
        <w:rPr>
          <w:rFonts w:ascii="Times New Roman" w:hAnsi="Times New Roman" w:cs="Times New Roman"/>
          <w:sz w:val="28"/>
          <w:szCs w:val="28"/>
          <w:lang w:val="uk-UA"/>
        </w:rPr>
        <w:t xml:space="preserve"> </w:t>
      </w:r>
      <w:r w:rsidRPr="00212C58">
        <w:rPr>
          <w:rFonts w:ascii="Times New Roman" w:hAnsi="Times New Roman" w:cs="Times New Roman"/>
          <w:sz w:val="28"/>
          <w:szCs w:val="28"/>
          <w:lang w:val="uk-UA"/>
        </w:rPr>
        <w:t>% випадків), водночас</w:t>
      </w:r>
      <w:r w:rsidR="00C20794">
        <w:rPr>
          <w:rFonts w:ascii="Times New Roman" w:hAnsi="Times New Roman" w:cs="Times New Roman"/>
          <w:sz w:val="28"/>
          <w:szCs w:val="28"/>
          <w:lang w:val="uk-UA"/>
        </w:rPr>
        <w:t>,</w:t>
      </w:r>
      <w:r w:rsidRPr="00212C58">
        <w:rPr>
          <w:rFonts w:ascii="Times New Roman" w:hAnsi="Times New Roman" w:cs="Times New Roman"/>
          <w:sz w:val="28"/>
          <w:szCs w:val="28"/>
          <w:lang w:val="uk-UA"/>
        </w:rPr>
        <w:t xml:space="preserve"> як серед представників контрольної групи ці алелі спостерігали значно рідше (42%). Дані</w:t>
      </w:r>
      <w:r w:rsidR="001C4CF0" w:rsidRPr="00212C58">
        <w:rPr>
          <w:rFonts w:ascii="Times New Roman" w:hAnsi="Times New Roman" w:cs="Times New Roman"/>
          <w:sz w:val="28"/>
          <w:szCs w:val="28"/>
          <w:lang w:val="uk-UA"/>
        </w:rPr>
        <w:t xml:space="preserve"> алелі запропоновані</w:t>
      </w:r>
      <w:r w:rsidRPr="00212C58">
        <w:rPr>
          <w:rFonts w:ascii="Times New Roman" w:hAnsi="Times New Roman" w:cs="Times New Roman"/>
          <w:sz w:val="28"/>
          <w:szCs w:val="28"/>
          <w:lang w:val="uk-UA"/>
        </w:rPr>
        <w:t xml:space="preserve"> як маркери групи ризику щодо гінгівіту на</w:t>
      </w:r>
      <w:r w:rsidR="00C20794">
        <w:rPr>
          <w:rFonts w:ascii="Times New Roman" w:hAnsi="Times New Roman" w:cs="Times New Roman"/>
          <w:sz w:val="28"/>
          <w:szCs w:val="28"/>
          <w:lang w:val="uk-UA"/>
        </w:rPr>
        <w:t xml:space="preserve"> тлі атопічних захворювань або</w:t>
      </w:r>
      <w:r w:rsidRPr="00212C58">
        <w:rPr>
          <w:rFonts w:ascii="Times New Roman" w:hAnsi="Times New Roman" w:cs="Times New Roman"/>
          <w:sz w:val="28"/>
          <w:szCs w:val="28"/>
          <w:lang w:val="uk-UA"/>
        </w:rPr>
        <w:t xml:space="preserve"> як додатковий діагностичний тест для цієї групи захворювань.</w:t>
      </w:r>
    </w:p>
    <w:p w14:paraId="47B4AB70" w14:textId="7168F40B" w:rsidR="00813E93" w:rsidRPr="00212C58" w:rsidRDefault="001C4CF0" w:rsidP="001C4CF0">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lastRenderedPageBreak/>
        <w:t xml:space="preserve">Вперше </w:t>
      </w:r>
      <w:r w:rsidRPr="00212C58">
        <w:rPr>
          <w:rFonts w:ascii="Times New Roman" w:hAnsi="Times New Roman"/>
          <w:sz w:val="28"/>
          <w:szCs w:val="28"/>
          <w:lang w:val="uk-UA"/>
        </w:rPr>
        <w:t>р</w:t>
      </w:r>
      <w:r w:rsidR="00813E93" w:rsidRPr="00212C58">
        <w:rPr>
          <w:rFonts w:ascii="Times New Roman" w:hAnsi="Times New Roman"/>
          <w:sz w:val="28"/>
          <w:szCs w:val="28"/>
          <w:lang w:val="uk-UA"/>
        </w:rPr>
        <w:t>озроблено та об</w:t>
      </w:r>
      <w:r w:rsidRPr="00212C58">
        <w:rPr>
          <w:rFonts w:ascii="Times New Roman" w:hAnsi="Times New Roman" w:cs="Times New Roman"/>
          <w:sz w:val="28"/>
          <w:szCs w:val="28"/>
          <w:lang w:val="uk-UA"/>
        </w:rPr>
        <w:t>ґ</w:t>
      </w:r>
      <w:r w:rsidR="00813E93" w:rsidRPr="00212C58">
        <w:rPr>
          <w:rFonts w:ascii="Times New Roman" w:hAnsi="Times New Roman"/>
          <w:sz w:val="28"/>
          <w:szCs w:val="28"/>
          <w:lang w:val="uk-UA"/>
        </w:rPr>
        <w:t>рунтовано індивід</w:t>
      </w:r>
      <w:r w:rsidRPr="00212C58">
        <w:rPr>
          <w:rFonts w:ascii="Times New Roman" w:hAnsi="Times New Roman"/>
          <w:sz w:val="28"/>
          <w:szCs w:val="28"/>
          <w:lang w:val="uk-UA"/>
        </w:rPr>
        <w:t>уалізовану програму лікувально-</w:t>
      </w:r>
      <w:r w:rsidR="00813E93" w:rsidRPr="00212C58">
        <w:rPr>
          <w:rFonts w:ascii="Times New Roman" w:hAnsi="Times New Roman"/>
          <w:sz w:val="28"/>
          <w:szCs w:val="28"/>
          <w:lang w:val="uk-UA"/>
        </w:rPr>
        <w:t xml:space="preserve">профілактичних заходів </w:t>
      </w:r>
      <w:r w:rsidR="00813E93" w:rsidRPr="00212C58">
        <w:rPr>
          <w:rFonts w:ascii="Times New Roman" w:hAnsi="Times New Roman" w:cs="Times New Roman"/>
          <w:sz w:val="28"/>
          <w:szCs w:val="28"/>
          <w:lang w:val="uk-UA"/>
        </w:rPr>
        <w:t xml:space="preserve">на основі патогенетичної корекції імунологічного статусу та корекції антиоксидантного дисбалансу у дітей на тлі атопічних захворювань. Концептуально нова програма лікування та профілактики гінгівіту включала прийом імуномодулюючих препаратів при зниженні рівнів імуноглобулінів, таких як </w:t>
      </w:r>
      <w:r w:rsidR="00813E93" w:rsidRPr="00212C58">
        <w:rPr>
          <w:rFonts w:ascii="Times New Roman" w:hAnsi="Times New Roman" w:cs="Times New Roman"/>
          <w:sz w:val="28"/>
          <w:szCs w:val="28"/>
        </w:rPr>
        <w:t>sIgA</w:t>
      </w:r>
      <w:r w:rsidR="00813E93" w:rsidRPr="00212C58">
        <w:rPr>
          <w:rFonts w:ascii="Times New Roman" w:hAnsi="Times New Roman" w:cs="Times New Roman"/>
          <w:sz w:val="28"/>
          <w:szCs w:val="28"/>
          <w:lang w:val="uk-UA"/>
        </w:rPr>
        <w:t xml:space="preserve">, який дорівнював </w:t>
      </w:r>
      <w:r w:rsidR="00813E93" w:rsidRPr="00212C58">
        <w:rPr>
          <w:rFonts w:ascii="Times New Roman" w:hAnsi="Times New Roman"/>
          <w:sz w:val="28"/>
          <w:szCs w:val="28"/>
          <w:lang w:val="uk-UA"/>
        </w:rPr>
        <w:t xml:space="preserve">78.06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9.32 мг/л, 75.41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9.04 у другій групі; </w:t>
      </w:r>
      <w:r w:rsidR="00813E93" w:rsidRPr="00212C58">
        <w:rPr>
          <w:rFonts w:ascii="Times New Roman" w:hAnsi="Times New Roman"/>
          <w:sz w:val="28"/>
          <w:szCs w:val="28"/>
        </w:rPr>
        <w:t>IgG</w:t>
      </w:r>
      <w:r w:rsidR="00813E93" w:rsidRPr="00212C58">
        <w:rPr>
          <w:rFonts w:ascii="Times New Roman" w:hAnsi="Times New Roman"/>
          <w:sz w:val="28"/>
          <w:szCs w:val="28"/>
          <w:lang w:val="uk-UA"/>
        </w:rPr>
        <w:t xml:space="preserve"> - 1.72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0.49 г/л у першій групі, 1.56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0.49 г/л у другій групі,</w:t>
      </w:r>
      <w:r w:rsidR="00813E93" w:rsidRPr="00212C58">
        <w:rPr>
          <w:rFonts w:ascii="Times New Roman" w:hAnsi="Times New Roman" w:cs="Times New Roman"/>
          <w:sz w:val="28"/>
          <w:szCs w:val="28"/>
          <w:lang w:val="uk-UA"/>
        </w:rPr>
        <w:t xml:space="preserve"> та вітамінно-антиоксидантних комплексів за наявності антиоксидантного д</w:t>
      </w:r>
      <w:r w:rsidR="00C20794">
        <w:rPr>
          <w:rFonts w:ascii="Times New Roman" w:hAnsi="Times New Roman" w:cs="Times New Roman"/>
          <w:sz w:val="28"/>
          <w:szCs w:val="28"/>
          <w:lang w:val="uk-UA"/>
        </w:rPr>
        <w:t>исбалансу, а саме зниження рівня</w:t>
      </w:r>
      <w:r w:rsidR="00813E93" w:rsidRPr="00212C58">
        <w:rPr>
          <w:rFonts w:ascii="Times New Roman" w:hAnsi="Times New Roman" w:cs="Times New Roman"/>
          <w:sz w:val="28"/>
          <w:szCs w:val="28"/>
          <w:lang w:val="uk-UA"/>
        </w:rPr>
        <w:t xml:space="preserve"> відновленого глутатіону (</w:t>
      </w:r>
      <w:r w:rsidR="00813E93" w:rsidRPr="00212C58">
        <w:rPr>
          <w:rFonts w:ascii="Times New Roman" w:hAnsi="Times New Roman"/>
          <w:sz w:val="28"/>
          <w:szCs w:val="28"/>
          <w:lang w:val="uk-UA"/>
        </w:rPr>
        <w:t xml:space="preserve">2.31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0.44 ммоль/л у першій групі, 2.69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0.56 ммоль/л у другій групі</w:t>
      </w:r>
      <w:r w:rsidR="00813E93" w:rsidRPr="00212C58">
        <w:rPr>
          <w:rFonts w:ascii="Times New Roman" w:hAnsi="Times New Roman" w:cs="Times New Roman"/>
          <w:sz w:val="28"/>
          <w:szCs w:val="28"/>
          <w:lang w:val="uk-UA"/>
        </w:rPr>
        <w:t>), супероксиддисмутази (</w:t>
      </w:r>
      <w:r w:rsidR="00813E93" w:rsidRPr="00212C58">
        <w:rPr>
          <w:rFonts w:ascii="Times New Roman" w:hAnsi="Times New Roman"/>
          <w:sz w:val="28"/>
          <w:szCs w:val="28"/>
          <w:lang w:val="uk-UA"/>
        </w:rPr>
        <w:t xml:space="preserve">3.30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0.41 у.о./л у першій групі, 3.27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0.40 у.о./л. у другій групі пацієнтів</w:t>
      </w:r>
      <w:r w:rsidR="00813E93" w:rsidRPr="00212C58">
        <w:rPr>
          <w:rFonts w:ascii="Times New Roman" w:hAnsi="Times New Roman" w:cs="Times New Roman"/>
          <w:sz w:val="28"/>
          <w:szCs w:val="28"/>
          <w:lang w:val="uk-UA"/>
        </w:rPr>
        <w:t>), підвищення рівня малонового диальдегіду (</w:t>
      </w:r>
      <w:r w:rsidR="00813E93" w:rsidRPr="00212C58">
        <w:rPr>
          <w:rFonts w:ascii="Times New Roman" w:hAnsi="Times New Roman"/>
          <w:sz w:val="28"/>
          <w:szCs w:val="28"/>
          <w:lang w:val="uk-UA"/>
        </w:rPr>
        <w:t xml:space="preserve">6.87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 xml:space="preserve">0.91 мкмоль/л у першій групі, 5.96 </w:t>
      </w:r>
      <w:r w:rsidR="00813E93" w:rsidRPr="00212C58">
        <w:rPr>
          <w:rFonts w:ascii="Times New Roman" w:hAnsi="Times New Roman" w:cs="Times New Roman"/>
          <w:sz w:val="28"/>
          <w:szCs w:val="28"/>
          <w:lang w:val="uk-UA"/>
        </w:rPr>
        <w:t xml:space="preserve">± </w:t>
      </w:r>
      <w:r w:rsidR="00813E93" w:rsidRPr="00212C58">
        <w:rPr>
          <w:rFonts w:ascii="Times New Roman" w:hAnsi="Times New Roman"/>
          <w:sz w:val="28"/>
          <w:szCs w:val="28"/>
          <w:lang w:val="uk-UA"/>
        </w:rPr>
        <w:t>0.79 мкмоль/л у другій групі</w:t>
      </w:r>
      <w:r w:rsidR="00813E93" w:rsidRPr="00212C58">
        <w:rPr>
          <w:rFonts w:ascii="Times New Roman" w:hAnsi="Times New Roman" w:cs="Times New Roman"/>
          <w:sz w:val="28"/>
          <w:szCs w:val="28"/>
          <w:lang w:val="uk-UA"/>
        </w:rPr>
        <w:t xml:space="preserve">). Корекція схеми індивідуальної гігієни полягала у використанні зволожувального гелю для ясен та ополіскувача при ксеростомії, астматичних нападах та застосуванні інгаляційних медикаментозних засобів. </w:t>
      </w:r>
    </w:p>
    <w:p w14:paraId="2DCC23EC" w14:textId="7ED1A358" w:rsidR="00813E93" w:rsidRPr="00212C58" w:rsidRDefault="00813E93" w:rsidP="00813E93">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В</w:t>
      </w:r>
      <w:r w:rsidR="001C4CF0" w:rsidRPr="00212C58">
        <w:rPr>
          <w:rFonts w:ascii="Times New Roman" w:hAnsi="Times New Roman" w:cs="Times New Roman"/>
          <w:sz w:val="28"/>
          <w:szCs w:val="28"/>
          <w:lang w:val="uk-UA"/>
        </w:rPr>
        <w:t>перше в</w:t>
      </w:r>
      <w:r w:rsidRPr="00212C58">
        <w:rPr>
          <w:rFonts w:ascii="Times New Roman" w:hAnsi="Times New Roman" w:cs="Times New Roman"/>
          <w:sz w:val="28"/>
          <w:szCs w:val="28"/>
          <w:lang w:val="uk-UA"/>
        </w:rPr>
        <w:t xml:space="preserve">проваджено використання концептуально нової </w:t>
      </w:r>
      <w:r w:rsidR="009141C4">
        <w:rPr>
          <w:rFonts w:ascii="Times New Roman" w:hAnsi="Times New Roman" w:cs="Times New Roman"/>
          <w:sz w:val="28"/>
          <w:szCs w:val="28"/>
          <w:lang w:val="uk-UA"/>
        </w:rPr>
        <w:t>програми</w:t>
      </w:r>
      <w:r w:rsidRPr="00212C58">
        <w:rPr>
          <w:rFonts w:ascii="Times New Roman" w:hAnsi="Times New Roman" w:cs="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 Оцінювання клінічної ефективності у динаміці показало нормалізацію сто</w:t>
      </w:r>
      <w:r w:rsidR="00F3091E" w:rsidRPr="00212C58">
        <w:rPr>
          <w:rFonts w:ascii="Times New Roman" w:hAnsi="Times New Roman" w:cs="Times New Roman"/>
          <w:sz w:val="28"/>
          <w:szCs w:val="28"/>
          <w:lang w:val="uk-UA"/>
        </w:rPr>
        <w:t>матологічного статусу</w:t>
      </w:r>
      <w:r w:rsidRPr="00212C58">
        <w:rPr>
          <w:rFonts w:ascii="Times New Roman" w:hAnsi="Times New Roman" w:cs="Times New Roman"/>
          <w:sz w:val="28"/>
          <w:szCs w:val="28"/>
          <w:lang w:val="uk-UA"/>
        </w:rPr>
        <w:t xml:space="preserve">, при оцінюванні через дванадцять місяців РМА дорінював </w:t>
      </w:r>
      <w:r w:rsidRPr="00212C58">
        <w:rPr>
          <w:rFonts w:ascii="Times New Roman" w:hAnsi="Times New Roman"/>
          <w:sz w:val="28"/>
          <w:szCs w:val="28"/>
          <w:lang w:val="uk-UA"/>
        </w:rPr>
        <w:t xml:space="preserve">3,59 </w:t>
      </w:r>
      <w:r w:rsidRPr="00212C58">
        <w:rPr>
          <w:rFonts w:ascii="Times New Roman" w:hAnsi="Times New Roman" w:cs="Times New Roman"/>
          <w:sz w:val="28"/>
          <w:szCs w:val="28"/>
          <w:lang w:val="uk-UA"/>
        </w:rPr>
        <w:t xml:space="preserve">± 2,31 % у першій групі, </w:t>
      </w:r>
      <w:r w:rsidRPr="00212C58">
        <w:rPr>
          <w:rFonts w:ascii="Times New Roman" w:hAnsi="Times New Roman"/>
          <w:sz w:val="28"/>
          <w:szCs w:val="28"/>
          <w:lang w:val="uk-UA"/>
        </w:rPr>
        <w:t xml:space="preserve">1,94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1,61 % у другій групі</w:t>
      </w:r>
      <w:r w:rsidRPr="00212C58">
        <w:rPr>
          <w:rFonts w:ascii="Times New Roman" w:hAnsi="Times New Roman" w:cs="Times New Roman"/>
          <w:sz w:val="28"/>
          <w:szCs w:val="28"/>
          <w:lang w:val="uk-UA"/>
        </w:rPr>
        <w:t xml:space="preserve">; </w:t>
      </w:r>
      <w:r w:rsidRPr="00212C58">
        <w:rPr>
          <w:rFonts w:ascii="Times New Roman" w:hAnsi="Times New Roman" w:cs="Times New Roman"/>
          <w:sz w:val="28"/>
          <w:szCs w:val="28"/>
        </w:rPr>
        <w:t>SBI</w:t>
      </w:r>
      <w:r w:rsidRPr="00212C58">
        <w:rPr>
          <w:rFonts w:ascii="Times New Roman" w:hAnsi="Times New Roman" w:cs="Times New Roman"/>
          <w:sz w:val="28"/>
          <w:szCs w:val="28"/>
          <w:lang w:val="uk-UA"/>
        </w:rPr>
        <w:t xml:space="preserve"> - </w:t>
      </w:r>
      <w:r w:rsidRPr="00212C58">
        <w:rPr>
          <w:rFonts w:ascii="Times New Roman" w:hAnsi="Times New Roman"/>
          <w:sz w:val="28"/>
          <w:szCs w:val="28"/>
          <w:lang w:val="uk-UA"/>
        </w:rPr>
        <w:t xml:space="preserve">0,17 </w:t>
      </w:r>
      <w:r w:rsidRPr="00212C58">
        <w:rPr>
          <w:rFonts w:ascii="Times New Roman" w:hAnsi="Times New Roman" w:cs="Times New Roman"/>
          <w:sz w:val="28"/>
          <w:szCs w:val="28"/>
          <w:lang w:val="uk-UA"/>
        </w:rPr>
        <w:t xml:space="preserve">± 0,14 бали у першій групі, </w:t>
      </w:r>
      <w:r w:rsidRPr="00212C58">
        <w:rPr>
          <w:rFonts w:ascii="Times New Roman" w:hAnsi="Times New Roman"/>
          <w:sz w:val="28"/>
          <w:szCs w:val="28"/>
          <w:lang w:val="uk-UA"/>
        </w:rPr>
        <w:t xml:space="preserve">0,13 </w:t>
      </w:r>
      <w:r w:rsidRPr="00212C58">
        <w:rPr>
          <w:rFonts w:ascii="Times New Roman" w:hAnsi="Times New Roman" w:cs="Times New Roman"/>
          <w:sz w:val="28"/>
          <w:szCs w:val="28"/>
          <w:lang w:val="uk-UA"/>
        </w:rPr>
        <w:t xml:space="preserve">± </w:t>
      </w:r>
      <w:r w:rsidR="00C20794">
        <w:rPr>
          <w:rFonts w:ascii="Times New Roman" w:hAnsi="Times New Roman"/>
          <w:sz w:val="28"/>
          <w:szCs w:val="28"/>
          <w:lang w:val="uk-UA"/>
        </w:rPr>
        <w:t>0,13 бали в</w:t>
      </w:r>
      <w:r w:rsidRPr="00212C58">
        <w:rPr>
          <w:rFonts w:ascii="Times New Roman" w:hAnsi="Times New Roman"/>
          <w:sz w:val="28"/>
          <w:szCs w:val="28"/>
          <w:lang w:val="uk-UA"/>
        </w:rPr>
        <w:t xml:space="preserve"> другій групі</w:t>
      </w:r>
      <w:r w:rsidRPr="00212C58">
        <w:rPr>
          <w:rFonts w:ascii="Times New Roman" w:hAnsi="Times New Roman" w:cs="Times New Roman"/>
          <w:sz w:val="28"/>
          <w:szCs w:val="28"/>
          <w:lang w:val="uk-UA"/>
        </w:rPr>
        <w:t xml:space="preserve">; </w:t>
      </w:r>
      <w:r w:rsidRPr="00212C58">
        <w:rPr>
          <w:rFonts w:ascii="Times New Roman" w:hAnsi="Times New Roman" w:cs="Times New Roman"/>
          <w:sz w:val="28"/>
          <w:szCs w:val="28"/>
        </w:rPr>
        <w:t>OHI</w:t>
      </w:r>
      <w:r w:rsidRPr="00212C58">
        <w:rPr>
          <w:rFonts w:ascii="Times New Roman" w:hAnsi="Times New Roman" w:cs="Times New Roman"/>
          <w:sz w:val="28"/>
          <w:szCs w:val="28"/>
          <w:lang w:val="uk-UA"/>
        </w:rPr>
        <w:t>-</w:t>
      </w:r>
      <w:r w:rsidRPr="00212C58">
        <w:rPr>
          <w:rFonts w:ascii="Times New Roman" w:hAnsi="Times New Roman" w:cs="Times New Roman"/>
          <w:sz w:val="28"/>
          <w:szCs w:val="28"/>
        </w:rPr>
        <w:t>S</w:t>
      </w:r>
      <w:r w:rsidRPr="00212C58">
        <w:rPr>
          <w:rFonts w:ascii="Times New Roman" w:hAnsi="Times New Roman" w:cs="Times New Roman"/>
          <w:sz w:val="28"/>
          <w:szCs w:val="28"/>
          <w:lang w:val="uk-UA"/>
        </w:rPr>
        <w:t xml:space="preserve"> - </w:t>
      </w:r>
      <w:r w:rsidRPr="00212C58">
        <w:rPr>
          <w:rFonts w:ascii="Times New Roman" w:hAnsi="Times New Roman"/>
          <w:sz w:val="28"/>
          <w:szCs w:val="28"/>
          <w:lang w:val="uk-UA"/>
        </w:rPr>
        <w:t xml:space="preserve">0.57±0.18 бали </w:t>
      </w:r>
      <w:r w:rsidR="00C20794">
        <w:rPr>
          <w:rFonts w:ascii="Times New Roman" w:hAnsi="Times New Roman"/>
          <w:sz w:val="28"/>
          <w:szCs w:val="28"/>
          <w:lang w:val="uk-UA"/>
        </w:rPr>
        <w:t>у першій групі, 0.63±0.20 бали в</w:t>
      </w:r>
      <w:r w:rsidRPr="00212C58">
        <w:rPr>
          <w:rFonts w:ascii="Times New Roman" w:hAnsi="Times New Roman"/>
          <w:sz w:val="28"/>
          <w:szCs w:val="28"/>
          <w:lang w:val="uk-UA"/>
        </w:rPr>
        <w:t xml:space="preserve"> другій групі</w:t>
      </w:r>
      <w:r w:rsidRPr="00212C58">
        <w:rPr>
          <w:rFonts w:ascii="Times New Roman" w:hAnsi="Times New Roman" w:cs="Times New Roman"/>
          <w:sz w:val="28"/>
          <w:szCs w:val="28"/>
          <w:lang w:val="uk-UA"/>
        </w:rPr>
        <w:t xml:space="preserve">; рівню муцину - </w:t>
      </w:r>
      <w:r w:rsidRPr="00212C58">
        <w:rPr>
          <w:rFonts w:ascii="Times New Roman" w:hAnsi="Times New Roman"/>
          <w:sz w:val="28"/>
          <w:szCs w:val="28"/>
          <w:lang w:val="uk-UA"/>
        </w:rPr>
        <w:t xml:space="preserve">2.48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 xml:space="preserve">0.55 г/л у першій групі, 2.37 </w:t>
      </w:r>
      <w:r w:rsidRPr="00212C58">
        <w:rPr>
          <w:rFonts w:ascii="Times New Roman" w:hAnsi="Times New Roman" w:cs="Times New Roman"/>
          <w:sz w:val="28"/>
          <w:szCs w:val="28"/>
          <w:lang w:val="uk-UA"/>
        </w:rPr>
        <w:t xml:space="preserve">± </w:t>
      </w:r>
      <w:r w:rsidRPr="00212C58">
        <w:rPr>
          <w:rFonts w:ascii="Times New Roman" w:hAnsi="Times New Roman"/>
          <w:sz w:val="28"/>
          <w:szCs w:val="28"/>
          <w:lang w:val="uk-UA"/>
        </w:rPr>
        <w:t>0.53</w:t>
      </w:r>
      <w:r w:rsidR="00C20794">
        <w:rPr>
          <w:rFonts w:ascii="Times New Roman" w:hAnsi="Times New Roman" w:cs="Times New Roman"/>
          <w:sz w:val="28"/>
          <w:szCs w:val="28"/>
          <w:lang w:val="uk-UA"/>
        </w:rPr>
        <w:t xml:space="preserve"> г/л в</w:t>
      </w:r>
      <w:r w:rsidRPr="00212C58">
        <w:rPr>
          <w:rFonts w:ascii="Times New Roman" w:hAnsi="Times New Roman" w:cs="Times New Roman"/>
          <w:sz w:val="28"/>
          <w:szCs w:val="28"/>
          <w:lang w:val="uk-UA"/>
        </w:rPr>
        <w:t xml:space="preserve"> другій групі. Зазначені показники достовірно відрізнялися від показників контрольної групи пацієнтів, що підтверджує ефективність концептуально нової програми лікування та профілактики запальних захворювань пародонту.</w:t>
      </w:r>
    </w:p>
    <w:p w14:paraId="51190BE2" w14:textId="4A90015A" w:rsidR="00813E93" w:rsidRPr="00212C58" w:rsidRDefault="00813E93" w:rsidP="00476D71">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 xml:space="preserve">Практично значимим є визначення найбільш інформативних неінвазивних біомаркерів у ротовій рідині, які є предикторами запалення тканин пародонту та </w:t>
      </w:r>
      <w:r w:rsidRPr="00212C58">
        <w:rPr>
          <w:rFonts w:ascii="Times New Roman" w:hAnsi="Times New Roman" w:cs="Times New Roman"/>
          <w:sz w:val="28"/>
          <w:szCs w:val="28"/>
          <w:lang w:val="uk-UA"/>
        </w:rPr>
        <w:lastRenderedPageBreak/>
        <w:t xml:space="preserve">визначаються під час профілактичних оглядів та на доклінічній стадії розвитку хвороби. До таких біомаркерів належать рівні секреторного імуноглобуліну А та імуноглобуліну </w:t>
      </w:r>
      <w:r w:rsidRPr="00212C58">
        <w:rPr>
          <w:rFonts w:ascii="Times New Roman" w:hAnsi="Times New Roman" w:cs="Times New Roman"/>
          <w:sz w:val="28"/>
          <w:szCs w:val="28"/>
        </w:rPr>
        <w:t>G</w:t>
      </w:r>
      <w:r w:rsidRPr="00212C58">
        <w:rPr>
          <w:rFonts w:ascii="Times New Roman" w:hAnsi="Times New Roman" w:cs="Times New Roman"/>
          <w:sz w:val="28"/>
          <w:szCs w:val="28"/>
          <w:lang w:val="uk-UA"/>
        </w:rPr>
        <w:t>, а також рівень глутатіону у ротовій рідині.</w:t>
      </w:r>
      <w:r w:rsidR="00C20794">
        <w:rPr>
          <w:rFonts w:ascii="Times New Roman" w:hAnsi="Times New Roman" w:cs="Times New Roman"/>
          <w:sz w:val="28"/>
          <w:szCs w:val="28"/>
          <w:lang w:val="uk-UA"/>
        </w:rPr>
        <w:t xml:space="preserve"> Практичне значення полягає в</w:t>
      </w:r>
      <w:r w:rsidR="00476D71" w:rsidRPr="00212C58">
        <w:rPr>
          <w:rFonts w:ascii="Times New Roman" w:hAnsi="Times New Roman" w:cs="Times New Roman"/>
          <w:sz w:val="28"/>
          <w:szCs w:val="28"/>
          <w:lang w:val="uk-UA"/>
        </w:rPr>
        <w:t xml:space="preserve"> розробці та впровадженні концептуально нової програми лікування та профілактики запальних захворювань пародонту, яка ґрунтується на ранній ідентифікації біомаркерів запалення та направленій корекції імунометаболічних розладів.</w:t>
      </w:r>
    </w:p>
    <w:p w14:paraId="48E9CA6C" w14:textId="706B8A9E" w:rsidR="00813E93" w:rsidRPr="00212C58" w:rsidRDefault="00813E93" w:rsidP="00813E93">
      <w:pPr>
        <w:spacing w:after="0" w:line="360" w:lineRule="auto"/>
        <w:ind w:firstLine="709"/>
        <w:jc w:val="both"/>
        <w:rPr>
          <w:rFonts w:ascii="Times New Roman" w:hAnsi="Times New Roman" w:cs="Times New Roman"/>
          <w:sz w:val="28"/>
          <w:szCs w:val="28"/>
          <w:lang w:val="uk-UA"/>
        </w:rPr>
      </w:pPr>
      <w:r w:rsidRPr="00212C58">
        <w:rPr>
          <w:rFonts w:ascii="Times New Roman" w:hAnsi="Times New Roman" w:cs="Times New Roman"/>
          <w:sz w:val="28"/>
          <w:szCs w:val="28"/>
          <w:lang w:val="uk-UA"/>
        </w:rPr>
        <w:t xml:space="preserve">Ключові слова: гінгівіт, атопічні захворювання, імунний статус, </w:t>
      </w:r>
      <w:r w:rsidR="00647972" w:rsidRPr="00212C58">
        <w:rPr>
          <w:rFonts w:ascii="Times New Roman" w:hAnsi="Times New Roman" w:cs="Times New Roman"/>
          <w:sz w:val="28"/>
          <w:szCs w:val="28"/>
          <w:lang w:val="uk-UA"/>
        </w:rPr>
        <w:t xml:space="preserve">антиоксидантний баланс, </w:t>
      </w:r>
      <w:r w:rsidRPr="00212C58">
        <w:rPr>
          <w:rFonts w:ascii="Times New Roman" w:hAnsi="Times New Roman" w:cs="Times New Roman"/>
          <w:sz w:val="28"/>
          <w:szCs w:val="28"/>
          <w:lang w:val="uk-UA"/>
        </w:rPr>
        <w:t>регресійний аналіз.</w:t>
      </w:r>
    </w:p>
    <w:p w14:paraId="68B1C5DC" w14:textId="77777777" w:rsidR="00647972" w:rsidRPr="00212C58" w:rsidRDefault="00647972">
      <w:pPr>
        <w:rPr>
          <w:rFonts w:ascii="Times New Roman" w:hAnsi="Times New Roman" w:cs="Times New Roman"/>
          <w:sz w:val="28"/>
          <w:szCs w:val="28"/>
          <w:lang w:val="uk-UA"/>
        </w:rPr>
      </w:pPr>
    </w:p>
    <w:p w14:paraId="7BFB2684" w14:textId="35AA0DEB" w:rsidR="008A7106" w:rsidRDefault="00F3091E" w:rsidP="00F3091E">
      <w:pPr>
        <w:spacing w:after="0" w:line="360" w:lineRule="auto"/>
        <w:jc w:val="center"/>
        <w:rPr>
          <w:rFonts w:ascii="Times New Roman" w:hAnsi="Times New Roman" w:cs="Times New Roman"/>
          <w:b/>
          <w:sz w:val="28"/>
          <w:szCs w:val="28"/>
        </w:rPr>
      </w:pPr>
      <w:r w:rsidRPr="00212C58">
        <w:rPr>
          <w:rFonts w:ascii="Times New Roman" w:hAnsi="Times New Roman" w:cs="Times New Roman"/>
          <w:b/>
          <w:sz w:val="28"/>
          <w:szCs w:val="28"/>
        </w:rPr>
        <w:t>ANNOTATION</w:t>
      </w:r>
    </w:p>
    <w:p w14:paraId="0E3CC491" w14:textId="77777777" w:rsidR="00E24DEC" w:rsidRPr="00212C58" w:rsidRDefault="00E24DEC" w:rsidP="00F3091E">
      <w:pPr>
        <w:spacing w:after="0" w:line="360" w:lineRule="auto"/>
        <w:jc w:val="center"/>
        <w:rPr>
          <w:rFonts w:ascii="Times New Roman" w:hAnsi="Times New Roman" w:cs="Times New Roman"/>
          <w:b/>
          <w:sz w:val="28"/>
          <w:szCs w:val="28"/>
        </w:rPr>
      </w:pPr>
    </w:p>
    <w:p w14:paraId="24FCF70B" w14:textId="4C794E89" w:rsidR="008A7106" w:rsidRPr="00212C58" w:rsidRDefault="00F3091E"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i/>
          <w:sz w:val="28"/>
          <w:szCs w:val="28"/>
        </w:rPr>
        <w:t>Kry</w:t>
      </w:r>
      <w:r w:rsidR="008A7106" w:rsidRPr="00212C58">
        <w:rPr>
          <w:rFonts w:ascii="Times New Roman" w:hAnsi="Times New Roman" w:cs="Times New Roman"/>
          <w:i/>
          <w:sz w:val="28"/>
          <w:szCs w:val="28"/>
        </w:rPr>
        <w:t>venko L.S</w:t>
      </w:r>
      <w:r w:rsidR="008A7106" w:rsidRPr="00212C58">
        <w:rPr>
          <w:rFonts w:ascii="Times New Roman" w:hAnsi="Times New Roman" w:cs="Times New Roman"/>
          <w:sz w:val="28"/>
          <w:szCs w:val="28"/>
        </w:rPr>
        <w:t>. Gingivitis in children with atopic diseases (clinic, diagnosis, prevention and treatment). Qualification scientific work on the rights of manuscripts.</w:t>
      </w:r>
    </w:p>
    <w:p w14:paraId="161C4AC7" w14:textId="286365BC" w:rsidR="008A7106" w:rsidRPr="00212C58" w:rsidRDefault="008A7106"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Dissertation for the</w:t>
      </w:r>
      <w:r w:rsidR="009141C4">
        <w:rPr>
          <w:rFonts w:ascii="Times New Roman" w:hAnsi="Times New Roman" w:cs="Times New Roman"/>
          <w:sz w:val="28"/>
          <w:szCs w:val="28"/>
          <w:lang w:val="uk-UA"/>
        </w:rPr>
        <w:t xml:space="preserve"> </w:t>
      </w:r>
      <w:r w:rsidR="009141C4">
        <w:rPr>
          <w:rFonts w:ascii="Times New Roman" w:hAnsi="Times New Roman" w:cs="Times New Roman"/>
          <w:sz w:val="28"/>
          <w:szCs w:val="28"/>
        </w:rPr>
        <w:t>scientific</w:t>
      </w:r>
      <w:r w:rsidRPr="00212C58">
        <w:rPr>
          <w:rFonts w:ascii="Times New Roman" w:hAnsi="Times New Roman" w:cs="Times New Roman"/>
          <w:sz w:val="28"/>
          <w:szCs w:val="28"/>
        </w:rPr>
        <w:t xml:space="preserve"> degree of Doctor of Medical Sciences in specialty 14.01.22 - Dentistry. - Kharkiv National Medical University, Ministry of Health of Ukraine, Kharkiv, 2018.</w:t>
      </w:r>
    </w:p>
    <w:p w14:paraId="74C9A9C8" w14:textId="7F8A4D23" w:rsidR="008A7106" w:rsidRPr="00212C58" w:rsidRDefault="008A7106" w:rsidP="008A7106">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 xml:space="preserve">The purpose of the work was </w:t>
      </w:r>
      <w:r w:rsidR="009141C4">
        <w:rPr>
          <w:rFonts w:ascii="Times New Roman" w:hAnsi="Times New Roman" w:cs="Times New Roman"/>
          <w:sz w:val="28"/>
          <w:szCs w:val="28"/>
        </w:rPr>
        <w:t>to develop</w:t>
      </w:r>
      <w:r w:rsidRPr="00212C58">
        <w:rPr>
          <w:rFonts w:ascii="Times New Roman" w:hAnsi="Times New Roman" w:cs="Times New Roman"/>
          <w:sz w:val="28"/>
          <w:szCs w:val="28"/>
        </w:rPr>
        <w:t xml:space="preserve"> a conceptually new program of treatment and prevention of chronic gingivitis in children with atopic diseases by means of a complex analysis of the dental status, the identification of prognostic biomarkers for the initiation of inflammatory diseases of the periodontal disease and differential correction of the immune metabolic units of the pathogenesis of inflammatory diseases of the periodontal disease. Clinical, experimental, biochemical, clinical-laboratory, genetic, cytomorphological, immunohistochemical, clinical-statistical methods of investigation were used </w:t>
      </w:r>
      <w:r w:rsidR="00D601F6" w:rsidRPr="00212C58">
        <w:rPr>
          <w:rFonts w:ascii="Times New Roman" w:hAnsi="Times New Roman" w:cs="Times New Roman"/>
          <w:sz w:val="28"/>
          <w:szCs w:val="28"/>
        </w:rPr>
        <w:t>to achieve the purpose</w:t>
      </w:r>
      <w:r w:rsidRPr="00212C58">
        <w:rPr>
          <w:rFonts w:ascii="Times New Roman" w:hAnsi="Times New Roman" w:cs="Times New Roman"/>
          <w:sz w:val="28"/>
          <w:szCs w:val="28"/>
        </w:rPr>
        <w:t>.</w:t>
      </w:r>
    </w:p>
    <w:p w14:paraId="3F7999EA"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Scientific novelty of the conducted research is in solution of the problem of prognosis, early diagnosis, prevention and treatment of gingivitis in children with atopic diseases, which was achieved through a comprehensive study of clinical, immunological and antioxidant status of this contingent and regression analysis of the data.</w:t>
      </w:r>
    </w:p>
    <w:p w14:paraId="37128551"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lastRenderedPageBreak/>
        <w:t>The indexes of clinical dentistry status in children with gingivitis and the leading etiological factors of development of gingivitis in children with atopic diseases are studied. It was found that in children with atopic diseases, the degree of inflammation of periodontal tissues according to the SBI and PMA index was significantly higher (SBI was 2.11 ± 0.22 and the PMA was 21.14 ± 1.86%) than in children without atopic diseases, where the SBI was 0.48 ± 0.21 points, PMA - at the level of 6.03 ± 2.56%. There were changes in the properties of the saliva, which consisted in increasing the acidity to 4.94 ± 0.49 and increasing the level of mucin to 5.76 ± 0.82 g / l in the average among groups of children with atopy. It has been established that in the group of patients with atopic diseases at the minimum values of indices characterizing inflammation in periodontal tissues, an immune metabolic imbalance has already been observed, which makes it possible to determine the stage of pre-illness in this contingent of children. It has been established that irrespective of the level of inflammation, there is a decrease in the level of immunoglobulins of class A, G, M and decrease in activity of SOD, increase of concentration of MDA, decrease of the content of catalase and glutathione. The leading etiological factors of chronic gingivitis in children with atopic diseases are the presence of immune-metabolic imbalance.</w:t>
      </w:r>
    </w:p>
    <w:p w14:paraId="5C915010"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 xml:space="preserve">It has been experimentally proved for the first time that, in atopic processes in the oral cavity, the morphological picture is characterized by inflammatory, dystrophic, dyscirculatory changes accompanied by a violation of the synthase of nitric oxide. The latter is characterized by a decrease in the synthesis of the endothelial fraction of nitric oxide synthase, an increase in the activity of inducible nitric oxide synthase more than twice, an increase in the activity of endothelial nitric oxide synthase in the extravascular space. Cytophotometry indicates the accumulation of endothelial NO-synthase in the vessel at the level of 0.79 ± 0.11 units, in the perivascular space 0.27 ± 0.04 units in a group of animals with modulated atopy. In the mucose, the vast majority of cellular elements were immunopolitical to CD23, while the density of cells with nuclear dyeing of CD23 was 7.7-fold higher in a group of animals with atopy than in intact animals. Application of the proposed treatment method can improve the </w:t>
      </w:r>
      <w:r w:rsidRPr="00212C58">
        <w:rPr>
          <w:rFonts w:ascii="Times New Roman" w:hAnsi="Times New Roman" w:cs="Times New Roman"/>
          <w:sz w:val="28"/>
          <w:szCs w:val="28"/>
        </w:rPr>
        <w:lastRenderedPageBreak/>
        <w:t>microcirculatory of the mucous membrane, which manifests itself in the restoration of constriction and dilatatory mechanisms of vascular tone.</w:t>
      </w:r>
    </w:p>
    <w:p w14:paraId="4DB95545"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the most informative non-invasive screening and prognostic biomarkers of the oral fluid were obtained using the regression analysis of data from a complex clinical dental examination of patients and an immune-metabolic oral fluid test. For the first time a prognostic model of periodontal inflammatory diseases was constructed on the basis of the most informative biomarkers of inflammation obtained during the study. The linear regression equation was constructed, with the help of which a determination of predictive values of inflammation of periodontal tissues is possible in the course of carrying out preventive and therapeutic measures. The coefficients of the linear regression equation depend on the degree of periodontal tissue inflammation of the immune globulin A level, which is minus 1.63 and 10.85; the level of the index of bleeding depends on the level of secretory immunoglobulin A-minus 88.7 and 50.6; from the level of immunoglobulin G - minus 0,32 and 0,98. The coefficients of the linear regression equation are determined, which characterizes the dependence of glutathione as the most informative biomarker, which characterizes the degree of gum inflammation, minus 2.49 and 40.97.</w:t>
      </w:r>
    </w:p>
    <w:p w14:paraId="5A0921A4"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it has been determined that the most informative biomarker, which characterizes the antioxidant status and allows to predict the degree of periodontal tissue inflammation, is the level of glutathione in the oral liquid, the determination coefficient is 91%. It was established that the determination coefficient of the level of inflammation of the periodontal tissues (by the index SBI) from the level of secretory immunoglobulin A is 86%, on the level of immunoglobulin G - 82%. It was established that the determination coefficient of the level of inflammation of periodontal tissues (by the index of PMA) from the level of immunoglobulin A is 76%. These biomarkers can be used to predict inflammatory periodontal disease in periodontal healthy children.</w:t>
      </w:r>
    </w:p>
    <w:p w14:paraId="2B5C67CC"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 xml:space="preserve">There was a tendency to different formations of the immune response (by immunoglobulins A, G, M) in patients with atopic diseases and different genotypes for rs1801270 polymorphism, in particular AA homozygotes tend to be more aggressive </w:t>
      </w:r>
      <w:r w:rsidRPr="00212C58">
        <w:rPr>
          <w:rFonts w:ascii="Times New Roman" w:hAnsi="Times New Roman" w:cs="Times New Roman"/>
          <w:sz w:val="28"/>
          <w:szCs w:val="28"/>
        </w:rPr>
        <w:lastRenderedPageBreak/>
        <w:t>in the course of gingivitis. For the first time in children with atopic diseases, genetic predictors of the development of dental diseases were found in children with atopic diseases, namely, "long" alleles with 7, 8, or 9 repetitions in the 36th gene of MUC5B (common in 79% of cases) were defined for the representatives of this group. , at the same time, among the representatives of the control group, these alleles were observed much less frequently (42%). These alleles are proposed as risk markers for gingivitis with atopic diseases, or as an additional diagnostic test for this disease group.</w:t>
      </w:r>
    </w:p>
    <w:p w14:paraId="1306C113"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For the first time an individualized program of therapeutic and prophylactic measures was developed and grounded on the basis of pathogenetic correction of immunological status and correction of antioxidant imbalance in children with atopic diseases. Conceptually new program for the treatment and prevention of gingivitis included the indication of immunomodulatory drugs in the cases of a decrease in levels of immunoglobulins such as sIgA, which was 78.06 ± 9.32 mg / l, 75.41 ± 9.04 in the second group; IgG was 1.72 ± 0.49 g / l in the first group, 1.56 ± 0.49 g / l in the second group, and vitamin-antioxidant complexes in the presence of antioxidant imbalance, namely a decrease in the level of reduced glutathione (2.31 ± 0.44 mmol / l in the first group, 2.69 ± 0.56 mmol / L in the second group), superoxide dismutase (3.30 ± 0.41 U.S. / l in the first group, 3.27 ± 0.40 U.S. / l in the second group of patients), increase in the level of malondialdehyde (6.87 ± 0.91 μmol / l in the first group, 5.96 ± 0.79 μmol / l in the second group). Correction of the scheme of individual hygiene consisted of the use of a gel for gum and rinse aid in xerostomia, asthmatic attacks and the use of inhaled medication.</w:t>
      </w:r>
    </w:p>
    <w:p w14:paraId="05299FB7"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 xml:space="preserve">For the first time, the use of a conceptually new model of treatment and prevention of gingivitis in children with atopic diseases was introduced, taking into account the revealed changes in clinical, immunological and antioxidant status. The evaluation of clinical efficacy in the dynamics showed a normalization of the dental status, during twelve months observation, the PMA was 3.59 ± 2.31% in the first group, 1.94 ± 1.61% in the second group; SBI - 0.17 ± 0.14 points in the first group, 0.13 ± 0.13 points in the second group; OHI-S - 0.57 ± 0.18 points in the first group, 0.63 ± 0.20 points in the second group; the level of mucin - 2.48 ± 0.55 g / l in the first group, </w:t>
      </w:r>
      <w:r w:rsidRPr="00212C58">
        <w:rPr>
          <w:rFonts w:ascii="Times New Roman" w:hAnsi="Times New Roman" w:cs="Times New Roman"/>
          <w:sz w:val="28"/>
          <w:szCs w:val="28"/>
        </w:rPr>
        <w:lastRenderedPageBreak/>
        <w:t>2.37 ± 0.53 g / l in the second group. These indices significantly differed from those of the control group of patients, which confirms the effectiveness of the conceptually new program.</w:t>
      </w:r>
    </w:p>
    <w:p w14:paraId="28E0F098" w14:textId="77777777"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It is practically significant to determine the most informative non-invasive biomarkers in the oral liquid, which are predictors of inflammation of periodontal tissues and are determined during preventive examinations and at the preclinical stage of the disease. These biomarkers include levels of secretory immunoglobulin A and immunoglobulin G, as well as glutathione levels in the oral liquid. The practical significance is the development and implementation of a conceptually new program for the treatment and prevention of periodontal inflammatory diseases, which is based on the early identification of inflammatory biomarkers and directed correction of immune-metabolic disorders.</w:t>
      </w:r>
    </w:p>
    <w:p w14:paraId="587ACB23" w14:textId="3811174A" w:rsidR="00F3091E" w:rsidRPr="00212C58" w:rsidRDefault="00F3091E" w:rsidP="00F3091E">
      <w:pPr>
        <w:spacing w:after="0" w:line="360" w:lineRule="auto"/>
        <w:ind w:firstLine="709"/>
        <w:jc w:val="both"/>
        <w:rPr>
          <w:rFonts w:ascii="Times New Roman" w:hAnsi="Times New Roman" w:cs="Times New Roman"/>
          <w:sz w:val="28"/>
          <w:szCs w:val="28"/>
        </w:rPr>
      </w:pPr>
      <w:r w:rsidRPr="00212C58">
        <w:rPr>
          <w:rFonts w:ascii="Times New Roman" w:hAnsi="Times New Roman" w:cs="Times New Roman"/>
          <w:sz w:val="28"/>
          <w:szCs w:val="28"/>
        </w:rPr>
        <w:t>Keywords: gingivitis, atopic diseases, immune status, antioxidant balance, regression analysis.</w:t>
      </w:r>
    </w:p>
    <w:p w14:paraId="30933FDC" w14:textId="68F5DE48" w:rsidR="006D443C" w:rsidRPr="00212C58" w:rsidRDefault="006D443C">
      <w:pPr>
        <w:rPr>
          <w:rFonts w:ascii="Times New Roman" w:hAnsi="Times New Roman" w:cs="Times New Roman"/>
          <w:sz w:val="28"/>
          <w:szCs w:val="28"/>
          <w:lang w:val="uk-UA"/>
        </w:rPr>
      </w:pPr>
    </w:p>
    <w:p w14:paraId="77544ADE" w14:textId="77C91C22" w:rsidR="00B5161C" w:rsidRPr="00212C58" w:rsidRDefault="00B5161C">
      <w:pPr>
        <w:rPr>
          <w:rFonts w:ascii="Times New Roman" w:hAnsi="Times New Roman" w:cs="Times New Roman"/>
          <w:sz w:val="28"/>
          <w:szCs w:val="28"/>
          <w:lang w:val="uk-UA"/>
        </w:rPr>
      </w:pPr>
      <w:r w:rsidRPr="00212C58">
        <w:rPr>
          <w:rFonts w:ascii="Times New Roman" w:hAnsi="Times New Roman" w:cs="Times New Roman"/>
          <w:sz w:val="28"/>
          <w:szCs w:val="28"/>
          <w:lang w:val="uk-UA"/>
        </w:rPr>
        <w:t>Список публікацій за темою дисертації:</w:t>
      </w:r>
    </w:p>
    <w:p w14:paraId="4856CD64"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4512582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w:t>
      </w:r>
      <w:r w:rsidRPr="00212C58">
        <w:rPr>
          <w:rFonts w:ascii="Times New Roman" w:eastAsia="Times New Roman" w:hAnsi="Times New Roman"/>
          <w:sz w:val="28"/>
          <w:szCs w:val="28"/>
          <w:lang w:val="ru-RU" w:eastAsia="ar-SA"/>
        </w:rPr>
        <w:t xml:space="preserve"> –</w:t>
      </w:r>
      <w:r w:rsidRPr="00212C58">
        <w:rPr>
          <w:rFonts w:ascii="Times New Roman" w:eastAsia="Times New Roman" w:hAnsi="Times New Roman"/>
          <w:sz w:val="28"/>
          <w:szCs w:val="28"/>
          <w:lang w:val="uk-UA" w:eastAsia="ar-SA"/>
        </w:rPr>
        <w:t xml:space="preserve"> 2017. </w:t>
      </w:r>
      <w:r w:rsidRPr="00212C58">
        <w:rPr>
          <w:rFonts w:ascii="Times New Roman" w:eastAsia="Times New Roman" w:hAnsi="Times New Roman"/>
          <w:sz w:val="28"/>
          <w:szCs w:val="28"/>
          <w:lang w:val="ru-RU" w:eastAsia="ar-SA"/>
        </w:rPr>
        <w:t>–</w:t>
      </w:r>
      <w:r w:rsidRPr="00212C58">
        <w:rPr>
          <w:rFonts w:ascii="Times New Roman" w:eastAsia="Times New Roman" w:hAnsi="Times New Roman"/>
          <w:sz w:val="28"/>
          <w:szCs w:val="28"/>
          <w:lang w:val="uk-UA" w:eastAsia="ar-SA"/>
        </w:rPr>
        <w:t xml:space="preserve"> № 2. </w:t>
      </w:r>
      <w:r w:rsidRPr="00212C58">
        <w:rPr>
          <w:rFonts w:ascii="Times New Roman" w:eastAsia="Times New Roman" w:hAnsi="Times New Roman"/>
          <w:sz w:val="28"/>
          <w:szCs w:val="28"/>
          <w:lang w:val="ru-RU" w:eastAsia="ar-SA"/>
        </w:rPr>
        <w:t>–</w:t>
      </w:r>
      <w:r w:rsidRPr="00212C58">
        <w:rPr>
          <w:rFonts w:ascii="Times New Roman" w:eastAsia="Times New Roman" w:hAnsi="Times New Roman"/>
          <w:sz w:val="28"/>
          <w:szCs w:val="28"/>
          <w:lang w:val="uk-UA" w:eastAsia="ar-SA"/>
        </w:rPr>
        <w:t xml:space="preserve"> С.57-61.</w:t>
      </w:r>
    </w:p>
    <w:p w14:paraId="6BCCE6C5"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 xml:space="preserve">Выявление факторов риска развития стоматологических заболеваний среди школьников г. Харькова / Л. </w:t>
      </w:r>
      <w:r w:rsidRPr="00212C58">
        <w:rPr>
          <w:rFonts w:ascii="Times New Roman" w:eastAsia="Times New Roman" w:hAnsi="Times New Roman"/>
          <w:sz w:val="28"/>
          <w:szCs w:val="28"/>
          <w:lang w:val="uk-UA" w:eastAsia="ar-SA"/>
        </w:rPr>
        <w:t xml:space="preserve">С. Кривенко // </w:t>
      </w:r>
      <w:r w:rsidRPr="00212C58">
        <w:rPr>
          <w:rFonts w:ascii="Times New Roman" w:eastAsia="Times New Roman" w:hAnsi="Times New Roman"/>
          <w:sz w:val="28"/>
          <w:szCs w:val="28"/>
          <w:lang w:val="ru-RU" w:eastAsia="ar-SA"/>
        </w:rPr>
        <w:t xml:space="preserve">Медицина сегодня и завтра. – 2016. – №4 (73).– </w:t>
      </w:r>
      <w:r w:rsidRPr="00212C58">
        <w:rPr>
          <w:rFonts w:ascii="Times New Roman" w:eastAsia="Times New Roman" w:hAnsi="Times New Roman"/>
          <w:sz w:val="28"/>
          <w:szCs w:val="28"/>
          <w:lang w:val="uk-UA" w:eastAsia="ar-SA"/>
        </w:rPr>
        <w:t>С</w:t>
      </w:r>
      <w:r w:rsidRPr="00212C58">
        <w:rPr>
          <w:rFonts w:ascii="Times New Roman" w:eastAsia="Times New Roman" w:hAnsi="Times New Roman"/>
          <w:sz w:val="28"/>
          <w:szCs w:val="28"/>
          <w:lang w:val="ru-RU" w:eastAsia="ar-SA"/>
        </w:rPr>
        <w:t>.92-95</w:t>
      </w:r>
      <w:r w:rsidRPr="00212C58">
        <w:rPr>
          <w:rFonts w:ascii="Times New Roman" w:eastAsia="Times New Roman" w:hAnsi="Times New Roman"/>
          <w:sz w:val="28"/>
          <w:szCs w:val="28"/>
          <w:lang w:val="uk-UA" w:eastAsia="ar-SA"/>
        </w:rPr>
        <w:t>.</w:t>
      </w:r>
    </w:p>
    <w:p w14:paraId="2EBE1784"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Особенности стоматологического статуса детей, рожденных преждевременно (обзор литературы)</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Л.</w:t>
      </w:r>
      <w:r w:rsidRPr="00212C58">
        <w:rPr>
          <w:rFonts w:ascii="Times New Roman" w:eastAsia="Times New Roman" w:hAnsi="Times New Roman"/>
          <w:sz w:val="28"/>
          <w:szCs w:val="28"/>
          <w:lang w:val="uk-UA" w:eastAsia="ar-SA"/>
        </w:rPr>
        <w:t xml:space="preserve"> С. Кривенко // </w:t>
      </w:r>
      <w:r w:rsidRPr="00212C58">
        <w:rPr>
          <w:rFonts w:ascii="Times New Roman" w:eastAsia="Times New Roman" w:hAnsi="Times New Roman"/>
          <w:sz w:val="28"/>
          <w:szCs w:val="28"/>
          <w:lang w:val="ru-RU" w:eastAsia="ar-SA"/>
        </w:rPr>
        <w:t>Вісник проблем медицини та біології</w:t>
      </w:r>
      <w:r w:rsidRPr="00212C58">
        <w:rPr>
          <w:rFonts w:ascii="Times New Roman" w:eastAsia="Times New Roman" w:hAnsi="Times New Roman"/>
          <w:sz w:val="28"/>
          <w:szCs w:val="28"/>
          <w:lang w:val="uk-UA" w:eastAsia="ar-SA"/>
        </w:rPr>
        <w:t>.</w:t>
      </w:r>
      <w:r w:rsidRPr="00212C58">
        <w:rPr>
          <w:rFonts w:ascii="Times New Roman" w:eastAsia="Times New Roman" w:hAnsi="Times New Roman"/>
          <w:sz w:val="28"/>
          <w:szCs w:val="28"/>
          <w:lang w:val="ru-RU" w:eastAsia="ar-SA"/>
        </w:rPr>
        <w:t xml:space="preserve"> </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2014</w:t>
      </w:r>
      <w:r w:rsidRPr="00212C58">
        <w:rPr>
          <w:rFonts w:ascii="Times New Roman" w:eastAsia="Times New Roman" w:hAnsi="Times New Roman"/>
          <w:sz w:val="28"/>
          <w:szCs w:val="28"/>
          <w:lang w:val="uk-UA" w:eastAsia="ar-SA"/>
        </w:rPr>
        <w:t>. – №</w:t>
      </w:r>
      <w:r w:rsidRPr="00212C58">
        <w:rPr>
          <w:rFonts w:ascii="Times New Roman" w:eastAsia="Times New Roman" w:hAnsi="Times New Roman"/>
          <w:sz w:val="28"/>
          <w:szCs w:val="28"/>
          <w:lang w:val="ru-RU" w:eastAsia="ar-SA"/>
        </w:rPr>
        <w:t xml:space="preserve"> 4, </w:t>
      </w:r>
      <w:r w:rsidRPr="00212C58">
        <w:rPr>
          <w:rFonts w:ascii="Times New Roman" w:eastAsia="Times New Roman" w:hAnsi="Times New Roman"/>
          <w:sz w:val="28"/>
          <w:szCs w:val="28"/>
          <w:lang w:val="uk-UA" w:eastAsia="ar-SA"/>
        </w:rPr>
        <w:t xml:space="preserve">Том 3 (115).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val="uk-UA" w:eastAsia="ar-SA"/>
        </w:rPr>
        <w:lastRenderedPageBreak/>
        <w:t xml:space="preserve">– С. </w:t>
      </w:r>
      <w:r w:rsidRPr="00212C58">
        <w:rPr>
          <w:rFonts w:ascii="Times New Roman" w:eastAsia="Times New Roman" w:hAnsi="Times New Roman"/>
          <w:sz w:val="28"/>
          <w:szCs w:val="28"/>
          <w:lang w:val="ru-RU" w:eastAsia="ar-SA"/>
        </w:rPr>
        <w:t>20-24</w:t>
      </w:r>
      <w:r w:rsidRPr="00212C58">
        <w:rPr>
          <w:rFonts w:ascii="Times New Roman" w:eastAsia="Times New Roman" w:hAnsi="Times New Roman"/>
          <w:sz w:val="28"/>
          <w:szCs w:val="28"/>
          <w:lang w:val="uk-UA" w:eastAsia="ar-SA"/>
        </w:rPr>
        <w:t>.</w:t>
      </w:r>
    </w:p>
    <w:p w14:paraId="4D98F7D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212C58">
        <w:rPr>
          <w:rFonts w:ascii="Times New Roman" w:eastAsia="Times New Roman" w:hAnsi="Times New Roman"/>
          <w:sz w:val="28"/>
          <w:szCs w:val="28"/>
          <w:lang w:val="uk-UA" w:eastAsia="ar-SA"/>
        </w:rPr>
        <w:br/>
        <w:t>Л. С. Кривенко // Новини стоматології. – 2017. – №4 (93). – С.72-74.</w:t>
      </w:r>
    </w:p>
    <w:p w14:paraId="006911F5"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Досвід генотипування дітей мешканців Харківської області з проявами гінгівіту на тлі атопічних захворювань за </w:t>
      </w:r>
      <w:r w:rsidRPr="00212C58">
        <w:rPr>
          <w:rFonts w:ascii="Times New Roman" w:eastAsia="Times New Roman" w:hAnsi="Times New Roman"/>
          <w:sz w:val="28"/>
          <w:szCs w:val="28"/>
          <w:lang w:val="ru-RU" w:eastAsia="ar-SA"/>
        </w:rPr>
        <w:t>snp</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rs</w:t>
      </w:r>
      <w:r w:rsidRPr="00212C58">
        <w:rPr>
          <w:rFonts w:ascii="Times New Roman" w:eastAsia="Times New Roman" w:hAnsi="Times New Roman"/>
          <w:sz w:val="28"/>
          <w:szCs w:val="28"/>
          <w:lang w:val="uk-UA" w:eastAsia="ar-SA"/>
        </w:rPr>
        <w:t>1801270 / Л. С. Кривенко // Клінічна та експериментальна патологія. – 2017. – №2 (60), ч.2. – С. 33-36.</w:t>
      </w:r>
    </w:p>
    <w:p w14:paraId="59E29A7A"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54D162F"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Динаміка біомаркерів ротової рідини при лікуванні хронічного гінгівіту у дітей з атопічними захворюванням / </w:t>
      </w:r>
      <w:r w:rsidRPr="00212C58">
        <w:rPr>
          <w:rFonts w:ascii="Times New Roman" w:eastAsia="Times New Roman" w:hAnsi="Times New Roman"/>
          <w:sz w:val="28"/>
          <w:szCs w:val="28"/>
          <w:lang w:val="uk-UA" w:eastAsia="ar-SA"/>
        </w:rPr>
        <w:br/>
        <w:t>Л. С. Кривенко // Український журнал медицини, біології та спорту. – 2017. – №3(5). – С.145-149.</w:t>
      </w:r>
    </w:p>
    <w:p w14:paraId="5958E576"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Характеристика клітин букального епітелію дітей, хворих на атопічні захворювання, та їх стоматологічний статус / </w:t>
      </w:r>
      <w:r w:rsidRPr="00212C58">
        <w:rPr>
          <w:rFonts w:ascii="Times New Roman" w:eastAsia="Times New Roman" w:hAnsi="Times New Roman"/>
          <w:sz w:val="28"/>
          <w:szCs w:val="28"/>
          <w:lang w:val="uk-UA" w:eastAsia="ar-SA"/>
        </w:rPr>
        <w:br/>
        <w:t>Л. С. Кривенко // Актуальні проблеми сучасної медицини: Вісник Української медичної  стоматологічної академії. – 2017. – № 4 (60), том 17. – С. 134-137.</w:t>
      </w:r>
    </w:p>
    <w:p w14:paraId="4267B848"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201588E3"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Influence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maternal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pathology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and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atopic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diseases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development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oral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cavity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pathology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children</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R</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Nazaryan</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Inter</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collegas</w:t>
      </w:r>
      <w:r w:rsidRPr="00212C58">
        <w:rPr>
          <w:rFonts w:ascii="Times New Roman" w:eastAsia="Times New Roman" w:hAnsi="Times New Roman"/>
          <w:sz w:val="28"/>
          <w:szCs w:val="28"/>
          <w:lang w:val="uk-UA" w:eastAsia="ar-SA"/>
        </w:rPr>
        <w:t xml:space="preserve">. – 2015. – 3 (4). – </w:t>
      </w:r>
      <w:r w:rsidRPr="00212C58">
        <w:rPr>
          <w:rFonts w:ascii="Times New Roman" w:eastAsia="Times New Roman" w:hAnsi="Times New Roman"/>
          <w:sz w:val="28"/>
          <w:szCs w:val="28"/>
          <w:lang w:eastAsia="ar-SA"/>
        </w:rPr>
        <w:t>p</w:t>
      </w:r>
      <w:r w:rsidRPr="00212C58">
        <w:rPr>
          <w:rFonts w:ascii="Times New Roman" w:eastAsia="Times New Roman" w:hAnsi="Times New Roman"/>
          <w:sz w:val="28"/>
          <w:szCs w:val="28"/>
          <w:lang w:val="uk-UA" w:eastAsia="ar-SA"/>
        </w:rPr>
        <w:t>.386-391. https://inter.knmu.edu.ua/?journal=pub&amp;page=article&amp;op=view&amp;path%5B%5D=99 (</w:t>
      </w:r>
      <w:r w:rsidRPr="00212C58">
        <w:rPr>
          <w:rFonts w:ascii="Times New Roman" w:eastAsia="Times New Roman" w:hAnsi="Times New Roman"/>
          <w:i/>
          <w:sz w:val="28"/>
          <w:szCs w:val="28"/>
          <w:lang w:val="uk-UA" w:eastAsia="ar-SA"/>
        </w:rPr>
        <w:t>Дисертантом виконано обстеження дітей з атопічними захворюваннями та здійснено аналіз отриманих даних</w:t>
      </w:r>
      <w:r w:rsidRPr="00212C58">
        <w:rPr>
          <w:rFonts w:ascii="Times New Roman" w:eastAsia="Times New Roman" w:hAnsi="Times New Roman"/>
          <w:sz w:val="28"/>
          <w:szCs w:val="28"/>
          <w:lang w:val="uk-UA" w:eastAsia="ar-SA"/>
        </w:rPr>
        <w:t>)</w:t>
      </w:r>
    </w:p>
    <w:p w14:paraId="75312110"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lastRenderedPageBreak/>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Comparative analysis of the role of domestic allergens in atopic dermatitis etiology in children /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w:t>
      </w:r>
      <w:r w:rsidRPr="00212C58">
        <w:rPr>
          <w:rFonts w:ascii="Times New Roman" w:eastAsia="Times New Roman" w:hAnsi="Times New Roman"/>
          <w:sz w:val="28"/>
          <w:szCs w:val="28"/>
          <w:lang w:val="uk-UA" w:eastAsia="ar-SA"/>
        </w:rPr>
        <w:t xml:space="preserve">. Shmulich, </w:t>
      </w:r>
      <w:r w:rsidRPr="00212C58">
        <w:rPr>
          <w:rFonts w:ascii="Times New Roman" w:eastAsia="Times New Roman" w:hAnsi="Times New Roman"/>
          <w:sz w:val="28"/>
          <w:szCs w:val="28"/>
          <w:lang w:eastAsia="ar-SA"/>
        </w:rPr>
        <w:t>M</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w:t>
      </w:r>
      <w:r w:rsidRPr="00212C58">
        <w:rPr>
          <w:rFonts w:ascii="Times New Roman" w:eastAsia="Times New Roman" w:hAnsi="Times New Roman"/>
          <w:sz w:val="28"/>
          <w:szCs w:val="28"/>
          <w:lang w:val="uk-UA" w:eastAsia="ar-SA"/>
        </w:rPr>
        <w:t xml:space="preserve">. Uryvayva,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Lupaltsova,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Staruseva, </w:t>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Rybka, </w:t>
      </w:r>
      <w:r w:rsidRPr="00212C58">
        <w:rPr>
          <w:rFonts w:ascii="Times New Roman" w:eastAsia="Times New Roman" w:hAnsi="Times New Roman"/>
          <w:sz w:val="28"/>
          <w:szCs w:val="28"/>
          <w:lang w:eastAsia="ar-SA"/>
        </w:rPr>
        <w:t>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Shmulich,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Kryvenko // Inter collegas. – 2015. – 2 (3). – С.205-211. https://inter.knmu.edu.ua/?journal=pub&amp;page=article&amp;op=view&amp;path%5B%5D=67 (</w:t>
      </w:r>
      <w:r w:rsidRPr="00212C58">
        <w:rPr>
          <w:rFonts w:ascii="Times New Roman" w:eastAsia="Times New Roman" w:hAnsi="Times New Roman"/>
          <w:i/>
          <w:sz w:val="28"/>
          <w:szCs w:val="28"/>
          <w:lang w:val="uk-UA" w:eastAsia="ar-SA"/>
        </w:rPr>
        <w:t>Дисертантом виконано аналіз отриманих даних щодо провідної ролі алергенів у розвитку атопічного дерматиту у дітей)</w:t>
      </w:r>
    </w:p>
    <w:p w14:paraId="78CE5048"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212C58">
        <w:rPr>
          <w:rFonts w:ascii="Times New Roman" w:eastAsia="Times New Roman" w:hAnsi="Times New Roman"/>
          <w:sz w:val="28"/>
          <w:szCs w:val="28"/>
          <w:lang w:val="uk-UA" w:eastAsia="ar-SA"/>
        </w:rPr>
        <w:t>)</w:t>
      </w:r>
    </w:p>
    <w:p w14:paraId="1DEAC289"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212C58">
        <w:rPr>
          <w:rFonts w:ascii="Times New Roman" w:eastAsia="Times New Roman" w:hAnsi="Times New Roman"/>
          <w:sz w:val="28"/>
          <w:szCs w:val="28"/>
          <w:lang w:val="uk-UA" w:eastAsia="ar-SA"/>
        </w:rPr>
        <w:br/>
        <w:t>Л. С. Кривенко, Р. С. Назарян // Вісник проблем медицини та біології. – 2016. – Вип. 3, Т.2 (132) – С. 132-138.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регресійний аналіз отриманих даних</w:t>
      </w:r>
      <w:r w:rsidRPr="00212C58">
        <w:rPr>
          <w:rFonts w:ascii="Times New Roman" w:eastAsia="Times New Roman" w:hAnsi="Times New Roman"/>
          <w:sz w:val="28"/>
          <w:szCs w:val="28"/>
          <w:lang w:val="uk-UA" w:eastAsia="ar-SA"/>
        </w:rPr>
        <w:t>)</w:t>
      </w:r>
    </w:p>
    <w:p w14:paraId="5235B64B"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w:t>
      </w:r>
      <w:r w:rsidRPr="00212C58">
        <w:rPr>
          <w:rFonts w:ascii="Times New Roman" w:eastAsia="Times New Roman" w:hAnsi="Times New Roman"/>
          <w:sz w:val="28"/>
          <w:szCs w:val="28"/>
          <w:lang w:val="ru-RU" w:eastAsia="ar-SA"/>
        </w:rPr>
        <w:t xml:space="preserve">Закономірності розвитку та формування зубощелепної системи дітей, народжених передчасно / </w:t>
      </w:r>
      <w:r w:rsidRPr="00212C58">
        <w:rPr>
          <w:rFonts w:ascii="Times New Roman" w:eastAsia="Times New Roman" w:hAnsi="Times New Roman"/>
          <w:sz w:val="28"/>
          <w:szCs w:val="28"/>
          <w:lang w:val="uk-UA" w:eastAsia="ar-SA"/>
        </w:rPr>
        <w:t xml:space="preserve">І. Ю. </w:t>
      </w:r>
      <w:r w:rsidRPr="00212C58">
        <w:rPr>
          <w:rFonts w:ascii="Times New Roman" w:eastAsia="Times New Roman" w:hAnsi="Times New Roman"/>
          <w:sz w:val="28"/>
          <w:szCs w:val="28"/>
          <w:lang w:val="ru-RU" w:eastAsia="ar-SA"/>
        </w:rPr>
        <w:t xml:space="preserve">Кондратова, </w:t>
      </w:r>
      <w:r w:rsidRPr="00212C58">
        <w:rPr>
          <w:rFonts w:ascii="Times New Roman" w:eastAsia="Times New Roman" w:hAnsi="Times New Roman"/>
          <w:sz w:val="28"/>
          <w:szCs w:val="28"/>
          <w:lang w:val="ru-RU" w:eastAsia="ar-SA"/>
        </w:rPr>
        <w:br/>
      </w:r>
      <w:r w:rsidRPr="00212C58">
        <w:rPr>
          <w:rFonts w:ascii="Times New Roman" w:eastAsia="Times New Roman" w:hAnsi="Times New Roman"/>
          <w:sz w:val="28"/>
          <w:szCs w:val="28"/>
          <w:lang w:val="uk-UA" w:eastAsia="ar-SA"/>
        </w:rPr>
        <w:t xml:space="preserve">Р. С. </w:t>
      </w:r>
      <w:r w:rsidRPr="00212C58">
        <w:rPr>
          <w:rFonts w:ascii="Times New Roman" w:eastAsia="Times New Roman" w:hAnsi="Times New Roman"/>
          <w:sz w:val="28"/>
          <w:szCs w:val="28"/>
          <w:lang w:val="ru-RU" w:eastAsia="ar-SA"/>
        </w:rPr>
        <w:t xml:space="preserve">Назарян, </w:t>
      </w:r>
      <w:r w:rsidRPr="00212C58">
        <w:rPr>
          <w:rFonts w:ascii="Times New Roman" w:eastAsia="Times New Roman" w:hAnsi="Times New Roman"/>
          <w:sz w:val="28"/>
          <w:szCs w:val="28"/>
          <w:lang w:val="uk-UA" w:eastAsia="ar-SA"/>
        </w:rPr>
        <w:t xml:space="preserve">А. О. </w:t>
      </w:r>
      <w:r w:rsidRPr="00212C58">
        <w:rPr>
          <w:rFonts w:ascii="Times New Roman" w:eastAsia="Times New Roman" w:hAnsi="Times New Roman"/>
          <w:sz w:val="28"/>
          <w:szCs w:val="28"/>
          <w:lang w:val="ru-RU" w:eastAsia="ar-SA"/>
        </w:rPr>
        <w:t>Хоценко</w:t>
      </w:r>
      <w:r w:rsidRPr="00212C58">
        <w:rPr>
          <w:rFonts w:ascii="Times New Roman" w:eastAsia="Times New Roman" w:hAnsi="Times New Roman"/>
          <w:sz w:val="28"/>
          <w:szCs w:val="28"/>
          <w:lang w:val="uk-UA" w:eastAsia="ar-SA"/>
        </w:rPr>
        <w:t>, Л. С. Кривенко</w:t>
      </w:r>
      <w:r w:rsidRPr="00212C58">
        <w:rPr>
          <w:rFonts w:ascii="Times New Roman" w:eastAsia="Times New Roman" w:hAnsi="Times New Roman"/>
          <w:sz w:val="28"/>
          <w:szCs w:val="28"/>
          <w:lang w:val="ru-RU" w:eastAsia="ar-SA"/>
        </w:rPr>
        <w:t xml:space="preserve"> // Медицина сегодня и завтра.</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xml:space="preserve"> 2015.</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ru-RU" w:eastAsia="ar-SA"/>
        </w:rPr>
        <w:t xml:space="preserve"> № 4 (69). –</w:t>
      </w:r>
      <w:r w:rsidRPr="00212C58">
        <w:rPr>
          <w:rFonts w:ascii="Times New Roman" w:eastAsia="Times New Roman" w:hAnsi="Times New Roman"/>
          <w:sz w:val="28"/>
          <w:szCs w:val="28"/>
          <w:lang w:val="uk-UA" w:eastAsia="ar-SA"/>
        </w:rPr>
        <w:t xml:space="preserve"> С. 125-127. (</w:t>
      </w:r>
      <w:r w:rsidRPr="00212C58">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212C58">
        <w:rPr>
          <w:rFonts w:ascii="Times New Roman" w:eastAsia="Times New Roman" w:hAnsi="Times New Roman"/>
          <w:sz w:val="28"/>
          <w:szCs w:val="28"/>
          <w:lang w:val="uk-UA" w:eastAsia="ar-SA"/>
        </w:rPr>
        <w:t>)</w:t>
      </w:r>
    </w:p>
    <w:p w14:paraId="719F41BF"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05AA28D0"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Кривенко Л. С. Тканевая активность синтазы оксида азота в ротовой полости при атопической патологии / Р. С. Назарян, Л. С. Кривенко, В. В. Гаргин // Morphologia. - 2016. - Т. 10, № 3. - С. 212-216. (</w:t>
      </w:r>
      <w:r w:rsidRPr="00212C58">
        <w:rPr>
          <w:rFonts w:ascii="Times New Roman" w:eastAsia="Times New Roman" w:hAnsi="Times New Roman"/>
          <w:i/>
          <w:sz w:val="28"/>
          <w:szCs w:val="28"/>
          <w:lang w:val="uk-UA" w:eastAsia="ar-SA"/>
        </w:rPr>
        <w:t xml:space="preserve">Дисертантом </w:t>
      </w:r>
      <w:r w:rsidRPr="00212C58">
        <w:rPr>
          <w:rFonts w:ascii="Times New Roman" w:eastAsia="Times New Roman" w:hAnsi="Times New Roman"/>
          <w:i/>
          <w:sz w:val="28"/>
          <w:szCs w:val="28"/>
          <w:lang w:val="uk-UA" w:eastAsia="ar-SA"/>
        </w:rPr>
        <w:lastRenderedPageBreak/>
        <w:t>запропоновано модель  експерименту, проаналізовано отримані дані змін тканин ротової порожнини)</w:t>
      </w:r>
    </w:p>
    <w:p w14:paraId="6BEC60BE"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212C58">
        <w:rPr>
          <w:rFonts w:ascii="Times New Roman" w:eastAsia="Times New Roman" w:hAnsi="Times New Roman"/>
          <w:sz w:val="28"/>
          <w:szCs w:val="28"/>
          <w:lang w:val="uk-UA" w:eastAsia="ar-SA"/>
        </w:rPr>
        <w:t xml:space="preserve">Кривенко Л. С. Перспектива використання поліморфізму гена </w:t>
      </w:r>
      <w:r w:rsidRPr="00212C58">
        <w:rPr>
          <w:rFonts w:ascii="Times New Roman" w:eastAsia="Times New Roman" w:hAnsi="Times New Roman"/>
          <w:sz w:val="28"/>
          <w:szCs w:val="28"/>
          <w:lang w:val="ru-RU" w:eastAsia="ar-SA"/>
        </w:rPr>
        <w:t>MUC</w:t>
      </w:r>
      <w:r w:rsidRPr="00212C58">
        <w:rPr>
          <w:rFonts w:ascii="Times New Roman" w:eastAsia="Times New Roman" w:hAnsi="Times New Roman"/>
          <w:sz w:val="28"/>
          <w:szCs w:val="28"/>
          <w:lang w:val="uk-UA" w:eastAsia="ar-SA"/>
        </w:rPr>
        <w:t>5</w:t>
      </w:r>
      <w:r w:rsidRPr="00212C58">
        <w:rPr>
          <w:rFonts w:ascii="Times New Roman" w:eastAsia="Times New Roman" w:hAnsi="Times New Roman"/>
          <w:sz w:val="28"/>
          <w:szCs w:val="28"/>
          <w:lang w:val="ru-RU" w:eastAsia="ar-SA"/>
        </w:rPr>
        <w:t>B</w:t>
      </w:r>
      <w:r w:rsidRPr="00212C58">
        <w:rPr>
          <w:rFonts w:ascii="Times New Roman" w:eastAsia="Times New Roman" w:hAnsi="Times New Roman"/>
          <w:sz w:val="28"/>
          <w:szCs w:val="28"/>
          <w:lang w:val="uk-UA" w:eastAsia="ar-SA"/>
        </w:rPr>
        <w:t xml:space="preserve">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r w:rsidRPr="00212C58">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6648472B"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val="uk-UA" w:eastAsia="ar-SA"/>
        </w:rPr>
        <w:t xml:space="preserve">Кривенко Л. С. Можливості використання генетичних предикторів гінгівіту у дітей на тлі атопічних захворювань / Л. С. Кривенко, </w:t>
      </w:r>
      <w:r w:rsidRPr="00212C58">
        <w:rPr>
          <w:rFonts w:ascii="Times New Roman" w:eastAsia="Times New Roman" w:hAnsi="Times New Roman"/>
          <w:sz w:val="28"/>
          <w:szCs w:val="28"/>
          <w:lang w:val="uk-UA" w:eastAsia="ar-SA"/>
        </w:rPr>
        <w:br/>
        <w:t xml:space="preserve">Р. С. Назарян, Н. Є. Волкова, О. В. Горенська // Новини стоматології. – 2017. – №2 (91). – С. 89-92. </w:t>
      </w:r>
      <w:r w:rsidRPr="00212C58">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7DDF170E" w14:textId="77777777" w:rsidR="00713CF7" w:rsidRPr="00212C58"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Functional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diagnostic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using</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Electrical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Impedance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Tomography</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Reconstruction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and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Internet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Things</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val="uk-UA" w:eastAsia="ar-SA"/>
        </w:rPr>
        <w:br/>
      </w:r>
      <w:r w:rsidRPr="00212C58">
        <w:rPr>
          <w:rFonts w:ascii="Times New Roman" w:eastAsia="Times New Roman" w:hAnsi="Times New Roman"/>
          <w:sz w:val="28"/>
          <w:szCs w:val="28"/>
          <w:lang w:eastAsia="ar-SA"/>
        </w:rPr>
        <w:t>A</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Pulavskyi</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Krivenko</w:t>
      </w:r>
      <w:r w:rsidRPr="00212C58">
        <w:rPr>
          <w:rFonts w:ascii="Times New Roman" w:eastAsia="Times New Roman" w:hAnsi="Times New Roman"/>
          <w:sz w:val="28"/>
          <w:szCs w:val="28"/>
          <w:lang w:val="uk-UA" w:eastAsia="ar-SA"/>
        </w:rPr>
        <w:t xml:space="preserve"> // 2017 6</w:t>
      </w:r>
      <w:r w:rsidRPr="00212C58">
        <w:rPr>
          <w:rFonts w:ascii="Times New Roman" w:eastAsia="Times New Roman" w:hAnsi="Times New Roman"/>
          <w:sz w:val="28"/>
          <w:szCs w:val="28"/>
          <w:lang w:eastAsia="ar-SA"/>
        </w:rPr>
        <w:t>th</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Mediterranean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Conference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Embedded</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Computing</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MECO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proceedings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research</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monograph</w:t>
      </w:r>
      <w:r w:rsidRPr="00212C58">
        <w:rPr>
          <w:rFonts w:ascii="Times New Roman" w:eastAsia="Times New Roman" w:hAnsi="Times New Roman"/>
          <w:sz w:val="28"/>
          <w:szCs w:val="28"/>
          <w:lang w:val="uk-UA" w:eastAsia="ar-SA"/>
        </w:rPr>
        <w:t>. – 2017. – Р.379-382</w:t>
      </w:r>
      <w:r w:rsidRPr="00212C58">
        <w:rPr>
          <w:rFonts w:ascii="Times New Roman" w:eastAsia="Times New Roman" w:hAnsi="Times New Roman"/>
          <w:sz w:val="28"/>
          <w:szCs w:val="28"/>
          <w:lang w:eastAsia="ar-SA"/>
        </w:rPr>
        <w:t>.</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i/>
          <w:sz w:val="28"/>
          <w:szCs w:val="28"/>
          <w:lang w:val="uk-UA" w:eastAsia="ar-SA"/>
        </w:rPr>
        <w:t>(Дисертантом проведено обстеження пацієнтів з захворюваннями легень, оброблено клінічні дані та оцінено дані додаткових методів обстеження)</w:t>
      </w:r>
    </w:p>
    <w:p w14:paraId="72847D80"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role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nitric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oxide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synthase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modulation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of</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the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immune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response</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atopic</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disease</w:t>
      </w:r>
      <w:r w:rsidRPr="00212C58">
        <w:rPr>
          <w:rFonts w:ascii="Times New Roman" w:eastAsia="Times New Roman" w:hAnsi="Times New Roman"/>
          <w:sz w:val="28"/>
          <w:szCs w:val="28"/>
          <w:lang w:val="uk-UA" w:eastAsia="ar-SA"/>
        </w:rPr>
        <w:t xml:space="preserve"> / </w:t>
      </w:r>
      <w:r w:rsidRPr="00212C58">
        <w:rPr>
          <w:rFonts w:ascii="Times New Roman" w:eastAsia="Times New Roman" w:hAnsi="Times New Roman"/>
          <w:sz w:val="28"/>
          <w:szCs w:val="28"/>
          <w:lang w:eastAsia="ar-SA"/>
        </w:rPr>
        <w:t>L</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Kryvenko</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V</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Gargin</w:t>
      </w:r>
      <w:r w:rsidRPr="00212C58">
        <w:rPr>
          <w:rFonts w:ascii="Times New Roman" w:eastAsia="Times New Roman" w:hAnsi="Times New Roman"/>
          <w:sz w:val="28"/>
          <w:szCs w:val="28"/>
          <w:lang w:val="uk-UA" w:eastAsia="ar-SA"/>
        </w:rPr>
        <w:t xml:space="preserve">, </w:t>
      </w:r>
      <w:r w:rsidRPr="00212C58">
        <w:rPr>
          <w:rFonts w:ascii="Times New Roman" w:eastAsia="Times New Roman" w:hAnsi="Times New Roman"/>
          <w:sz w:val="28"/>
          <w:szCs w:val="28"/>
          <w:lang w:eastAsia="ar-SA"/>
        </w:rPr>
        <w:t>R</w:t>
      </w:r>
      <w:r w:rsidRPr="00212C58">
        <w:rPr>
          <w:rFonts w:ascii="Times New Roman" w:eastAsia="Times New Roman" w:hAnsi="Times New Roman"/>
          <w:sz w:val="28"/>
          <w:szCs w:val="28"/>
          <w:lang w:val="uk-UA" w:eastAsia="ar-SA"/>
        </w:rPr>
        <w:t>.</w:t>
      </w:r>
      <w:r w:rsidRPr="00212C58">
        <w:rPr>
          <w:rFonts w:ascii="Times New Roman" w:eastAsia="Times New Roman" w:hAnsi="Times New Roman"/>
          <w:sz w:val="28"/>
          <w:szCs w:val="28"/>
          <w:lang w:eastAsia="ar-SA"/>
        </w:rPr>
        <w:t>S</w:t>
      </w:r>
      <w:r w:rsidRPr="00212C58">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xml:space="preserve">.11, </w:t>
      </w:r>
      <w:r w:rsidRPr="00DD39D0">
        <w:rPr>
          <w:rFonts w:ascii="Times New Roman" w:eastAsia="Times New Roman" w:hAnsi="Times New Roman"/>
          <w:sz w:val="28"/>
          <w:szCs w:val="28"/>
          <w:lang w:val="uk-UA" w:eastAsia="ar-SA"/>
        </w:rPr>
        <w:t xml:space="preserve">№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5FCF9CCC"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Коррекция иммунологического статуса при оптимизации лечения хронического гингивита на фоне атопических заболеваний детей 12-18 лет / </w:t>
      </w:r>
      <w:r w:rsidRPr="00DD39D0">
        <w:rPr>
          <w:rFonts w:ascii="Times New Roman" w:eastAsia="Times New Roman" w:hAnsi="Times New Roman"/>
          <w:sz w:val="28"/>
          <w:szCs w:val="28"/>
          <w:lang w:val="uk-UA" w:eastAsia="ar-SA"/>
        </w:rPr>
        <w:t xml:space="preserve">Л. С. Кривенко // </w:t>
      </w:r>
      <w:r w:rsidRPr="00DD39D0">
        <w:rPr>
          <w:rFonts w:ascii="Times New Roman" w:eastAsia="Times New Roman" w:hAnsi="Times New Roman"/>
          <w:sz w:val="28"/>
          <w:szCs w:val="28"/>
          <w:lang w:val="ru-RU" w:eastAsia="ar-SA"/>
        </w:rPr>
        <w:t>Современная стоматология</w:t>
      </w:r>
      <w:r>
        <w:rPr>
          <w:rFonts w:ascii="Times New Roman" w:eastAsia="Times New Roman" w:hAnsi="Times New Roman"/>
          <w:sz w:val="28"/>
          <w:szCs w:val="28"/>
          <w:lang w:val="ru-RU" w:eastAsia="ar-SA"/>
        </w:rPr>
        <w:t xml:space="preserve"> (Беларусь)</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№3. – 2017. – С.74-76.</w:t>
      </w:r>
    </w:p>
    <w:p w14:paraId="3ABF1D5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lastRenderedPageBreak/>
        <w:t xml:space="preserve">Кривенко Л. С. Изменение иммунологических показателей при лечении хронического гингивита детей на фоне атопических заболеваний / </w:t>
      </w:r>
      <w:r w:rsidRPr="00DD39D0">
        <w:rPr>
          <w:rFonts w:ascii="Times New Roman" w:eastAsia="Times New Roman" w:hAnsi="Times New Roman"/>
          <w:sz w:val="28"/>
          <w:szCs w:val="28"/>
          <w:lang w:val="uk-UA" w:eastAsia="ar-SA"/>
        </w:rPr>
        <w:br/>
        <w:t>Л. С. Кривенко // Стоматолог</w:t>
      </w:r>
      <w:r>
        <w:rPr>
          <w:rFonts w:ascii="Times New Roman" w:eastAsia="Times New Roman" w:hAnsi="Times New Roman"/>
          <w:sz w:val="28"/>
          <w:szCs w:val="28"/>
          <w:lang w:val="uk-UA" w:eastAsia="ar-SA"/>
        </w:rPr>
        <w:t xml:space="preserve"> (Беларусь)</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2017. – № 4(27). – С.26-30.</w:t>
      </w:r>
    </w:p>
    <w:p w14:paraId="50D58DA3"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 lipid peroxidation and periodontal status detection in Ukrainian atopic children with Convolutional Neural Networks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 V. N. Bezruk, S. A. Krivenko // 2017 4th International Scientific-Practical 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“Problems of Infocommunications. Science</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Technology</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 2017.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ru-RU" w:eastAsia="ar-SA"/>
        </w:rPr>
        <w:t>.122-125.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проведений статистичний аналіз)</w:t>
      </w:r>
    </w:p>
    <w:p w14:paraId="2BA789CC"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555E19F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Orthodontic aspects of dental status in prematurely born children / L. S. Kryvenko // </w:t>
      </w:r>
      <w:r w:rsidRPr="00DD39D0">
        <w:rPr>
          <w:rFonts w:ascii="Times New Roman" w:eastAsia="Times New Roman" w:hAnsi="Times New Roman"/>
          <w:sz w:val="28"/>
          <w:szCs w:val="28"/>
          <w:lang w:val="ru-RU" w:eastAsia="ar-SA"/>
        </w:rPr>
        <w:t>Наука</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и</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здравоохранение</w:t>
      </w:r>
      <w:r w:rsidRPr="0026295B">
        <w:rPr>
          <w:rFonts w:ascii="Times New Roman" w:eastAsia="Times New Roman" w:hAnsi="Times New Roman"/>
          <w:sz w:val="28"/>
          <w:szCs w:val="28"/>
          <w:lang w:eastAsia="ar-SA"/>
        </w:rPr>
        <w:t xml:space="preserve"> (</w:t>
      </w:r>
      <w:r>
        <w:rPr>
          <w:rFonts w:ascii="Times New Roman" w:eastAsia="Times New Roman" w:hAnsi="Times New Roman"/>
          <w:sz w:val="28"/>
          <w:szCs w:val="28"/>
          <w:lang w:val="ru-RU" w:eastAsia="ar-SA"/>
        </w:rPr>
        <w:t>Казахстан</w:t>
      </w:r>
      <w:r w:rsidRPr="0026295B">
        <w:rPr>
          <w:rFonts w:ascii="Times New Roman" w:eastAsia="Times New Roman" w:hAnsi="Times New Roman"/>
          <w:sz w:val="28"/>
          <w:szCs w:val="28"/>
          <w:lang w:eastAsia="ar-SA"/>
        </w:rPr>
        <w:t>)</w:t>
      </w:r>
      <w:r w:rsidRPr="00DD39D0">
        <w:rPr>
          <w:rFonts w:ascii="Times New Roman" w:eastAsia="Times New Roman" w:hAnsi="Times New Roman"/>
          <w:sz w:val="28"/>
          <w:szCs w:val="28"/>
          <w:lang w:eastAsia="ar-SA"/>
        </w:rPr>
        <w:t xml:space="preserve">. – 2014. – №6. – </w:t>
      </w:r>
      <w:r w:rsidRPr="00DD39D0">
        <w:rPr>
          <w:rFonts w:ascii="Times New Roman" w:eastAsia="Times New Roman" w:hAnsi="Times New Roman"/>
          <w:sz w:val="28"/>
          <w:szCs w:val="28"/>
          <w:lang w:val="ru-RU" w:eastAsia="ar-SA"/>
        </w:rPr>
        <w:t>С</w:t>
      </w:r>
      <w:r w:rsidRPr="00DD39D0">
        <w:rPr>
          <w:rFonts w:ascii="Times New Roman" w:eastAsia="Times New Roman" w:hAnsi="Times New Roman"/>
          <w:sz w:val="28"/>
          <w:szCs w:val="28"/>
          <w:lang w:eastAsia="ar-SA"/>
        </w:rPr>
        <w:t>.13-15</w:t>
      </w:r>
      <w:r w:rsidRPr="00DD39D0">
        <w:rPr>
          <w:rFonts w:ascii="Times New Roman" w:eastAsia="Times New Roman" w:hAnsi="Times New Roman"/>
          <w:sz w:val="28"/>
          <w:szCs w:val="28"/>
          <w:lang w:val="uk-UA" w:eastAsia="ar-SA"/>
        </w:rPr>
        <w:t>.</w:t>
      </w:r>
    </w:p>
    <w:p w14:paraId="161633A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The Pareto chart for caries intensity evaluation in children with allergic diseases / </w:t>
      </w:r>
      <w:r>
        <w:rPr>
          <w:rFonts w:ascii="Times New Roman" w:eastAsia="Times New Roman" w:hAnsi="Times New Roman"/>
          <w:sz w:val="28"/>
          <w:szCs w:val="28"/>
          <w:lang w:val="uk-UA" w:eastAsia="ar-SA"/>
        </w:rPr>
        <w:t>V.M.</w:t>
      </w:r>
      <w:r>
        <w:rPr>
          <w:rFonts w:ascii="Times New Roman" w:eastAsia="Times New Roman" w:hAnsi="Times New Roman"/>
          <w:sz w:val="28"/>
          <w:szCs w:val="28"/>
          <w:lang w:eastAsia="ar-SA"/>
        </w:rPr>
        <w:t xml:space="preserve"> </w:t>
      </w:r>
      <w:r>
        <w:rPr>
          <w:rFonts w:ascii="Times New Roman" w:eastAsia="Times New Roman" w:hAnsi="Times New Roman"/>
          <w:sz w:val="28"/>
          <w:szCs w:val="28"/>
          <w:lang w:val="uk-UA" w:eastAsia="ar-SA"/>
        </w:rPr>
        <w:t>Bezruk</w:t>
      </w:r>
      <w:r w:rsidRPr="00974C00">
        <w:rPr>
          <w:rFonts w:ascii="Times New Roman" w:eastAsia="Times New Roman" w:hAnsi="Times New Roman"/>
          <w:sz w:val="28"/>
          <w:szCs w:val="28"/>
          <w:lang w:val="uk-UA" w:eastAsia="ar-SA"/>
        </w:rPr>
        <w:t>, S.S.</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p>
    <w:p w14:paraId="6CC8663B"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analysis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Interventional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Medicine</w:t>
      </w:r>
      <w:r w:rsidRPr="00DD39D0">
        <w:rPr>
          <w:rFonts w:ascii="Times New Roman" w:eastAsia="Times New Roman" w:hAnsi="Times New Roman"/>
          <w:sz w:val="28"/>
          <w:szCs w:val="28"/>
          <w:lang w:val="uk-UA" w:eastAsia="ar-SA"/>
        </w:rPr>
        <w:t xml:space="preserve"> &amp; </w:t>
      </w:r>
      <w:r w:rsidRPr="00DD39D0">
        <w:rPr>
          <w:rFonts w:ascii="Times New Roman" w:eastAsia="Times New Roman" w:hAnsi="Times New Roman"/>
          <w:sz w:val="28"/>
          <w:szCs w:val="28"/>
          <w:lang w:eastAsia="ar-SA"/>
        </w:rPr>
        <w:t>Applied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Science</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9, №4</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1</w:t>
      </w:r>
      <w:r w:rsidRPr="00D61330">
        <w:rPr>
          <w:rFonts w:ascii="Times New Roman" w:eastAsia="Times New Roman" w:hAnsi="Times New Roman"/>
          <w:sz w:val="28"/>
          <w:szCs w:val="28"/>
          <w:lang w:val="uk-UA" w:eastAsia="ar-SA"/>
        </w:rPr>
        <w:t>99-203</w:t>
      </w:r>
      <w:r w:rsidRPr="00DD39D0">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 xml:space="preserve">https://doi.org/10.1556/1646.9.2017.32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проведено статистичний аналіз)</w:t>
      </w:r>
    </w:p>
    <w:p w14:paraId="5F06DA1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Характеристика антиоксидантної системи дітей з гінгівітом на тлі атопічних захворювань / Л.</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С. Кривенко // Вісник проблем біології і медицини. - №1 (135). -2017. – с.</w:t>
      </w:r>
      <w:r w:rsidRPr="00DD39D0">
        <w:rPr>
          <w:rFonts w:ascii="Times New Roman" w:eastAsia="Times New Roman" w:hAnsi="Times New Roman"/>
          <w:sz w:val="28"/>
          <w:szCs w:val="28"/>
          <w:lang w:val="uk-UA" w:eastAsia="ar-SA"/>
        </w:rPr>
        <w:t xml:space="preserve"> 326-327.</w:t>
      </w:r>
    </w:p>
    <w:p w14:paraId="24E9C3E1"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lastRenderedPageBreak/>
        <w:t>Пат. 115848 Україна, МПК G01N 33/48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a201700397; Заявлено 16.01.2017; Опубл. 26.12.2017, бюл. № 24.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винаходу та приклади клінічного застосування</w:t>
      </w:r>
      <w:r w:rsidRPr="00DD39D0">
        <w:rPr>
          <w:rFonts w:ascii="Times New Roman" w:eastAsia="Times New Roman" w:hAnsi="Times New Roman"/>
          <w:sz w:val="28"/>
          <w:szCs w:val="28"/>
          <w:lang w:val="uk-UA" w:eastAsia="ar-SA"/>
        </w:rPr>
        <w:t>)</w:t>
      </w:r>
    </w:p>
    <w:p w14:paraId="370C5D90"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w:t>
      </w:r>
      <w:r>
        <w:rPr>
          <w:rFonts w:ascii="Times New Roman" w:eastAsia="Times New Roman" w:hAnsi="Times New Roman"/>
          <w:sz w:val="28"/>
          <w:szCs w:val="28"/>
          <w:lang w:val="uk-UA" w:eastAsia="ar-SA"/>
        </w:rPr>
        <w:t xml:space="preserve"> </w:t>
      </w:r>
      <w:r w:rsidRPr="0094668F">
        <w:rPr>
          <w:rFonts w:ascii="Times New Roman" w:eastAsia="Times New Roman" w:hAnsi="Times New Roman"/>
          <w:sz w:val="28"/>
          <w:szCs w:val="28"/>
          <w:lang w:val="uk-UA" w:eastAsia="ar-SA"/>
        </w:rPr>
        <w:t xml:space="preserve">116178 </w:t>
      </w:r>
      <w:r w:rsidRPr="00DD39D0">
        <w:rPr>
          <w:rFonts w:ascii="Times New Roman" w:eastAsia="Times New Roman" w:hAnsi="Times New Roman"/>
          <w:sz w:val="28"/>
          <w:szCs w:val="28"/>
          <w:lang w:val="uk-UA" w:eastAsia="ar-SA"/>
        </w:rPr>
        <w:t xml:space="preserve">Україна, </w:t>
      </w:r>
      <w:r>
        <w:rPr>
          <w:rFonts w:ascii="Times New Roman" w:eastAsia="Times New Roman" w:hAnsi="Times New Roman"/>
          <w:sz w:val="28"/>
          <w:szCs w:val="28"/>
          <w:lang w:val="uk-UA" w:eastAsia="ar-SA"/>
        </w:rPr>
        <w:t xml:space="preserve">МПК </w:t>
      </w:r>
      <w:r w:rsidRPr="00DD39D0">
        <w:rPr>
          <w:rFonts w:ascii="Times New Roman" w:eastAsia="Times New Roman" w:hAnsi="Times New Roman"/>
          <w:sz w:val="28"/>
          <w:szCs w:val="28"/>
          <w:lang w:val="uk-UA" w:eastAsia="ar-SA"/>
        </w:rPr>
        <w:t>G01N 33/48 (2006.01) Спосіб оцінки активності патологічного процесу порожнини рота при атопічній патології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Гаргін В.В. </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xml:space="preserve">). – Заявка </w:t>
      </w:r>
      <w:r>
        <w:rPr>
          <w:rFonts w:ascii="Times New Roman" w:eastAsia="Times New Roman" w:hAnsi="Times New Roman"/>
          <w:sz w:val="28"/>
          <w:szCs w:val="28"/>
          <w:lang w:val="uk-UA" w:eastAsia="ar-SA"/>
        </w:rPr>
        <w:t>а201700396; Заявлено 16.01.2017;</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Опубл. </w:t>
      </w:r>
      <w:r w:rsidRPr="0094668F">
        <w:rPr>
          <w:rFonts w:ascii="Times New Roman" w:eastAsia="Times New Roman" w:hAnsi="Times New Roman"/>
          <w:sz w:val="28"/>
          <w:szCs w:val="28"/>
          <w:lang w:val="uk-UA" w:eastAsia="ar-SA"/>
        </w:rPr>
        <w:t>12.02.2018, бюл. № 3</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Здобувачем запропонований протокол експериментального моделювання атопії, зібраний первинний матеріал, оброблені результати, написана формула винаходу та підготовлено текст заявки</w:t>
      </w:r>
      <w:r w:rsidRPr="00DD39D0">
        <w:rPr>
          <w:rFonts w:ascii="Times New Roman" w:eastAsia="Times New Roman" w:hAnsi="Times New Roman"/>
          <w:sz w:val="28"/>
          <w:szCs w:val="28"/>
          <w:lang w:val="uk-UA" w:eastAsia="ar-SA"/>
        </w:rPr>
        <w:t>).</w:t>
      </w:r>
    </w:p>
    <w:p w14:paraId="706E3A7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корисної моделі та приклади клінічного застосування, підготовлено текст заявки</w:t>
      </w:r>
      <w:r w:rsidRPr="00DD39D0">
        <w:rPr>
          <w:rFonts w:ascii="Times New Roman" w:eastAsia="Times New Roman" w:hAnsi="Times New Roman"/>
          <w:sz w:val="28"/>
          <w:szCs w:val="28"/>
          <w:lang w:val="uk-UA" w:eastAsia="ar-SA"/>
        </w:rPr>
        <w:t>)</w:t>
      </w:r>
    </w:p>
    <w:p w14:paraId="4FC51F2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Аналіз пародонтологічного статусу дітей, хворих на алергію / Л. С. Кривенко // Нове та традиційне у дослідженнях сучасних представників медичної науки: матеріали науково-практичної конференції, Львів, 27-28 лютого 2015 р. – Львів, 2015. – С.37-38.</w:t>
      </w:r>
    </w:p>
    <w:p w14:paraId="5848D8D5"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Анатомические особенности полости рта детей, рожденных преждевременно / Л. С. Кривенко // Новые технологии в </w:t>
      </w:r>
      <w:r w:rsidRPr="00DD39D0">
        <w:rPr>
          <w:rFonts w:ascii="Times New Roman" w:eastAsia="Times New Roman" w:hAnsi="Times New Roman"/>
          <w:sz w:val="28"/>
          <w:szCs w:val="28"/>
          <w:lang w:val="uk-UA" w:eastAsia="ar-SA"/>
        </w:rPr>
        <w:lastRenderedPageBreak/>
        <w:t>стоматологии: материа</w:t>
      </w:r>
      <w:r w:rsidRPr="00DD39D0">
        <w:rPr>
          <w:rFonts w:ascii="Times New Roman" w:eastAsia="Times New Roman" w:hAnsi="Times New Roman"/>
          <w:sz w:val="28"/>
          <w:szCs w:val="28"/>
          <w:lang w:val="ru-RU" w:eastAsia="ar-SA"/>
        </w:rPr>
        <w:t xml:space="preserve">лы </w:t>
      </w:r>
      <w:r w:rsidRPr="00DD39D0">
        <w:rPr>
          <w:rFonts w:ascii="Times New Roman" w:eastAsia="Times New Roman" w:hAnsi="Times New Roman"/>
          <w:sz w:val="28"/>
          <w:szCs w:val="28"/>
          <w:lang w:val="uk-UA" w:eastAsia="ar-SA"/>
        </w:rPr>
        <w:t>международной конференций челюстно-лицевых хирургов и стоматологов, 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3-5 июня 2015</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 Санкт-Петербург, 2015. – С. 73</w:t>
      </w:r>
      <w:r w:rsidRPr="00DD39D0">
        <w:rPr>
          <w:rFonts w:ascii="Times New Roman" w:eastAsia="Times New Roman" w:hAnsi="Times New Roman"/>
          <w:sz w:val="28"/>
          <w:szCs w:val="28"/>
          <w:lang w:val="uk-UA" w:eastAsia="ar-SA"/>
        </w:rPr>
        <w:t>.</w:t>
      </w:r>
    </w:p>
    <w:p w14:paraId="7DB3500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Нуждаемость в ортодонтическом лечении детей, рожденных преждевременно / Л. С. Кривенко // Медицина третього тисячоліття: матеріали міжвузівської конференції молодих вчених та студентів, Харків, 19-21 січня 2015.</w:t>
      </w:r>
      <w:r w:rsidRPr="00DD39D0">
        <w:rPr>
          <w:rFonts w:ascii="Times New Roman" w:eastAsia="Times New Roman" w:hAnsi="Times New Roman"/>
          <w:sz w:val="28"/>
          <w:szCs w:val="28"/>
          <w:lang w:val="ru-RU" w:eastAsia="ar-SA"/>
        </w:rPr>
        <w:t xml:space="preserve"> – </w:t>
      </w:r>
      <w:r w:rsidRPr="00DD39D0">
        <w:rPr>
          <w:rFonts w:ascii="Times New Roman" w:eastAsia="Times New Roman" w:hAnsi="Times New Roman"/>
          <w:sz w:val="28"/>
          <w:szCs w:val="28"/>
          <w:lang w:val="uk-UA" w:eastAsia="ar-SA"/>
        </w:rPr>
        <w:t>Харків, 2015. - С. 452-453.</w:t>
      </w:r>
    </w:p>
    <w:p w14:paraId="6311DE8E"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Нуждаемость в ортодонтическом лечении детей с аллергическими заболеваниями в анамнезе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Новини та перспективи медичної науки: </w:t>
      </w:r>
      <w:r w:rsidRPr="00DD39D0">
        <w:rPr>
          <w:rFonts w:ascii="Times New Roman" w:eastAsia="Times New Roman" w:hAnsi="Times New Roman"/>
          <w:sz w:val="28"/>
          <w:szCs w:val="28"/>
          <w:lang w:val="uk-UA" w:eastAsia="ar-SA"/>
        </w:rPr>
        <w:t xml:space="preserve">матеріали </w:t>
      </w:r>
      <w:r w:rsidRPr="00DD39D0">
        <w:rPr>
          <w:rFonts w:ascii="Times New Roman" w:eastAsia="Times New Roman" w:hAnsi="Times New Roman"/>
          <w:sz w:val="28"/>
          <w:szCs w:val="28"/>
          <w:lang w:val="ru-RU" w:eastAsia="ar-SA"/>
        </w:rPr>
        <w:t>наукової медичної конференції студентів та молодих вчених, Дніпропетровськ</w:t>
      </w:r>
      <w:r>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ru-RU" w:eastAsia="ar-SA"/>
        </w:rPr>
        <w:t xml:space="preserve"> 14-15 квітня</w:t>
      </w:r>
      <w:r w:rsidRPr="00DD39D0">
        <w:rPr>
          <w:rFonts w:ascii="Times New Roman" w:eastAsia="Times New Roman" w:hAnsi="Times New Roman"/>
          <w:sz w:val="28"/>
          <w:szCs w:val="28"/>
          <w:lang w:val="uk-UA" w:eastAsia="ar-SA"/>
        </w:rPr>
        <w:t xml:space="preserve"> 2015</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Дніпропетровськ, 2015. -</w:t>
      </w:r>
      <w:r w:rsidRPr="00DD39D0">
        <w:rPr>
          <w:rFonts w:ascii="Times New Roman" w:eastAsia="Times New Roman" w:hAnsi="Times New Roman"/>
          <w:sz w:val="28"/>
          <w:szCs w:val="28"/>
          <w:lang w:val="ru-RU" w:eastAsia="ar-SA"/>
        </w:rPr>
        <w:t xml:space="preserve"> С.90</w:t>
      </w:r>
      <w:r>
        <w:rPr>
          <w:rFonts w:ascii="Times New Roman" w:eastAsia="Times New Roman" w:hAnsi="Times New Roman"/>
          <w:sz w:val="28"/>
          <w:szCs w:val="28"/>
          <w:lang w:val="ru-RU" w:eastAsia="ar-SA"/>
        </w:rPr>
        <w:t>-91</w:t>
      </w:r>
      <w:r w:rsidRPr="00DD39D0">
        <w:rPr>
          <w:rFonts w:ascii="Times New Roman" w:eastAsia="Times New Roman" w:hAnsi="Times New Roman"/>
          <w:sz w:val="28"/>
          <w:szCs w:val="28"/>
          <w:lang w:val="uk-UA" w:eastAsia="ar-SA"/>
        </w:rPr>
        <w:t>.</w:t>
      </w:r>
    </w:p>
    <w:p w14:paraId="3F93C879"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Рівень інтенсивності карієсу зубів дітей 12-15 років, хворих на алергічні захворювання / Л. С. Кривенко // Здобутки теоретичної медицини – в практику охорони здоров'я – 2015: матеріали Всеукраїнської науково-практична конференції молодих вчених і студентів з міжнародною участю, Запоріжжя, 26-27 березня. – Запоріжжя, 2015. – С. 57.</w:t>
      </w:r>
    </w:p>
    <w:p w14:paraId="237EB07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eastAsia="ar-SA"/>
        </w:rPr>
        <w:t>Pathological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changes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mucosa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lips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 Л. С. Кривенко, Н. А. Олейник // Актуальні проблеми клінічної та фундаментальної медицини </w:t>
      </w:r>
      <w:r w:rsidRPr="00DD39D0">
        <w:rPr>
          <w:rFonts w:ascii="Times New Roman" w:eastAsia="Times New Roman" w:hAnsi="Times New Roman"/>
          <w:sz w:val="28"/>
          <w:szCs w:val="28"/>
          <w:lang w:val="ru-RU" w:eastAsia="ar-SA"/>
        </w:rPr>
        <w:t>ISIC</w:t>
      </w:r>
      <w:r w:rsidRPr="00DD39D0">
        <w:rPr>
          <w:rFonts w:ascii="Times New Roman" w:eastAsia="Times New Roman" w:hAnsi="Times New Roman"/>
          <w:sz w:val="28"/>
          <w:szCs w:val="28"/>
          <w:lang w:val="uk-UA" w:eastAsia="ar-SA"/>
        </w:rPr>
        <w:t xml:space="preserve">: матеріали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ІІ</w:t>
      </w:r>
      <w:r w:rsidRPr="00DD39D0">
        <w:rPr>
          <w:rFonts w:ascii="Times New Roman" w:eastAsia="Times New Roman" w:hAnsi="Times New Roman"/>
          <w:sz w:val="28"/>
          <w:szCs w:val="28"/>
          <w:lang w:eastAsia="ar-SA"/>
        </w:rPr>
        <w:t>I</w:t>
      </w:r>
      <w:r w:rsidRPr="00DD39D0">
        <w:rPr>
          <w:rFonts w:ascii="Times New Roman" w:eastAsia="Times New Roman" w:hAnsi="Times New Roman"/>
          <w:sz w:val="28"/>
          <w:szCs w:val="28"/>
          <w:lang w:val="uk-UA" w:eastAsia="ar-SA"/>
        </w:rPr>
        <w:t xml:space="preserve"> науково-практичної конференції з міжнародною участю, Харків, 14-15 травня 2015. – Харків, 2015. – С. 267.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4E4464ED"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Вивчення поширеності некаріозних уражень твердих тканин зубів у дітей 5-18 років, хворих на алергічні захворювання / </w:t>
      </w:r>
      <w:r w:rsidRPr="00DD39D0">
        <w:rPr>
          <w:rFonts w:ascii="Times New Roman" w:eastAsia="Times New Roman" w:hAnsi="Times New Roman"/>
          <w:sz w:val="28"/>
          <w:szCs w:val="28"/>
          <w:lang w:val="uk-UA" w:eastAsia="ar-SA"/>
        </w:rPr>
        <w:br/>
        <w:t>Л. С. Кривенко // Інноваційні технології у сучасній стоматології: матеріали науково-практичної конференції, Івано-Франківськ, 20 березня 2015. – Івано-Франківськ, 2015. – С. 89-90.</w:t>
      </w:r>
    </w:p>
    <w:p w14:paraId="30E0AB92"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lastRenderedPageBreak/>
        <w:t xml:space="preserve">Кривенко Л. С. Прояви патологічних змін у порожнині рота дітей, хворих на алергічні захворювання / Л. С. Кривенко // </w:t>
      </w:r>
      <w:r w:rsidRPr="0076154B">
        <w:rPr>
          <w:rFonts w:ascii="Times New Roman" w:eastAsia="Times New Roman" w:hAnsi="Times New Roman"/>
          <w:sz w:val="28"/>
          <w:szCs w:val="28"/>
          <w:lang w:val="uk-UA" w:eastAsia="ar-SA"/>
        </w:rPr>
        <w:t>Інноваційні технології в стоматології</w:t>
      </w:r>
      <w:r w:rsidRPr="00DD39D0">
        <w:rPr>
          <w:rFonts w:ascii="Times New Roman" w:eastAsia="Times New Roman" w:hAnsi="Times New Roman"/>
          <w:sz w:val="28"/>
          <w:szCs w:val="28"/>
          <w:lang w:val="uk-UA" w:eastAsia="ar-SA"/>
        </w:rPr>
        <w:t xml:space="preserve">: матеріали </w:t>
      </w:r>
      <w:r>
        <w:rPr>
          <w:rFonts w:ascii="Times New Roman" w:eastAsia="Times New Roman" w:hAnsi="Times New Roman"/>
          <w:sz w:val="28"/>
          <w:szCs w:val="28"/>
          <w:lang w:val="uk-UA" w:eastAsia="ar-SA"/>
        </w:rPr>
        <w:t>науково-практичної конференції, Тернопіль, 23 вересня 2016</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Тернопіль, 2016. – С.72-73</w:t>
      </w:r>
      <w:r w:rsidRPr="00DD39D0">
        <w:rPr>
          <w:rFonts w:ascii="Times New Roman" w:eastAsia="Times New Roman" w:hAnsi="Times New Roman"/>
          <w:sz w:val="28"/>
          <w:szCs w:val="28"/>
          <w:lang w:val="uk-UA" w:eastAsia="ar-SA"/>
        </w:rPr>
        <w:t>.</w:t>
      </w:r>
    </w:p>
    <w:p w14:paraId="3622C0DA"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Гігієнічний та пародонтальний статус дітей, хворих на бронхіальну астму / Л. С. Кривенко // Медицина третього тисячоліття: матеріали міжвузівської конференції молодих вчених та студентів, Харків, 20 січня 2016. – Харків, 2016. – С. 416-417.</w:t>
      </w:r>
    </w:p>
    <w:p w14:paraId="6E4D499A"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hygienic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asthma</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International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Student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Congress: abstract book</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Graz</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Austria</w:t>
      </w:r>
      <w:r w:rsidRPr="00DD39D0">
        <w:rPr>
          <w:rFonts w:ascii="Times New Roman" w:eastAsia="Times New Roman" w:hAnsi="Times New Roman"/>
          <w:sz w:val="28"/>
          <w:szCs w:val="28"/>
          <w:lang w:val="uk-UA" w:eastAsia="ar-SA"/>
        </w:rPr>
        <w:t xml:space="preserve">, 26-28 </w:t>
      </w:r>
      <w:r w:rsidRPr="00DD39D0">
        <w:rPr>
          <w:rFonts w:ascii="Times New Roman" w:eastAsia="Times New Roman" w:hAnsi="Times New Roman"/>
          <w:sz w:val="28"/>
          <w:szCs w:val="28"/>
          <w:lang w:eastAsia="ar-SA"/>
        </w:rPr>
        <w:t>May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 xml:space="preserve">2016. – Graz, 2016. </w:t>
      </w:r>
      <w:r>
        <w:rPr>
          <w:rFonts w:ascii="Times New Roman" w:eastAsia="Times New Roman" w:hAnsi="Times New Roman"/>
          <w:sz w:val="28"/>
          <w:szCs w:val="28"/>
          <w:lang w:val="uk-UA" w:eastAsia="ar-SA"/>
        </w:rPr>
        <w:t>– Р. 131</w:t>
      </w:r>
      <w:r w:rsidRPr="00DD39D0">
        <w:rPr>
          <w:rFonts w:ascii="Times New Roman" w:eastAsia="Times New Roman" w:hAnsi="Times New Roman"/>
          <w:sz w:val="28"/>
          <w:szCs w:val="28"/>
          <w:lang w:val="uk-UA" w:eastAsia="ar-SA"/>
        </w:rPr>
        <w:t>.</w:t>
      </w:r>
    </w:p>
    <w:p w14:paraId="260D940E"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Influence of allergic rhinitis on condition of oral cavity pathology in children / L. S. Kryvenko // International Student Congress: abstract book, Graz, Austria, 26-28 May 2016. – Graz, 2016. – P.74</w:t>
      </w:r>
      <w:r w:rsidRPr="00DD39D0">
        <w:rPr>
          <w:rFonts w:ascii="Times New Roman" w:eastAsia="Times New Roman" w:hAnsi="Times New Roman"/>
          <w:sz w:val="28"/>
          <w:szCs w:val="28"/>
          <w:lang w:val="uk-UA" w:eastAsia="ar-SA"/>
        </w:rPr>
        <w:t>.</w:t>
      </w:r>
    </w:p>
    <w:p w14:paraId="71F5A15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Periodontal and oral hygiene problems in children with asthma / L. S. Kryvenko // FDI Annual World Dental Congress: </w:t>
      </w:r>
      <w:r>
        <w:rPr>
          <w:rFonts w:ascii="Times New Roman" w:eastAsia="Times New Roman" w:hAnsi="Times New Roman"/>
          <w:sz w:val="28"/>
          <w:szCs w:val="28"/>
          <w:lang w:eastAsia="ar-SA"/>
        </w:rPr>
        <w:t>International Dental Journal</w:t>
      </w:r>
      <w:r w:rsidRPr="00DD39D0">
        <w:rPr>
          <w:rFonts w:ascii="Times New Roman" w:eastAsia="Times New Roman" w:hAnsi="Times New Roman"/>
          <w:sz w:val="28"/>
          <w:szCs w:val="28"/>
          <w:lang w:eastAsia="ar-SA"/>
        </w:rPr>
        <w:t xml:space="preserve">, Poznan, Poland, 7-10 September 2016. – Poznan, 2016. </w:t>
      </w:r>
      <w:r>
        <w:rPr>
          <w:rFonts w:ascii="Times New Roman" w:eastAsia="Times New Roman" w:hAnsi="Times New Roman"/>
          <w:sz w:val="28"/>
          <w:szCs w:val="28"/>
          <w:lang w:val="uk-UA" w:eastAsia="ar-SA"/>
        </w:rPr>
        <w:t>– Р. 1</w:t>
      </w:r>
      <w:r>
        <w:rPr>
          <w:rFonts w:ascii="Times New Roman" w:eastAsia="Times New Roman" w:hAnsi="Times New Roman"/>
          <w:sz w:val="28"/>
          <w:szCs w:val="28"/>
          <w:lang w:eastAsia="ar-SA"/>
        </w:rPr>
        <w:t>47</w:t>
      </w:r>
      <w:r w:rsidRPr="00DD39D0">
        <w:rPr>
          <w:rFonts w:ascii="Times New Roman" w:eastAsia="Times New Roman" w:hAnsi="Times New Roman"/>
          <w:sz w:val="28"/>
          <w:szCs w:val="28"/>
          <w:lang w:val="uk-UA" w:eastAsia="ar-SA"/>
        </w:rPr>
        <w:t>.</w:t>
      </w:r>
    </w:p>
    <w:p w14:paraId="773B9903"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Comparative characteristic of periodontal and oral hygiene status in children with allergic diseases / L. S. Kryvenko // Actual problems of clinical and theoretical medicine: IXth International Interdisciplinary Scientific Conference of Young Scientists and M</w:t>
      </w:r>
      <w:r>
        <w:rPr>
          <w:rFonts w:ascii="Times New Roman" w:eastAsia="Times New Roman" w:hAnsi="Times New Roman"/>
          <w:sz w:val="28"/>
          <w:szCs w:val="28"/>
          <w:lang w:eastAsia="ar-SA"/>
        </w:rPr>
        <w:t xml:space="preserve">edical Students, </w:t>
      </w:r>
      <w:r w:rsidRPr="00DD39D0">
        <w:rPr>
          <w:rFonts w:ascii="Times New Roman" w:eastAsia="Times New Roman" w:hAnsi="Times New Roman"/>
          <w:sz w:val="28"/>
          <w:szCs w:val="28"/>
          <w:lang w:eastAsia="ar-SA"/>
        </w:rPr>
        <w:t>Kharkiv</w:t>
      </w:r>
      <w:r>
        <w:rPr>
          <w:rFonts w:ascii="Times New Roman" w:eastAsia="Times New Roman" w:hAnsi="Times New Roman"/>
          <w:sz w:val="28"/>
          <w:szCs w:val="28"/>
          <w:lang w:val="uk-UA" w:eastAsia="ar-SA"/>
        </w:rPr>
        <w:t>,</w:t>
      </w:r>
      <w:r>
        <w:rPr>
          <w:rFonts w:ascii="Times New Roman" w:eastAsia="Times New Roman" w:hAnsi="Times New Roman"/>
          <w:sz w:val="28"/>
          <w:szCs w:val="28"/>
          <w:lang w:eastAsia="ar-SA"/>
        </w:rPr>
        <w:t xml:space="preserve"> 22-23 May 2016</w:t>
      </w:r>
      <w:r w:rsidRPr="00DD39D0">
        <w:rPr>
          <w:rFonts w:ascii="Times New Roman" w:eastAsia="Times New Roman" w:hAnsi="Times New Roman"/>
          <w:sz w:val="28"/>
          <w:szCs w:val="28"/>
          <w:lang w:eastAsia="ar-SA"/>
        </w:rPr>
        <w:t>. – Kharkiv, 2016. – P.</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85</w:t>
      </w:r>
      <w:r w:rsidRPr="00DD39D0">
        <w:rPr>
          <w:rFonts w:ascii="Times New Roman" w:eastAsia="Times New Roman" w:hAnsi="Times New Roman"/>
          <w:sz w:val="28"/>
          <w:szCs w:val="28"/>
          <w:lang w:val="uk-UA" w:eastAsia="ar-SA"/>
        </w:rPr>
        <w:t>.</w:t>
      </w:r>
    </w:p>
    <w:p w14:paraId="446A0598"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Modulation of the immune response in the oral cavity in atopic disease / L. Kryvenko, A. S. Tarawneh, R. Nazaryan, V. Gargin // Graz</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Austria</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 xml:space="preserve">May 25th – May 27th, 2017. </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Graz</w:t>
      </w:r>
      <w:r w:rsidRPr="00966525">
        <w:rPr>
          <w:rFonts w:ascii="Times New Roman" w:eastAsia="Times New Roman" w:hAnsi="Times New Roman"/>
          <w:sz w:val="28"/>
          <w:szCs w:val="28"/>
          <w:lang w:eastAsia="ar-SA"/>
        </w:rPr>
        <w:t xml:space="preserve">, 2017. – </w:t>
      </w:r>
      <w:r w:rsidRPr="00DD39D0">
        <w:rPr>
          <w:rFonts w:ascii="Times New Roman" w:eastAsia="Times New Roman" w:hAnsi="Times New Roman"/>
          <w:sz w:val="28"/>
          <w:szCs w:val="28"/>
          <w:lang w:eastAsia="ar-SA"/>
        </w:rPr>
        <w:t>P</w:t>
      </w:r>
      <w:r w:rsidRPr="00966525">
        <w:rPr>
          <w:rFonts w:ascii="Times New Roman" w:eastAsia="Times New Roman" w:hAnsi="Times New Roman"/>
          <w:sz w:val="28"/>
          <w:szCs w:val="28"/>
          <w:lang w:eastAsia="ar-SA"/>
        </w:rPr>
        <w:t>. 134.</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32657BA6" w14:textId="77777777" w:rsidR="00713CF7" w:rsidRPr="00DD39D0"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Морфофункциональные особенности состояния ротовой </w:t>
      </w: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Состояние мягких тканей ротовой полости при моделировании атопической патологии / Л. </w:t>
      </w:r>
      <w:r w:rsidRPr="00DD39D0">
        <w:rPr>
          <w:rFonts w:ascii="Times New Roman" w:eastAsia="Times New Roman" w:hAnsi="Times New Roman"/>
          <w:sz w:val="28"/>
          <w:szCs w:val="28"/>
          <w:lang w:val="uk-UA" w:eastAsia="ar-SA"/>
        </w:rPr>
        <w:t xml:space="preserve">С. Кривенко, В. В. </w:t>
      </w:r>
      <w:r w:rsidRPr="00DD39D0">
        <w:rPr>
          <w:rFonts w:ascii="Times New Roman" w:eastAsia="Times New Roman" w:hAnsi="Times New Roman"/>
          <w:sz w:val="28"/>
          <w:szCs w:val="28"/>
          <w:lang w:val="ru-RU" w:eastAsia="ar-SA"/>
        </w:rPr>
        <w:t xml:space="preserve">Гаргін, </w:t>
      </w:r>
      <w:r w:rsidRPr="00DD39D0">
        <w:rPr>
          <w:rFonts w:ascii="Times New Roman" w:eastAsia="Times New Roman" w:hAnsi="Times New Roman"/>
          <w:sz w:val="28"/>
          <w:szCs w:val="28"/>
          <w:lang w:val="uk-UA" w:eastAsia="ar-SA"/>
        </w:rPr>
        <w:t xml:space="preserve">Р. </w:t>
      </w:r>
      <w:r w:rsidRPr="00DD39D0">
        <w:rPr>
          <w:rFonts w:ascii="Times New Roman" w:eastAsia="Times New Roman" w:hAnsi="Times New Roman"/>
          <w:sz w:val="28"/>
          <w:szCs w:val="28"/>
          <w:lang w:val="uk-UA" w:eastAsia="ar-SA"/>
        </w:rPr>
        <w:lastRenderedPageBreak/>
        <w:t xml:space="preserve">С. </w:t>
      </w:r>
      <w:r w:rsidRPr="00DD39D0">
        <w:rPr>
          <w:rFonts w:ascii="Times New Roman" w:eastAsia="Times New Roman" w:hAnsi="Times New Roman"/>
          <w:sz w:val="28"/>
          <w:szCs w:val="28"/>
          <w:lang w:val="ru-RU" w:eastAsia="ar-SA"/>
        </w:rPr>
        <w:t>Назарян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Актуальні проблеми сучасної патологічної анатомії: матеріали науково-практичної конференції, Київ</w:t>
      </w:r>
      <w:r>
        <w:rPr>
          <w:rFonts w:ascii="Times New Roman" w:eastAsia="Times New Roman" w:hAnsi="Times New Roman"/>
          <w:sz w:val="28"/>
          <w:szCs w:val="28"/>
          <w:lang w:val="ru-RU" w:eastAsia="ar-SA"/>
        </w:rPr>
        <w:t>,</w:t>
      </w:r>
      <w:r>
        <w:rPr>
          <w:rFonts w:ascii="Times New Roman" w:eastAsia="Times New Roman" w:hAnsi="Times New Roman"/>
          <w:sz w:val="28"/>
          <w:szCs w:val="28"/>
          <w:lang w:val="uk-UA" w:eastAsia="ar-SA"/>
        </w:rPr>
        <w:t xml:space="preserve"> 26-27 квітня</w:t>
      </w:r>
      <w:r w:rsidRPr="00DD39D0">
        <w:rPr>
          <w:rFonts w:ascii="Times New Roman" w:eastAsia="Times New Roman" w:hAnsi="Times New Roman"/>
          <w:sz w:val="28"/>
          <w:szCs w:val="28"/>
          <w:lang w:val="ru-RU" w:eastAsia="ar-SA"/>
        </w:rPr>
        <w:t xml:space="preserve"> 2017.</w:t>
      </w:r>
      <w:r>
        <w:rPr>
          <w:rFonts w:ascii="Times New Roman" w:eastAsia="Times New Roman" w:hAnsi="Times New Roman"/>
          <w:sz w:val="28"/>
          <w:szCs w:val="28"/>
          <w:lang w:val="uk-UA" w:eastAsia="ar-SA"/>
        </w:rPr>
        <w:t xml:space="preserve"> – Київ, 2017. – С.26-28</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7A456A90"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Л.С. </w:t>
      </w:r>
      <w:r w:rsidRPr="00DD39D0">
        <w:rPr>
          <w:rFonts w:ascii="Times New Roman" w:eastAsia="Times New Roman" w:hAnsi="Times New Roman"/>
          <w:sz w:val="28"/>
          <w:szCs w:val="28"/>
          <w:lang w:val="ru-RU" w:eastAsia="ar-SA"/>
        </w:rPr>
        <w:t xml:space="preserve">Морфофункциональные особенности состояния ротовой полости при моделировании атопической патологии / В.В. Гаргин, Л.С. Кривенко, Р.С. Назарян // </w:t>
      </w:r>
      <w:r w:rsidRPr="00DD39D0">
        <w:rPr>
          <w:rFonts w:ascii="Times New Roman" w:eastAsia="Times New Roman" w:hAnsi="Times New Roman"/>
          <w:sz w:val="28"/>
          <w:szCs w:val="28"/>
          <w:lang w:val="uk-UA" w:eastAsia="ar-SA"/>
        </w:rPr>
        <w:t>Щорічні терапевтичні читання: медикаментозна та немедикаментозна профілактика неінфекційних захворювань: погляд в майбутнє: матеріали науково-практичної конференції з міжнародною участю</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Харків</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20 кв</w:t>
      </w:r>
      <w:r>
        <w:rPr>
          <w:rFonts w:ascii="Times New Roman" w:eastAsia="Times New Roman" w:hAnsi="Times New Roman"/>
          <w:sz w:val="28"/>
          <w:szCs w:val="28"/>
          <w:lang w:val="uk-UA" w:eastAsia="ar-SA"/>
        </w:rPr>
        <w:t>ітня 2017</w:t>
      </w:r>
      <w:r w:rsidRPr="00DD39D0">
        <w:rPr>
          <w:rFonts w:ascii="Times New Roman" w:eastAsia="Times New Roman" w:hAnsi="Times New Roman"/>
          <w:sz w:val="28"/>
          <w:szCs w:val="28"/>
          <w:lang w:val="uk-UA" w:eastAsia="ar-SA"/>
        </w:rPr>
        <w:t>. – Харків, 2017. – С. 54.</w:t>
      </w:r>
    </w:p>
    <w:p w14:paraId="30C01E1B"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stress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markers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chronic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gingivitis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asthma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rhinitis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dermatitis</w:t>
      </w:r>
      <w:r w:rsidRPr="00DD39D0">
        <w:rPr>
          <w:rFonts w:ascii="Times New Roman" w:eastAsia="Times New Roman" w:hAnsi="Times New Roman"/>
          <w:sz w:val="28"/>
          <w:szCs w:val="28"/>
          <w:lang w:val="uk-UA" w:eastAsia="ar-SA"/>
        </w:rPr>
        <w:t xml:space="preserve"> / 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Наука и медицина: современный взгляд молодежи: материалы </w:t>
      </w:r>
      <w:r w:rsidRPr="00DD39D0">
        <w:rPr>
          <w:rFonts w:ascii="Times New Roman" w:eastAsia="Times New Roman" w:hAnsi="Times New Roman"/>
          <w:sz w:val="28"/>
          <w:szCs w:val="28"/>
          <w:lang w:val="ru-RU" w:eastAsia="ar-SA"/>
        </w:rPr>
        <w:t>IV</w:t>
      </w:r>
      <w:r w:rsidRPr="00DD39D0">
        <w:rPr>
          <w:rFonts w:ascii="Times New Roman" w:eastAsia="Times New Roman" w:hAnsi="Times New Roman"/>
          <w:sz w:val="28"/>
          <w:szCs w:val="28"/>
          <w:lang w:val="uk-UA" w:eastAsia="ar-SA"/>
        </w:rPr>
        <w:t xml:space="preserve"> международной научно-практической к</w:t>
      </w:r>
      <w:r>
        <w:rPr>
          <w:rFonts w:ascii="Times New Roman" w:eastAsia="Times New Roman" w:hAnsi="Times New Roman"/>
          <w:sz w:val="28"/>
          <w:szCs w:val="28"/>
          <w:lang w:val="uk-UA" w:eastAsia="ar-SA"/>
        </w:rPr>
        <w:t xml:space="preserve">онференции, </w:t>
      </w:r>
      <w:r w:rsidRPr="00DD39D0">
        <w:rPr>
          <w:rFonts w:ascii="Times New Roman" w:eastAsia="Times New Roman" w:hAnsi="Times New Roman"/>
          <w:sz w:val="28"/>
          <w:szCs w:val="28"/>
          <w:lang w:val="uk-UA" w:eastAsia="ar-SA"/>
        </w:rPr>
        <w:t>Алматы</w:t>
      </w:r>
      <w:r>
        <w:rPr>
          <w:rFonts w:ascii="Times New Roman" w:eastAsia="Times New Roman" w:hAnsi="Times New Roman"/>
          <w:sz w:val="28"/>
          <w:szCs w:val="28"/>
          <w:lang w:val="uk-UA" w:eastAsia="ar-SA"/>
        </w:rPr>
        <w:t>, 20-21 апреля 2017. – Алматы, 2017. – С.316-317</w:t>
      </w:r>
      <w:r w:rsidRPr="00DD39D0">
        <w:rPr>
          <w:rFonts w:ascii="Times New Roman" w:eastAsia="Times New Roman" w:hAnsi="Times New Roman"/>
          <w:sz w:val="28"/>
          <w:szCs w:val="28"/>
          <w:lang w:val="uk-UA" w:eastAsia="ar-SA"/>
        </w:rPr>
        <w:t>.</w:t>
      </w:r>
    </w:p>
    <w:p w14:paraId="6E929003" w14:textId="77777777" w:rsidR="00713CF7" w:rsidRDefault="00713CF7" w:rsidP="00713CF7">
      <w:pPr>
        <w:widowControl w:val="0"/>
        <w:numPr>
          <w:ilvl w:val="0"/>
          <w:numId w:val="5"/>
        </w:numPr>
        <w:suppressAutoHyphens/>
        <w:autoSpaceDE w:val="0"/>
        <w:spacing w:after="0" w:line="360" w:lineRule="auto"/>
        <w:jc w:val="both"/>
        <w:rPr>
          <w:rFonts w:ascii="Times New Roman" w:eastAsia="Times New Roman" w:hAnsi="Times New Roman"/>
          <w:sz w:val="28"/>
          <w:szCs w:val="28"/>
          <w:lang w:val="uk-UA" w:eastAsia="ar-SA"/>
        </w:rPr>
      </w:pPr>
      <w:r w:rsidRPr="00713CF7">
        <w:rPr>
          <w:rFonts w:ascii="Times New Roman" w:eastAsia="Times New Roman" w:hAnsi="Times New Roman"/>
          <w:sz w:val="28"/>
          <w:szCs w:val="28"/>
          <w:lang w:val="uk-UA" w:eastAsia="ar-SA"/>
        </w:rPr>
        <w:t xml:space="preserve">Кривенко Л.С. Досвід оптимізації лікування хронічного гінгівіту у дітей з атопічними захворюваннями / Л.С. Кривенко // Актуальні питання науково-практичної стоматології: матеріали </w:t>
      </w:r>
      <w:r w:rsidRPr="00713CF7">
        <w:rPr>
          <w:rFonts w:ascii="Times New Roman" w:eastAsia="Times New Roman" w:hAnsi="Times New Roman"/>
          <w:sz w:val="28"/>
          <w:szCs w:val="28"/>
          <w:lang w:eastAsia="ar-SA"/>
        </w:rPr>
        <w:t>VI</w:t>
      </w:r>
      <w:r w:rsidRPr="00713CF7">
        <w:rPr>
          <w:rFonts w:ascii="Times New Roman" w:eastAsia="Times New Roman" w:hAnsi="Times New Roman"/>
          <w:sz w:val="28"/>
          <w:szCs w:val="28"/>
          <w:lang w:val="uk-UA" w:eastAsia="ar-SA"/>
        </w:rPr>
        <w:t xml:space="preserve"> міжнародної стоматологічної конференції студентів та молодих вчених, Харків, 20-22 квітня 2017. – Харків, 2017. – С. 112-113.</w:t>
      </w:r>
    </w:p>
    <w:p w14:paraId="589CFF72" w14:textId="07ABBA74" w:rsidR="00647972" w:rsidRPr="00713CF7" w:rsidRDefault="00647972" w:rsidP="00713CF7">
      <w:pPr>
        <w:widowControl w:val="0"/>
        <w:numPr>
          <w:ilvl w:val="0"/>
          <w:numId w:val="5"/>
        </w:numPr>
        <w:suppressAutoHyphens/>
        <w:autoSpaceDE w:val="0"/>
        <w:spacing w:after="0" w:line="240" w:lineRule="auto"/>
        <w:jc w:val="both"/>
        <w:rPr>
          <w:rFonts w:ascii="Times New Roman" w:eastAsia="Times New Roman" w:hAnsi="Times New Roman"/>
          <w:sz w:val="28"/>
          <w:szCs w:val="28"/>
          <w:lang w:val="uk-UA" w:eastAsia="ar-SA"/>
        </w:rPr>
      </w:pPr>
      <w:r w:rsidRPr="00713CF7">
        <w:rPr>
          <w:rFonts w:ascii="Times New Roman" w:hAnsi="Times New Roman" w:cs="Times New Roman"/>
          <w:sz w:val="28"/>
          <w:szCs w:val="28"/>
          <w:lang w:val="uk-UA"/>
        </w:rPr>
        <w:br w:type="page"/>
      </w:r>
    </w:p>
    <w:p w14:paraId="3D2BF55A" w14:textId="77777777" w:rsidR="006D443C" w:rsidRDefault="006D443C">
      <w:pPr>
        <w:rPr>
          <w:rFonts w:ascii="Times New Roman" w:hAnsi="Times New Roman" w:cs="Times New Roman"/>
          <w:sz w:val="28"/>
          <w:szCs w:val="28"/>
          <w:lang w:val="uk-UA"/>
        </w:rPr>
      </w:pPr>
    </w:p>
    <w:sdt>
      <w:sdtPr>
        <w:rPr>
          <w:rFonts w:ascii="Times New Roman" w:eastAsiaTheme="minorHAnsi" w:hAnsi="Times New Roman" w:cs="Times New Roman"/>
          <w:color w:val="auto"/>
          <w:sz w:val="28"/>
          <w:szCs w:val="28"/>
        </w:rPr>
        <w:id w:val="-1071573246"/>
        <w:docPartObj>
          <w:docPartGallery w:val="Table of Contents"/>
          <w:docPartUnique/>
        </w:docPartObj>
      </w:sdtPr>
      <w:sdtEndPr>
        <w:rPr>
          <w:b/>
          <w:bCs/>
          <w:noProof/>
        </w:rPr>
      </w:sdtEndPr>
      <w:sdtContent>
        <w:p w14:paraId="5A03CF37" w14:textId="508D4A2E" w:rsidR="00A330AC" w:rsidRPr="0024434B" w:rsidRDefault="00597BF0" w:rsidP="0024434B">
          <w:pPr>
            <w:pStyle w:val="TOCHeading"/>
            <w:spacing w:line="360" w:lineRule="auto"/>
            <w:jc w:val="center"/>
            <w:rPr>
              <w:rFonts w:ascii="Times New Roman" w:hAnsi="Times New Roman" w:cs="Times New Roman"/>
              <w:color w:val="auto"/>
              <w:sz w:val="28"/>
              <w:szCs w:val="28"/>
              <w:lang w:val="ru-RU"/>
            </w:rPr>
          </w:pPr>
          <w:r w:rsidRPr="0024434B">
            <w:rPr>
              <w:rFonts w:ascii="Times New Roman" w:hAnsi="Times New Roman" w:cs="Times New Roman"/>
              <w:color w:val="auto"/>
              <w:sz w:val="28"/>
              <w:szCs w:val="28"/>
              <w:lang w:val="ru-RU"/>
            </w:rPr>
            <w:t>ЗМІСТ</w:t>
          </w:r>
        </w:p>
        <w:p w14:paraId="7CCFE820" w14:textId="77777777" w:rsidR="00597BF0" w:rsidRPr="0024434B" w:rsidRDefault="00597BF0" w:rsidP="0024434B">
          <w:pPr>
            <w:spacing w:line="360" w:lineRule="auto"/>
            <w:rPr>
              <w:rFonts w:ascii="Times New Roman" w:hAnsi="Times New Roman" w:cs="Times New Roman"/>
              <w:sz w:val="28"/>
              <w:szCs w:val="28"/>
              <w:lang w:val="ru-RU"/>
            </w:rPr>
          </w:pPr>
        </w:p>
        <w:p w14:paraId="692C5C5F" w14:textId="5CE1DB25" w:rsidR="0024434B" w:rsidRPr="0024434B" w:rsidRDefault="00A330AC" w:rsidP="0024434B">
          <w:pPr>
            <w:pStyle w:val="TOC1"/>
            <w:rPr>
              <w:rFonts w:ascii="Times New Roman" w:eastAsiaTheme="minorEastAsia" w:hAnsi="Times New Roman" w:cs="Times New Roman"/>
              <w:noProof/>
              <w:sz w:val="28"/>
              <w:szCs w:val="28"/>
            </w:rPr>
          </w:pPr>
          <w:r w:rsidRPr="0024434B">
            <w:rPr>
              <w:rFonts w:ascii="Times New Roman" w:hAnsi="Times New Roman" w:cs="Times New Roman"/>
              <w:sz w:val="28"/>
              <w:szCs w:val="28"/>
            </w:rPr>
            <w:fldChar w:fldCharType="begin"/>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TOC</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o</w:instrText>
          </w:r>
          <w:r w:rsidRPr="0024434B">
            <w:rPr>
              <w:rFonts w:ascii="Times New Roman" w:hAnsi="Times New Roman" w:cs="Times New Roman"/>
              <w:sz w:val="28"/>
              <w:szCs w:val="28"/>
              <w:lang w:val="ru-RU"/>
            </w:rPr>
            <w:instrText xml:space="preserve"> "1-3" \</w:instrText>
          </w:r>
          <w:r w:rsidRPr="0024434B">
            <w:rPr>
              <w:rFonts w:ascii="Times New Roman" w:hAnsi="Times New Roman" w:cs="Times New Roman"/>
              <w:sz w:val="28"/>
              <w:szCs w:val="28"/>
            </w:rPr>
            <w:instrText>h</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z</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instrText>u</w:instrText>
          </w:r>
          <w:r w:rsidRPr="0024434B">
            <w:rPr>
              <w:rFonts w:ascii="Times New Roman" w:hAnsi="Times New Roman" w:cs="Times New Roman"/>
              <w:sz w:val="28"/>
              <w:szCs w:val="28"/>
              <w:lang w:val="ru-RU"/>
            </w:rPr>
            <w:instrText xml:space="preserve"> </w:instrText>
          </w:r>
          <w:r w:rsidRPr="0024434B">
            <w:rPr>
              <w:rFonts w:ascii="Times New Roman" w:hAnsi="Times New Roman" w:cs="Times New Roman"/>
              <w:sz w:val="28"/>
              <w:szCs w:val="28"/>
            </w:rPr>
            <w:fldChar w:fldCharType="separate"/>
          </w:r>
          <w:hyperlink w:anchor="_Toc507575294" w:history="1">
            <w:r w:rsidR="0024434B" w:rsidRPr="0024434B">
              <w:rPr>
                <w:rStyle w:val="Hyperlink"/>
                <w:rFonts w:ascii="Times New Roman" w:hAnsi="Times New Roman" w:cs="Times New Roman"/>
                <w:noProof/>
                <w:sz w:val="28"/>
                <w:szCs w:val="28"/>
                <w:lang w:val="uk-UA"/>
              </w:rPr>
              <w:t>ВСТУП</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w:t>
            </w:r>
            <w:r w:rsidR="0024434B" w:rsidRPr="0024434B">
              <w:rPr>
                <w:rFonts w:ascii="Times New Roman" w:hAnsi="Times New Roman" w:cs="Times New Roman"/>
                <w:noProof/>
                <w:webHidden/>
                <w:sz w:val="28"/>
                <w:szCs w:val="28"/>
              </w:rPr>
              <w:fldChar w:fldCharType="end"/>
            </w:r>
          </w:hyperlink>
        </w:p>
        <w:p w14:paraId="65E0A81D" w14:textId="38510F22" w:rsidR="0024434B" w:rsidRPr="0024434B" w:rsidRDefault="000F56B7" w:rsidP="0024434B">
          <w:pPr>
            <w:pStyle w:val="TOC1"/>
            <w:rPr>
              <w:rFonts w:ascii="Times New Roman" w:eastAsiaTheme="minorEastAsia" w:hAnsi="Times New Roman" w:cs="Times New Roman"/>
              <w:noProof/>
              <w:sz w:val="28"/>
              <w:szCs w:val="28"/>
            </w:rPr>
          </w:pPr>
          <w:hyperlink w:anchor="_Toc507575295" w:history="1">
            <w:r w:rsidR="0024434B" w:rsidRPr="0024434B">
              <w:rPr>
                <w:rStyle w:val="Hyperlink"/>
                <w:rFonts w:ascii="Times New Roman" w:hAnsi="Times New Roman" w:cs="Times New Roman"/>
                <w:noProof/>
                <w:sz w:val="28"/>
                <w:szCs w:val="28"/>
                <w:lang w:val="uk-UA"/>
              </w:rPr>
              <w:t>РОЗДІЛ 1</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769E472F" w14:textId="5C9B8AB2" w:rsidR="0024434B" w:rsidRPr="0024434B" w:rsidRDefault="000F56B7" w:rsidP="0024434B">
          <w:pPr>
            <w:pStyle w:val="TOC1"/>
            <w:rPr>
              <w:rFonts w:ascii="Times New Roman" w:eastAsiaTheme="minorEastAsia" w:hAnsi="Times New Roman" w:cs="Times New Roman"/>
              <w:noProof/>
              <w:sz w:val="28"/>
              <w:szCs w:val="28"/>
            </w:rPr>
          </w:pPr>
          <w:hyperlink w:anchor="_Toc507575296" w:history="1">
            <w:r w:rsidR="0024434B" w:rsidRPr="0024434B">
              <w:rPr>
                <w:rStyle w:val="Hyperlink"/>
                <w:rFonts w:ascii="Times New Roman" w:hAnsi="Times New Roman" w:cs="Times New Roman"/>
                <w:noProof/>
                <w:sz w:val="28"/>
                <w:szCs w:val="28"/>
                <w:lang w:val="uk-UA"/>
              </w:rPr>
              <w:t>СУЧАСНІ ПІДХОДИ ДО ПРОГНОЗУВАННЯ, ПРОФІЛАКТИКИ ТА ЛІКУВАННЯ ГІНГІВІТУ У ДІТЕЙ НА ТЛІ АТОПІЧНИХ ЗАХВОРЮВАНЬ (ОГЛЯД ЛІТЕРАТУРИ)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311DD06F" w14:textId="56B4B64B"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297" w:history="1">
            <w:r w:rsidR="0024434B" w:rsidRPr="0024434B">
              <w:rPr>
                <w:rStyle w:val="Hyperlink"/>
                <w:rFonts w:ascii="Times New Roman" w:hAnsi="Times New Roman" w:cs="Times New Roman"/>
                <w:noProof/>
                <w:sz w:val="28"/>
                <w:szCs w:val="28"/>
                <w:lang w:val="uk-UA"/>
              </w:rPr>
              <w:t>1.1 Поняття та епідеміологія атопічних захворювань, їх вплив на стан тканин порожнини рота</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33</w:t>
            </w:r>
            <w:r w:rsidR="0024434B" w:rsidRPr="0024434B">
              <w:rPr>
                <w:rFonts w:ascii="Times New Roman" w:hAnsi="Times New Roman" w:cs="Times New Roman"/>
                <w:noProof/>
                <w:webHidden/>
                <w:sz w:val="28"/>
                <w:szCs w:val="28"/>
              </w:rPr>
              <w:fldChar w:fldCharType="end"/>
            </w:r>
          </w:hyperlink>
        </w:p>
        <w:p w14:paraId="5FD1FDA0" w14:textId="50F981F4"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298" w:history="1">
            <w:r w:rsidR="0024434B" w:rsidRPr="0024434B">
              <w:rPr>
                <w:rStyle w:val="Hyperlink"/>
                <w:rFonts w:ascii="Times New Roman" w:hAnsi="Times New Roman" w:cs="Times New Roman"/>
                <w:noProof/>
                <w:sz w:val="28"/>
                <w:szCs w:val="28"/>
                <w:lang w:val="uk-UA"/>
              </w:rPr>
              <w:t>1.2 Сучасні аспекти етіології, патогенезу, діагностики та лікування хронічного гінгівіту у дітей</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44</w:t>
            </w:r>
            <w:r w:rsidR="0024434B" w:rsidRPr="0024434B">
              <w:rPr>
                <w:rFonts w:ascii="Times New Roman" w:hAnsi="Times New Roman" w:cs="Times New Roman"/>
                <w:noProof/>
                <w:webHidden/>
                <w:sz w:val="28"/>
                <w:szCs w:val="28"/>
              </w:rPr>
              <w:fldChar w:fldCharType="end"/>
            </w:r>
          </w:hyperlink>
        </w:p>
        <w:p w14:paraId="15FBD206" w14:textId="59C1020B" w:rsidR="0024434B" w:rsidRPr="0024434B" w:rsidRDefault="000F56B7" w:rsidP="0024434B">
          <w:pPr>
            <w:pStyle w:val="TOC1"/>
            <w:rPr>
              <w:rFonts w:ascii="Times New Roman" w:eastAsiaTheme="minorEastAsia" w:hAnsi="Times New Roman" w:cs="Times New Roman"/>
              <w:noProof/>
              <w:sz w:val="28"/>
              <w:szCs w:val="28"/>
            </w:rPr>
          </w:pPr>
          <w:hyperlink w:anchor="_Toc507575299" w:history="1">
            <w:r w:rsidR="0024434B" w:rsidRPr="0024434B">
              <w:rPr>
                <w:rStyle w:val="Hyperlink"/>
                <w:rFonts w:ascii="Times New Roman" w:hAnsi="Times New Roman" w:cs="Times New Roman"/>
                <w:noProof/>
                <w:sz w:val="28"/>
                <w:szCs w:val="28"/>
                <w:lang w:val="uk-UA"/>
              </w:rPr>
              <w:t>РОЗДІЛ 2</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_Toc507575299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78B4DD0F" w14:textId="0CC5479B" w:rsidR="0024434B" w:rsidRPr="0024434B" w:rsidRDefault="000F56B7" w:rsidP="0024434B">
          <w:pPr>
            <w:pStyle w:val="TOC1"/>
            <w:rPr>
              <w:rFonts w:ascii="Times New Roman" w:eastAsiaTheme="minorEastAsia" w:hAnsi="Times New Roman" w:cs="Times New Roman"/>
              <w:noProof/>
              <w:sz w:val="28"/>
              <w:szCs w:val="28"/>
            </w:rPr>
          </w:pPr>
          <w:hyperlink w:anchor="_Toc507575300" w:history="1">
            <w:r w:rsidR="0024434B" w:rsidRPr="0024434B">
              <w:rPr>
                <w:rStyle w:val="Hyperlink"/>
                <w:rFonts w:ascii="Times New Roman" w:hAnsi="Times New Roman" w:cs="Times New Roman"/>
                <w:noProof/>
                <w:sz w:val="28"/>
                <w:szCs w:val="28"/>
                <w:lang w:val="uk-UA"/>
              </w:rPr>
              <w:t>МАТЕРІАЛИ, ОБ</w:t>
            </w:r>
            <w:r w:rsidR="0024434B" w:rsidRPr="0024434B">
              <w:rPr>
                <w:rStyle w:val="Hyperlink"/>
                <w:rFonts w:ascii="Times New Roman" w:hAnsi="Times New Roman" w:cs="Times New Roman"/>
                <w:noProof/>
                <w:sz w:val="28"/>
                <w:szCs w:val="28"/>
                <w:lang w:val="ru-RU"/>
              </w:rPr>
              <w:t>’</w:t>
            </w:r>
            <w:r w:rsidR="0024434B" w:rsidRPr="0024434B">
              <w:rPr>
                <w:rStyle w:val="Hyperlink"/>
                <w:rFonts w:ascii="Times New Roman" w:hAnsi="Times New Roman" w:cs="Times New Roman"/>
                <w:noProof/>
                <w:sz w:val="28"/>
                <w:szCs w:val="28"/>
                <w:lang w:val="uk-UA"/>
              </w:rPr>
              <w:t>ЄКТИ ТА МЕТОДИ ДОСЛІДЖЕННЯ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4D918115" w14:textId="71D84723"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1" w:history="1">
            <w:r w:rsidR="0024434B" w:rsidRPr="0024434B">
              <w:rPr>
                <w:rStyle w:val="Hyperlink"/>
                <w:rFonts w:ascii="Times New Roman" w:hAnsi="Times New Roman" w:cs="Times New Roman"/>
                <w:noProof/>
                <w:sz w:val="28"/>
                <w:szCs w:val="28"/>
                <w:lang w:val="uk-UA"/>
              </w:rPr>
              <w:t>2.1 Методи клінічних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66</w:t>
            </w:r>
            <w:r w:rsidR="0024434B" w:rsidRPr="0024434B">
              <w:rPr>
                <w:rFonts w:ascii="Times New Roman" w:hAnsi="Times New Roman" w:cs="Times New Roman"/>
                <w:noProof/>
                <w:webHidden/>
                <w:sz w:val="28"/>
                <w:szCs w:val="28"/>
              </w:rPr>
              <w:fldChar w:fldCharType="end"/>
            </w:r>
          </w:hyperlink>
        </w:p>
        <w:p w14:paraId="6211ED8D" w14:textId="2C84A209"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2" w:history="1">
            <w:r w:rsidR="0024434B" w:rsidRPr="0024434B">
              <w:rPr>
                <w:rStyle w:val="Hyperlink"/>
                <w:rFonts w:ascii="Times New Roman" w:hAnsi="Times New Roman" w:cs="Times New Roman"/>
                <w:noProof/>
                <w:sz w:val="28"/>
                <w:szCs w:val="28"/>
                <w:lang w:val="uk-UA"/>
              </w:rPr>
              <w:t>2.2 Методи клініко-лабораторних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69</w:t>
            </w:r>
            <w:r w:rsidR="0024434B" w:rsidRPr="0024434B">
              <w:rPr>
                <w:rFonts w:ascii="Times New Roman" w:hAnsi="Times New Roman" w:cs="Times New Roman"/>
                <w:noProof/>
                <w:webHidden/>
                <w:sz w:val="28"/>
                <w:szCs w:val="28"/>
              </w:rPr>
              <w:fldChar w:fldCharType="end"/>
            </w:r>
          </w:hyperlink>
        </w:p>
        <w:p w14:paraId="64D31BC7" w14:textId="46E22FDB"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3" w:history="1">
            <w:r w:rsidR="00215F4D">
              <w:rPr>
                <w:rStyle w:val="Hyperlink"/>
                <w:rFonts w:ascii="Times New Roman" w:hAnsi="Times New Roman" w:cs="Times New Roman"/>
                <w:noProof/>
                <w:sz w:val="28"/>
                <w:szCs w:val="28"/>
                <w:lang w:val="ru-RU"/>
              </w:rPr>
              <w:t>2.</w:t>
            </w:r>
            <w:r w:rsidR="00215F4D">
              <w:rPr>
                <w:rStyle w:val="Hyperlink"/>
                <w:rFonts w:ascii="Times New Roman" w:hAnsi="Times New Roman" w:cs="Times New Roman"/>
                <w:noProof/>
                <w:sz w:val="28"/>
                <w:szCs w:val="28"/>
              </w:rPr>
              <w:t>3</w:t>
            </w:r>
            <w:r w:rsidR="0024434B" w:rsidRPr="0024434B">
              <w:rPr>
                <w:rStyle w:val="Hyperlink"/>
                <w:rFonts w:ascii="Times New Roman" w:hAnsi="Times New Roman" w:cs="Times New Roman"/>
                <w:noProof/>
                <w:sz w:val="28"/>
                <w:szCs w:val="28"/>
                <w:lang w:val="ru-RU"/>
              </w:rPr>
              <w:t xml:space="preserve"> Методи експериментальних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73</w:t>
            </w:r>
            <w:r w:rsidR="0024434B" w:rsidRPr="0024434B">
              <w:rPr>
                <w:rFonts w:ascii="Times New Roman" w:hAnsi="Times New Roman" w:cs="Times New Roman"/>
                <w:noProof/>
                <w:webHidden/>
                <w:sz w:val="28"/>
                <w:szCs w:val="28"/>
              </w:rPr>
              <w:fldChar w:fldCharType="end"/>
            </w:r>
          </w:hyperlink>
        </w:p>
        <w:p w14:paraId="11DD8E2B" w14:textId="761D2F35"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4" w:history="1">
            <w:r w:rsidR="00215F4D">
              <w:rPr>
                <w:rStyle w:val="Hyperlink"/>
                <w:rFonts w:ascii="Times New Roman" w:hAnsi="Times New Roman" w:cs="Times New Roman"/>
                <w:noProof/>
                <w:sz w:val="28"/>
                <w:szCs w:val="28"/>
                <w:lang w:val="ru-RU"/>
              </w:rPr>
              <w:t>2.</w:t>
            </w:r>
            <w:r w:rsidR="00215F4D">
              <w:rPr>
                <w:rStyle w:val="Hyperlink"/>
                <w:rFonts w:ascii="Times New Roman" w:hAnsi="Times New Roman" w:cs="Times New Roman"/>
                <w:noProof/>
                <w:sz w:val="28"/>
                <w:szCs w:val="28"/>
              </w:rPr>
              <w:t>4</w:t>
            </w:r>
            <w:r w:rsidR="0024434B" w:rsidRPr="0024434B">
              <w:rPr>
                <w:rStyle w:val="Hyperlink"/>
                <w:rFonts w:ascii="Times New Roman" w:hAnsi="Times New Roman" w:cs="Times New Roman"/>
                <w:noProof/>
                <w:sz w:val="28"/>
                <w:szCs w:val="28"/>
                <w:lang w:val="ru-RU"/>
              </w:rPr>
              <w:t xml:space="preserve"> </w:t>
            </w:r>
            <w:r w:rsidR="0024434B" w:rsidRPr="0024434B">
              <w:rPr>
                <w:rStyle w:val="Hyperlink"/>
                <w:rFonts w:ascii="Times New Roman" w:hAnsi="Times New Roman" w:cs="Times New Roman"/>
                <w:noProof/>
                <w:sz w:val="28"/>
                <w:szCs w:val="28"/>
                <w:lang w:val="uk-UA"/>
              </w:rPr>
              <w:t>Методи цитоморфологічних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77</w:t>
            </w:r>
            <w:r w:rsidR="0024434B" w:rsidRPr="0024434B">
              <w:rPr>
                <w:rFonts w:ascii="Times New Roman" w:hAnsi="Times New Roman" w:cs="Times New Roman"/>
                <w:noProof/>
                <w:webHidden/>
                <w:sz w:val="28"/>
                <w:szCs w:val="28"/>
              </w:rPr>
              <w:fldChar w:fldCharType="end"/>
            </w:r>
          </w:hyperlink>
        </w:p>
        <w:p w14:paraId="7BA3B82C" w14:textId="673F4CB2"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5" w:history="1">
            <w:r w:rsidR="00215F4D">
              <w:rPr>
                <w:rStyle w:val="Hyperlink"/>
                <w:rFonts w:ascii="Times New Roman" w:hAnsi="Times New Roman" w:cs="Times New Roman"/>
                <w:noProof/>
                <w:sz w:val="28"/>
                <w:szCs w:val="28"/>
                <w:lang w:val="uk-UA"/>
              </w:rPr>
              <w:t>2.</w:t>
            </w:r>
            <w:r w:rsidR="00215F4D">
              <w:rPr>
                <w:rStyle w:val="Hyperlink"/>
                <w:rFonts w:ascii="Times New Roman" w:hAnsi="Times New Roman" w:cs="Times New Roman"/>
                <w:noProof/>
                <w:sz w:val="28"/>
                <w:szCs w:val="28"/>
              </w:rPr>
              <w:t>5</w:t>
            </w:r>
            <w:r w:rsidR="0024434B" w:rsidRPr="0024434B">
              <w:rPr>
                <w:rStyle w:val="Hyperlink"/>
                <w:rFonts w:ascii="Times New Roman" w:hAnsi="Times New Roman" w:cs="Times New Roman"/>
                <w:noProof/>
                <w:sz w:val="28"/>
                <w:szCs w:val="28"/>
                <w:lang w:val="uk-UA"/>
              </w:rPr>
              <w:t xml:space="preserve"> Методи додаткових предиктивних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77</w:t>
            </w:r>
            <w:r w:rsidR="0024434B" w:rsidRPr="0024434B">
              <w:rPr>
                <w:rFonts w:ascii="Times New Roman" w:hAnsi="Times New Roman" w:cs="Times New Roman"/>
                <w:noProof/>
                <w:webHidden/>
                <w:sz w:val="28"/>
                <w:szCs w:val="28"/>
              </w:rPr>
              <w:fldChar w:fldCharType="end"/>
            </w:r>
          </w:hyperlink>
        </w:p>
        <w:p w14:paraId="52DD64CC" w14:textId="5B3EE635"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6" w:history="1">
            <w:r w:rsidR="00215F4D">
              <w:rPr>
                <w:rStyle w:val="Hyperlink"/>
                <w:rFonts w:ascii="Times New Roman" w:hAnsi="Times New Roman" w:cs="Times New Roman"/>
                <w:noProof/>
                <w:sz w:val="28"/>
                <w:szCs w:val="28"/>
                <w:lang w:val="uk-UA"/>
              </w:rPr>
              <w:t>2.</w:t>
            </w:r>
            <w:r w:rsidR="00215F4D">
              <w:rPr>
                <w:rStyle w:val="Hyperlink"/>
                <w:rFonts w:ascii="Times New Roman" w:hAnsi="Times New Roman" w:cs="Times New Roman"/>
                <w:noProof/>
                <w:sz w:val="28"/>
                <w:szCs w:val="28"/>
              </w:rPr>
              <w:t>6</w:t>
            </w:r>
            <w:r w:rsidR="0024434B" w:rsidRPr="0024434B">
              <w:rPr>
                <w:rStyle w:val="Hyperlink"/>
                <w:rFonts w:ascii="Times New Roman" w:hAnsi="Times New Roman" w:cs="Times New Roman"/>
                <w:noProof/>
                <w:sz w:val="28"/>
                <w:szCs w:val="28"/>
                <w:lang w:val="uk-UA"/>
              </w:rPr>
              <w:t xml:space="preserve"> Методи епідеміологічних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79</w:t>
            </w:r>
            <w:r w:rsidR="0024434B" w:rsidRPr="0024434B">
              <w:rPr>
                <w:rFonts w:ascii="Times New Roman" w:hAnsi="Times New Roman" w:cs="Times New Roman"/>
                <w:noProof/>
                <w:webHidden/>
                <w:sz w:val="28"/>
                <w:szCs w:val="28"/>
              </w:rPr>
              <w:fldChar w:fldCharType="end"/>
            </w:r>
          </w:hyperlink>
        </w:p>
        <w:p w14:paraId="1270C6D8" w14:textId="390D1292"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7" w:history="1">
            <w:r w:rsidR="00215F4D">
              <w:rPr>
                <w:rStyle w:val="Hyperlink"/>
                <w:rFonts w:ascii="Times New Roman" w:hAnsi="Times New Roman" w:cs="Times New Roman"/>
                <w:noProof/>
                <w:sz w:val="28"/>
                <w:szCs w:val="28"/>
                <w:lang w:val="uk-UA"/>
              </w:rPr>
              <w:t>2.7</w:t>
            </w:r>
            <w:r w:rsidR="0024434B" w:rsidRPr="0024434B">
              <w:rPr>
                <w:rStyle w:val="Hyperlink"/>
                <w:rFonts w:ascii="Times New Roman" w:hAnsi="Times New Roman" w:cs="Times New Roman"/>
                <w:noProof/>
                <w:sz w:val="28"/>
                <w:szCs w:val="28"/>
                <w:lang w:val="uk-UA"/>
              </w:rPr>
              <w:t xml:space="preserve"> Методи статистичних досліджень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80</w:t>
            </w:r>
            <w:r w:rsidR="0024434B" w:rsidRPr="0024434B">
              <w:rPr>
                <w:rFonts w:ascii="Times New Roman" w:hAnsi="Times New Roman" w:cs="Times New Roman"/>
                <w:noProof/>
                <w:webHidden/>
                <w:sz w:val="28"/>
                <w:szCs w:val="28"/>
              </w:rPr>
              <w:fldChar w:fldCharType="end"/>
            </w:r>
          </w:hyperlink>
        </w:p>
        <w:p w14:paraId="0B89130E" w14:textId="7DEF7DAA" w:rsidR="0024434B" w:rsidRPr="0024434B" w:rsidRDefault="000F56B7" w:rsidP="0024434B">
          <w:pPr>
            <w:pStyle w:val="TOC2"/>
            <w:tabs>
              <w:tab w:val="right" w:leader="dot" w:pos="9627"/>
            </w:tabs>
            <w:spacing w:line="360" w:lineRule="auto"/>
            <w:rPr>
              <w:rFonts w:ascii="Times New Roman" w:eastAsiaTheme="minorEastAsia" w:hAnsi="Times New Roman" w:cs="Times New Roman"/>
              <w:noProof/>
              <w:sz w:val="28"/>
              <w:szCs w:val="28"/>
            </w:rPr>
          </w:pPr>
          <w:hyperlink w:anchor="_Toc507575308" w:history="1">
            <w:r w:rsidR="00215F4D">
              <w:rPr>
                <w:rStyle w:val="Hyperlink"/>
                <w:rFonts w:ascii="Times New Roman" w:hAnsi="Times New Roman" w:cs="Times New Roman"/>
                <w:noProof/>
                <w:sz w:val="28"/>
                <w:szCs w:val="28"/>
                <w:lang w:val="uk-UA"/>
              </w:rPr>
              <w:t>2.8</w:t>
            </w:r>
            <w:r w:rsidR="0024434B" w:rsidRPr="0024434B">
              <w:rPr>
                <w:rStyle w:val="Hyperlink"/>
                <w:rFonts w:ascii="Times New Roman" w:hAnsi="Times New Roman" w:cs="Times New Roman"/>
                <w:noProof/>
                <w:sz w:val="28"/>
                <w:szCs w:val="28"/>
                <w:lang w:val="uk-UA"/>
              </w:rPr>
              <w:t xml:space="preserve"> Характеристика клінічних груп відповідно до нозологій та призначеного лікування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81</w:t>
            </w:r>
            <w:r w:rsidR="0024434B" w:rsidRPr="0024434B">
              <w:rPr>
                <w:rFonts w:ascii="Times New Roman" w:hAnsi="Times New Roman" w:cs="Times New Roman"/>
                <w:noProof/>
                <w:webHidden/>
                <w:sz w:val="28"/>
                <w:szCs w:val="28"/>
              </w:rPr>
              <w:fldChar w:fldCharType="end"/>
            </w:r>
          </w:hyperlink>
        </w:p>
        <w:p w14:paraId="24ACB79C" w14:textId="229EBBAB" w:rsidR="0024434B" w:rsidRPr="0024434B" w:rsidRDefault="000F56B7" w:rsidP="0024434B">
          <w:pPr>
            <w:pStyle w:val="TOC1"/>
            <w:rPr>
              <w:rFonts w:ascii="Times New Roman" w:eastAsiaTheme="minorEastAsia" w:hAnsi="Times New Roman" w:cs="Times New Roman"/>
              <w:noProof/>
              <w:sz w:val="28"/>
              <w:szCs w:val="28"/>
            </w:rPr>
          </w:pPr>
          <w:hyperlink w:anchor="_Toc507575309" w:history="1">
            <w:r w:rsidR="0024434B" w:rsidRPr="0024434B">
              <w:rPr>
                <w:rStyle w:val="Hyperlink"/>
                <w:rFonts w:ascii="Times New Roman" w:hAnsi="Times New Roman" w:cs="Times New Roman"/>
                <w:noProof/>
                <w:sz w:val="28"/>
                <w:szCs w:val="28"/>
                <w:lang w:val="uk-UA"/>
              </w:rPr>
              <w:t>РОЗДІЛ 3</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_Toc507575309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87</w:t>
            </w:r>
            <w:r w:rsidR="0024434B" w:rsidRPr="0024434B">
              <w:rPr>
                <w:rFonts w:ascii="Times New Roman" w:hAnsi="Times New Roman" w:cs="Times New Roman"/>
                <w:noProof/>
                <w:webHidden/>
                <w:sz w:val="28"/>
                <w:szCs w:val="28"/>
              </w:rPr>
              <w:fldChar w:fldCharType="end"/>
            </w:r>
          </w:hyperlink>
        </w:p>
        <w:p w14:paraId="110CA601" w14:textId="0C0ED963" w:rsidR="0024434B" w:rsidRPr="0024434B" w:rsidRDefault="000F56B7" w:rsidP="0024434B">
          <w:pPr>
            <w:pStyle w:val="TOC1"/>
            <w:rPr>
              <w:rFonts w:ascii="Times New Roman" w:eastAsiaTheme="minorEastAsia" w:hAnsi="Times New Roman" w:cs="Times New Roman"/>
              <w:noProof/>
              <w:sz w:val="28"/>
              <w:szCs w:val="28"/>
            </w:rPr>
          </w:pPr>
          <w:hyperlink w:anchor="_Toc507575310" w:history="1">
            <w:r w:rsidR="0024434B" w:rsidRPr="0024434B">
              <w:rPr>
                <w:rStyle w:val="Hyperlink"/>
                <w:rFonts w:ascii="Times New Roman" w:hAnsi="Times New Roman" w:cs="Times New Roman"/>
                <w:noProof/>
                <w:sz w:val="28"/>
                <w:szCs w:val="28"/>
                <w:lang w:val="uk-UA"/>
              </w:rPr>
              <w:t>РЕЗУЛЬТАТИ ЕКСПЕРИМЕНТАЛЬНИХ ДОСЛІДЖЕНЬ ТКАНИН ПОРОЖНИНИ РОТА ПРИ МОДЕЛЮВАННІ АТОПІЇ</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87</w:t>
            </w:r>
            <w:r w:rsidR="0024434B" w:rsidRPr="0024434B">
              <w:rPr>
                <w:rFonts w:ascii="Times New Roman" w:hAnsi="Times New Roman" w:cs="Times New Roman"/>
                <w:noProof/>
                <w:webHidden/>
                <w:sz w:val="28"/>
                <w:szCs w:val="28"/>
              </w:rPr>
              <w:fldChar w:fldCharType="end"/>
            </w:r>
          </w:hyperlink>
        </w:p>
        <w:p w14:paraId="2D492F09" w14:textId="5FDEC062" w:rsidR="0024434B" w:rsidRPr="0024434B" w:rsidRDefault="000F56B7" w:rsidP="0024434B">
          <w:pPr>
            <w:pStyle w:val="TOC1"/>
            <w:rPr>
              <w:rFonts w:ascii="Times New Roman" w:eastAsiaTheme="minorEastAsia" w:hAnsi="Times New Roman" w:cs="Times New Roman"/>
              <w:noProof/>
              <w:sz w:val="28"/>
              <w:szCs w:val="28"/>
            </w:rPr>
          </w:pPr>
          <w:hyperlink w:anchor="_Toc507575311" w:history="1">
            <w:r w:rsidR="0024434B" w:rsidRPr="0024434B">
              <w:rPr>
                <w:rStyle w:val="Hyperlink"/>
                <w:rFonts w:ascii="Times New Roman" w:hAnsi="Times New Roman" w:cs="Times New Roman"/>
                <w:noProof/>
                <w:sz w:val="28"/>
                <w:szCs w:val="28"/>
                <w:lang w:val="uk-UA"/>
              </w:rPr>
              <w:t>РОЗДІЛ 4</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6B9E285C" w14:textId="0843B5BF" w:rsidR="0024434B" w:rsidRPr="0024434B" w:rsidRDefault="000F56B7" w:rsidP="0024434B">
          <w:pPr>
            <w:pStyle w:val="TOC1"/>
            <w:rPr>
              <w:rFonts w:ascii="Times New Roman" w:eastAsiaTheme="minorEastAsia" w:hAnsi="Times New Roman" w:cs="Times New Roman"/>
              <w:noProof/>
              <w:sz w:val="28"/>
              <w:szCs w:val="28"/>
            </w:rPr>
          </w:pPr>
          <w:hyperlink w:anchor="_Toc507575312" w:history="1">
            <w:r w:rsidR="0024434B" w:rsidRPr="0024434B">
              <w:rPr>
                <w:rStyle w:val="Hyperlink"/>
                <w:rFonts w:ascii="Times New Roman" w:hAnsi="Times New Roman" w:cs="Times New Roman"/>
                <w:noProof/>
                <w:sz w:val="28"/>
                <w:szCs w:val="28"/>
                <w:lang w:val="uk-UA"/>
              </w:rPr>
              <w:t>РЕЗУЛЬТАТИ КОМПЛЕКСНОГО ДОСЛІДЖЕННЯ СТОМАТОЛОГІЧНОГО СТАТУСУ ПАЦІЄНТІВ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2D7F4530" w14:textId="20F00DE8"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13" w:history="1">
            <w:r w:rsidR="0024434B" w:rsidRPr="0024434B">
              <w:rPr>
                <w:rStyle w:val="Hyperlink"/>
                <w:rFonts w:ascii="Times New Roman" w:hAnsi="Times New Roman" w:cs="Times New Roman"/>
                <w:noProof/>
                <w:sz w:val="28"/>
                <w:szCs w:val="28"/>
                <w:lang w:val="uk-UA"/>
              </w:rPr>
              <w:t>4.1 Дослідження пародонтального статусу пацієнтів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110</w:t>
            </w:r>
            <w:r w:rsidR="0024434B" w:rsidRPr="0024434B">
              <w:rPr>
                <w:rFonts w:ascii="Times New Roman" w:hAnsi="Times New Roman" w:cs="Times New Roman"/>
                <w:noProof/>
                <w:webHidden/>
                <w:sz w:val="28"/>
                <w:szCs w:val="28"/>
              </w:rPr>
              <w:fldChar w:fldCharType="end"/>
            </w:r>
          </w:hyperlink>
        </w:p>
        <w:p w14:paraId="068E0E58" w14:textId="52D7351C"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14" w:history="1">
            <w:r w:rsidR="0024434B" w:rsidRPr="0024434B">
              <w:rPr>
                <w:rStyle w:val="Hyperlink"/>
                <w:rFonts w:ascii="Times New Roman" w:hAnsi="Times New Roman" w:cs="Times New Roman"/>
                <w:noProof/>
                <w:sz w:val="28"/>
                <w:szCs w:val="28"/>
                <w:lang w:val="uk-UA"/>
              </w:rPr>
              <w:t>4.2 Дослідження стану гігієни та інтенсивності карієсу дітей, хворих на атопічні захворювання</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120</w:t>
            </w:r>
            <w:r w:rsidR="0024434B" w:rsidRPr="0024434B">
              <w:rPr>
                <w:rFonts w:ascii="Times New Roman" w:hAnsi="Times New Roman" w:cs="Times New Roman"/>
                <w:noProof/>
                <w:webHidden/>
                <w:sz w:val="28"/>
                <w:szCs w:val="28"/>
              </w:rPr>
              <w:fldChar w:fldCharType="end"/>
            </w:r>
          </w:hyperlink>
        </w:p>
        <w:p w14:paraId="12C8F986" w14:textId="7150F00D"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15" w:history="1">
            <w:r w:rsidR="0024434B" w:rsidRPr="0024434B">
              <w:rPr>
                <w:rStyle w:val="Hyperlink"/>
                <w:rFonts w:ascii="Times New Roman" w:hAnsi="Times New Roman" w:cs="Times New Roman"/>
                <w:noProof/>
                <w:sz w:val="28"/>
                <w:szCs w:val="28"/>
                <w:lang w:val="uk-UA"/>
              </w:rPr>
              <w:t>4.3 Визначення властивостей ротової рідини 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123</w:t>
            </w:r>
            <w:r w:rsidR="0024434B" w:rsidRPr="0024434B">
              <w:rPr>
                <w:rFonts w:ascii="Times New Roman" w:hAnsi="Times New Roman" w:cs="Times New Roman"/>
                <w:noProof/>
                <w:webHidden/>
                <w:sz w:val="28"/>
                <w:szCs w:val="28"/>
              </w:rPr>
              <w:fldChar w:fldCharType="end"/>
            </w:r>
          </w:hyperlink>
        </w:p>
        <w:p w14:paraId="43193BF5" w14:textId="6EFC4A39" w:rsidR="0024434B" w:rsidRPr="0024434B" w:rsidRDefault="000F56B7" w:rsidP="0024434B">
          <w:pPr>
            <w:pStyle w:val="TOC1"/>
            <w:rPr>
              <w:rFonts w:ascii="Times New Roman" w:eastAsiaTheme="minorEastAsia" w:hAnsi="Times New Roman" w:cs="Times New Roman"/>
              <w:noProof/>
              <w:sz w:val="28"/>
              <w:szCs w:val="28"/>
            </w:rPr>
          </w:pPr>
          <w:hyperlink w:anchor="_Toc507575316" w:history="1">
            <w:r w:rsidR="0024434B" w:rsidRPr="0024434B">
              <w:rPr>
                <w:rStyle w:val="Hyperlink"/>
                <w:rFonts w:ascii="Times New Roman" w:hAnsi="Times New Roman" w:cs="Times New Roman"/>
                <w:noProof/>
                <w:sz w:val="28"/>
                <w:szCs w:val="28"/>
                <w:lang w:val="uk-UA"/>
              </w:rPr>
              <w:t>РОЗДІЛ 5</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130</w:t>
            </w:r>
            <w:r w:rsidR="0024434B" w:rsidRPr="0024434B">
              <w:rPr>
                <w:rFonts w:ascii="Times New Roman" w:hAnsi="Times New Roman" w:cs="Times New Roman"/>
                <w:noProof/>
                <w:webHidden/>
                <w:sz w:val="28"/>
                <w:szCs w:val="28"/>
              </w:rPr>
              <w:fldChar w:fldCharType="end"/>
            </w:r>
          </w:hyperlink>
        </w:p>
        <w:p w14:paraId="3A1DFB46" w14:textId="41B292E8" w:rsidR="0024434B" w:rsidRPr="0024434B" w:rsidRDefault="000F56B7" w:rsidP="0024434B">
          <w:pPr>
            <w:pStyle w:val="TOC1"/>
            <w:rPr>
              <w:rFonts w:ascii="Times New Roman" w:eastAsiaTheme="minorEastAsia" w:hAnsi="Times New Roman" w:cs="Times New Roman"/>
              <w:noProof/>
              <w:sz w:val="28"/>
              <w:szCs w:val="28"/>
            </w:rPr>
          </w:pPr>
          <w:hyperlink w:anchor="_Toc507575317" w:history="1">
            <w:r w:rsidR="0024434B" w:rsidRPr="0024434B">
              <w:rPr>
                <w:rStyle w:val="Hyperlink"/>
                <w:rFonts w:ascii="Times New Roman" w:hAnsi="Times New Roman" w:cs="Times New Roman"/>
                <w:noProof/>
                <w:sz w:val="28"/>
                <w:szCs w:val="28"/>
                <w:lang w:val="uk-UA"/>
              </w:rPr>
              <w:t>ОСОБЛИВОСТІ ІМУНОМЕТАБОЛІЧНОГО СТАТУСУ ПАЦІЄНТІВ НА ТЛІ АТОПІЧНИХ ЗАХВОРЮВАНЬ ТА ЙОГО ЗМІНИ У ВІДПОВІДЬ НА ДІЮ КОНЦЕПТУАЛЬНО НОВОЇ ПРОГРАМИ ЛІКУВАННЯ ТА ПРОФІЛАКТИКИ ГІНГІВІТУ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130</w:t>
            </w:r>
            <w:r w:rsidR="0024434B" w:rsidRPr="0024434B">
              <w:rPr>
                <w:rFonts w:ascii="Times New Roman" w:hAnsi="Times New Roman" w:cs="Times New Roman"/>
                <w:noProof/>
                <w:webHidden/>
                <w:sz w:val="28"/>
                <w:szCs w:val="28"/>
              </w:rPr>
              <w:fldChar w:fldCharType="end"/>
            </w:r>
          </w:hyperlink>
        </w:p>
        <w:p w14:paraId="2B3D7B08" w14:textId="6446B0A6" w:rsidR="0024434B" w:rsidRPr="0024434B" w:rsidRDefault="000F56B7" w:rsidP="0024434B">
          <w:pPr>
            <w:pStyle w:val="TOC1"/>
            <w:rPr>
              <w:rFonts w:ascii="Times New Roman" w:eastAsiaTheme="minorEastAsia" w:hAnsi="Times New Roman" w:cs="Times New Roman"/>
              <w:noProof/>
              <w:sz w:val="28"/>
              <w:szCs w:val="28"/>
            </w:rPr>
          </w:pPr>
          <w:hyperlink w:anchor="_Toc507575318" w:history="1">
            <w:r w:rsidR="0024434B" w:rsidRPr="0024434B">
              <w:rPr>
                <w:rStyle w:val="Hyperlink"/>
                <w:rFonts w:ascii="Times New Roman" w:hAnsi="Times New Roman" w:cs="Times New Roman"/>
                <w:noProof/>
                <w:sz w:val="28"/>
                <w:szCs w:val="28"/>
                <w:lang w:val="uk-UA"/>
              </w:rPr>
              <w:t>РОЗДІЛ 6</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70A5AA22" w14:textId="50E3B04C" w:rsidR="0024434B" w:rsidRPr="0024434B" w:rsidRDefault="000F56B7" w:rsidP="0024434B">
          <w:pPr>
            <w:pStyle w:val="TOC1"/>
            <w:rPr>
              <w:rFonts w:ascii="Times New Roman" w:eastAsiaTheme="minorEastAsia" w:hAnsi="Times New Roman" w:cs="Times New Roman"/>
              <w:noProof/>
              <w:sz w:val="28"/>
              <w:szCs w:val="28"/>
            </w:rPr>
          </w:pPr>
          <w:hyperlink w:anchor="_Toc507575319" w:history="1">
            <w:r w:rsidR="0024434B" w:rsidRPr="0024434B">
              <w:rPr>
                <w:rStyle w:val="Hyperlink"/>
                <w:rFonts w:ascii="Times New Roman" w:hAnsi="Times New Roman" w:cs="Times New Roman"/>
                <w:noProof/>
                <w:sz w:val="28"/>
                <w:szCs w:val="28"/>
                <w:lang w:val="uk-UA"/>
              </w:rPr>
              <w:t>РЕЗУЛЬТАТИ АНАЛІЗУ ЗАСТОСУВАННЯ ПРЕДИКТИВНИХ МЕТОДІВ У ДІАГНОСТИЦІ ГІНГІВІТУ СЕРЕД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_Toc507575319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1E7CDE74" w14:textId="7844DFB9"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20" w:history="1">
            <w:r w:rsidR="0024434B" w:rsidRPr="0024434B">
              <w:rPr>
                <w:rStyle w:val="Hyperlink"/>
                <w:rFonts w:ascii="Times New Roman" w:hAnsi="Times New Roman" w:cs="Times New Roman"/>
                <w:noProof/>
                <w:sz w:val="28"/>
                <w:szCs w:val="28"/>
                <w:lang w:val="uk-UA"/>
              </w:rPr>
              <w:t>6.1 Результати цитоморфологічного дослідження клітин букального епітелію</w:t>
            </w:r>
            <w:r w:rsidR="0024434B" w:rsidRPr="0024434B">
              <w:rPr>
                <w:rStyle w:val="Hyperlink"/>
                <w:rFonts w:ascii="Times New Roman" w:hAnsi="Times New Roman" w:cs="Times New Roman"/>
                <w:noProof/>
                <w:sz w:val="28"/>
                <w:szCs w:val="28"/>
                <w:lang w:val="ru-RU"/>
              </w:rPr>
              <w:t xml:space="preserve"> </w:t>
            </w:r>
            <w:r w:rsidR="0024434B" w:rsidRPr="0024434B">
              <w:rPr>
                <w:rStyle w:val="Hyperlink"/>
                <w:rFonts w:ascii="Times New Roman" w:hAnsi="Times New Roman" w:cs="Times New Roman"/>
                <w:noProof/>
                <w:sz w:val="28"/>
                <w:szCs w:val="28"/>
                <w:lang w:val="uk-UA"/>
              </w:rPr>
              <w:t>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163</w:t>
            </w:r>
            <w:r w:rsidR="0024434B" w:rsidRPr="0024434B">
              <w:rPr>
                <w:rFonts w:ascii="Times New Roman" w:hAnsi="Times New Roman" w:cs="Times New Roman"/>
                <w:noProof/>
                <w:webHidden/>
                <w:sz w:val="28"/>
                <w:szCs w:val="28"/>
              </w:rPr>
              <w:fldChar w:fldCharType="end"/>
            </w:r>
          </w:hyperlink>
        </w:p>
        <w:p w14:paraId="376EC49C" w14:textId="28A44177"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21" w:history="1">
            <w:r w:rsidR="0024434B" w:rsidRPr="0024434B">
              <w:rPr>
                <w:rStyle w:val="Hyperlink"/>
                <w:rFonts w:ascii="Times New Roman" w:hAnsi="Times New Roman" w:cs="Times New Roman"/>
                <w:noProof/>
                <w:sz w:val="28"/>
                <w:szCs w:val="28"/>
                <w:lang w:val="uk-UA"/>
              </w:rPr>
              <w:t>6.2 Результати досліджень предикторів</w:t>
            </w:r>
            <w:r w:rsidR="0024434B" w:rsidRPr="0024434B">
              <w:rPr>
                <w:rStyle w:val="Hyperlink"/>
                <w:rFonts w:ascii="Times New Roman" w:hAnsi="Times New Roman" w:cs="Times New Roman"/>
                <w:noProof/>
                <w:sz w:val="28"/>
                <w:szCs w:val="28"/>
                <w:lang w:val="ru-RU"/>
              </w:rPr>
              <w:t xml:space="preserve"> </w:t>
            </w:r>
            <w:r w:rsidR="0024434B" w:rsidRPr="0024434B">
              <w:rPr>
                <w:rStyle w:val="Hyperlink"/>
                <w:rFonts w:ascii="Times New Roman" w:hAnsi="Times New Roman" w:cs="Times New Roman"/>
                <w:noProof/>
                <w:sz w:val="28"/>
                <w:szCs w:val="28"/>
                <w:lang w:val="uk-UA"/>
              </w:rPr>
              <w:t>схильності до розвитку стоматологічної патології у дітей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167</w:t>
            </w:r>
            <w:r w:rsidR="0024434B" w:rsidRPr="0024434B">
              <w:rPr>
                <w:rFonts w:ascii="Times New Roman" w:hAnsi="Times New Roman" w:cs="Times New Roman"/>
                <w:noProof/>
                <w:webHidden/>
                <w:sz w:val="28"/>
                <w:szCs w:val="28"/>
              </w:rPr>
              <w:fldChar w:fldCharType="end"/>
            </w:r>
          </w:hyperlink>
        </w:p>
        <w:p w14:paraId="2F795E8D" w14:textId="2F5F7D7F" w:rsidR="0024434B" w:rsidRPr="0024434B" w:rsidRDefault="000F56B7" w:rsidP="0024434B">
          <w:pPr>
            <w:pStyle w:val="TOC1"/>
            <w:rPr>
              <w:rFonts w:ascii="Times New Roman" w:eastAsiaTheme="minorEastAsia" w:hAnsi="Times New Roman" w:cs="Times New Roman"/>
              <w:noProof/>
              <w:sz w:val="28"/>
              <w:szCs w:val="28"/>
            </w:rPr>
          </w:pPr>
          <w:hyperlink w:anchor="_Toc507575322" w:history="1">
            <w:r w:rsidR="0024434B" w:rsidRPr="0024434B">
              <w:rPr>
                <w:rStyle w:val="Hyperlink"/>
                <w:rFonts w:ascii="Times New Roman" w:hAnsi="Times New Roman" w:cs="Times New Roman"/>
                <w:noProof/>
                <w:sz w:val="28"/>
                <w:szCs w:val="28"/>
                <w:lang w:val="uk-UA"/>
              </w:rPr>
              <w:t>РОЗДІЛ 7</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5E2D24CE" w14:textId="23E55C36" w:rsidR="0024434B" w:rsidRPr="0024434B" w:rsidRDefault="000F56B7" w:rsidP="0024434B">
          <w:pPr>
            <w:pStyle w:val="TOC1"/>
            <w:rPr>
              <w:rFonts w:ascii="Times New Roman" w:eastAsiaTheme="minorEastAsia" w:hAnsi="Times New Roman" w:cs="Times New Roman"/>
              <w:noProof/>
              <w:sz w:val="28"/>
              <w:szCs w:val="28"/>
            </w:rPr>
          </w:pPr>
          <w:hyperlink w:anchor="_Toc507575323" w:history="1">
            <w:r w:rsidR="0024434B" w:rsidRPr="0024434B">
              <w:rPr>
                <w:rStyle w:val="Hyperlink"/>
                <w:rFonts w:ascii="Times New Roman" w:hAnsi="Times New Roman" w:cs="Times New Roman"/>
                <w:noProof/>
                <w:sz w:val="28"/>
                <w:szCs w:val="28"/>
                <w:lang w:val="uk-UA"/>
              </w:rPr>
              <w:t>РЕЗУЛЬТАТИ МУЛЬТИФАКТОРНОГО ДОСЛІДЖЕННЯ ПАЦІЄНТІВ ГРУПИ РИЗИКУ РОЗВИТКУ ПАТОЛОГІЇ ТКАНИН ПАРОДОНТУ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04E9EE06" w14:textId="33D1F693"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24" w:history="1">
            <w:r w:rsidR="0024434B" w:rsidRPr="0024434B">
              <w:rPr>
                <w:rStyle w:val="Hyperlink"/>
                <w:rFonts w:ascii="Times New Roman" w:hAnsi="Times New Roman" w:cs="Times New Roman"/>
                <w:noProof/>
                <w:sz w:val="28"/>
                <w:szCs w:val="28"/>
                <w:lang w:val="uk-UA"/>
              </w:rPr>
              <w:t>7.1 Результати дослідження стоматологічного статусу дітей групи ризику розвитку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190</w:t>
            </w:r>
            <w:r w:rsidR="0024434B" w:rsidRPr="0024434B">
              <w:rPr>
                <w:rFonts w:ascii="Times New Roman" w:hAnsi="Times New Roman" w:cs="Times New Roman"/>
                <w:noProof/>
                <w:webHidden/>
                <w:sz w:val="28"/>
                <w:szCs w:val="28"/>
              </w:rPr>
              <w:fldChar w:fldCharType="end"/>
            </w:r>
          </w:hyperlink>
        </w:p>
        <w:p w14:paraId="1D5D00F9" w14:textId="61357878"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25" w:history="1">
            <w:r w:rsidR="0024434B" w:rsidRPr="0024434B">
              <w:rPr>
                <w:rStyle w:val="Hyperlink"/>
                <w:rFonts w:ascii="Times New Roman" w:hAnsi="Times New Roman" w:cs="Times New Roman"/>
                <w:noProof/>
                <w:sz w:val="28"/>
                <w:szCs w:val="28"/>
                <w:lang w:val="uk-UA"/>
              </w:rPr>
              <w:t>7.2 Результати епідеміологічних досліджен</w:t>
            </w:r>
            <w:r w:rsidR="00C20794">
              <w:rPr>
                <w:rStyle w:val="Hyperlink"/>
                <w:rFonts w:ascii="Times New Roman" w:hAnsi="Times New Roman" w:cs="Times New Roman"/>
                <w:noProof/>
                <w:sz w:val="28"/>
                <w:szCs w:val="28"/>
                <w:lang w:val="uk-UA"/>
              </w:rPr>
              <w:t>ь як предиктивного інструменту в</w:t>
            </w:r>
            <w:r w:rsidR="0024434B" w:rsidRPr="0024434B">
              <w:rPr>
                <w:rStyle w:val="Hyperlink"/>
                <w:rFonts w:ascii="Times New Roman" w:hAnsi="Times New Roman" w:cs="Times New Roman"/>
                <w:noProof/>
                <w:sz w:val="28"/>
                <w:szCs w:val="28"/>
                <w:lang w:val="uk-UA"/>
              </w:rPr>
              <w:t xml:space="preserve"> профілактиці гінгівіту</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195</w:t>
            </w:r>
            <w:r w:rsidR="0024434B" w:rsidRPr="0024434B">
              <w:rPr>
                <w:rFonts w:ascii="Times New Roman" w:hAnsi="Times New Roman" w:cs="Times New Roman"/>
                <w:noProof/>
                <w:webHidden/>
                <w:sz w:val="28"/>
                <w:szCs w:val="28"/>
              </w:rPr>
              <w:fldChar w:fldCharType="end"/>
            </w:r>
          </w:hyperlink>
        </w:p>
        <w:p w14:paraId="13FB0B0E" w14:textId="5FD2325A" w:rsidR="0024434B" w:rsidRPr="0024434B" w:rsidRDefault="000F56B7" w:rsidP="0024434B">
          <w:pPr>
            <w:pStyle w:val="TOC3"/>
            <w:tabs>
              <w:tab w:val="right" w:leader="dot" w:pos="9627"/>
            </w:tabs>
            <w:spacing w:line="360" w:lineRule="auto"/>
            <w:rPr>
              <w:rFonts w:ascii="Times New Roman" w:eastAsiaTheme="minorEastAsia" w:hAnsi="Times New Roman" w:cs="Times New Roman"/>
              <w:noProof/>
              <w:sz w:val="28"/>
              <w:szCs w:val="28"/>
            </w:rPr>
          </w:pPr>
          <w:hyperlink w:anchor="_Toc507575326" w:history="1">
            <w:r w:rsidR="0024434B" w:rsidRPr="0024434B">
              <w:rPr>
                <w:rStyle w:val="Hyperlink"/>
                <w:rFonts w:ascii="Times New Roman" w:hAnsi="Times New Roman" w:cs="Times New Roman"/>
                <w:noProof/>
                <w:sz w:val="28"/>
                <w:szCs w:val="28"/>
                <w:lang w:val="ru-RU"/>
              </w:rPr>
              <w:t xml:space="preserve">7.3 </w:t>
            </w:r>
            <w:r w:rsidR="0024434B" w:rsidRPr="0024434B">
              <w:rPr>
                <w:rStyle w:val="Hyperlink"/>
                <w:rFonts w:ascii="Times New Roman" w:hAnsi="Times New Roman" w:cs="Times New Roman"/>
                <w:noProof/>
                <w:sz w:val="28"/>
                <w:szCs w:val="28"/>
                <w:lang w:val="uk-UA"/>
              </w:rPr>
              <w:t xml:space="preserve">Можливості </w:t>
            </w:r>
            <w:r w:rsidR="0024434B" w:rsidRPr="0024434B">
              <w:rPr>
                <w:rStyle w:val="Hyperlink"/>
                <w:rFonts w:ascii="Times New Roman" w:hAnsi="Times New Roman" w:cs="Times New Roman"/>
                <w:noProof/>
                <w:sz w:val="28"/>
                <w:szCs w:val="28"/>
                <w:lang w:val="ru-RU"/>
              </w:rPr>
              <w:t>використання параклінічних методів для ранньої діагностики та прогнозу у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_Toc507575326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197</w:t>
            </w:r>
            <w:r w:rsidR="0024434B" w:rsidRPr="0024434B">
              <w:rPr>
                <w:rFonts w:ascii="Times New Roman" w:hAnsi="Times New Roman" w:cs="Times New Roman"/>
                <w:noProof/>
                <w:webHidden/>
                <w:sz w:val="28"/>
                <w:szCs w:val="28"/>
              </w:rPr>
              <w:fldChar w:fldCharType="end"/>
            </w:r>
          </w:hyperlink>
        </w:p>
        <w:p w14:paraId="20E3CD36" w14:textId="1A5AA08A" w:rsidR="0024434B" w:rsidRPr="0024434B" w:rsidRDefault="000F56B7" w:rsidP="0024434B">
          <w:pPr>
            <w:pStyle w:val="TOC1"/>
            <w:rPr>
              <w:rFonts w:ascii="Times New Roman" w:eastAsiaTheme="minorEastAsia" w:hAnsi="Times New Roman" w:cs="Times New Roman"/>
              <w:noProof/>
              <w:sz w:val="28"/>
              <w:szCs w:val="28"/>
            </w:rPr>
          </w:pPr>
          <w:hyperlink w:anchor="_Toc507575327" w:history="1">
            <w:r w:rsidR="0024434B" w:rsidRPr="0024434B">
              <w:rPr>
                <w:rStyle w:val="Hyperlink"/>
                <w:rFonts w:ascii="Times New Roman" w:hAnsi="Times New Roman" w:cs="Times New Roman"/>
                <w:noProof/>
                <w:sz w:val="28"/>
                <w:szCs w:val="28"/>
                <w:lang w:val="uk-UA"/>
              </w:rPr>
              <w:t>РОЗДІЛ 8</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_Toc507575327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201</w:t>
            </w:r>
            <w:r w:rsidR="0024434B" w:rsidRPr="0024434B">
              <w:rPr>
                <w:rFonts w:ascii="Times New Roman" w:hAnsi="Times New Roman" w:cs="Times New Roman"/>
                <w:noProof/>
                <w:webHidden/>
                <w:sz w:val="28"/>
                <w:szCs w:val="28"/>
              </w:rPr>
              <w:fldChar w:fldCharType="end"/>
            </w:r>
          </w:hyperlink>
        </w:p>
        <w:p w14:paraId="5E446223" w14:textId="68199F7E" w:rsidR="0024434B" w:rsidRPr="0024434B" w:rsidRDefault="000F56B7" w:rsidP="0024434B">
          <w:pPr>
            <w:pStyle w:val="TOC1"/>
            <w:rPr>
              <w:rFonts w:ascii="Times New Roman" w:eastAsiaTheme="minorEastAsia" w:hAnsi="Times New Roman" w:cs="Times New Roman"/>
              <w:noProof/>
              <w:sz w:val="28"/>
              <w:szCs w:val="28"/>
            </w:rPr>
          </w:pPr>
          <w:hyperlink w:anchor="_Toc507575328" w:history="1">
            <w:r w:rsidR="0024434B" w:rsidRPr="0024434B">
              <w:rPr>
                <w:rStyle w:val="Hyperlink"/>
                <w:rFonts w:ascii="Times New Roman" w:hAnsi="Times New Roman" w:cs="Times New Roman"/>
                <w:noProof/>
                <w:sz w:val="28"/>
                <w:szCs w:val="28"/>
                <w:lang w:val="uk-UA"/>
              </w:rPr>
              <w:t>РЕЗУЛЬТАТИ РЕГРЕСІЙНОГО АНАЛІЗУ ЗАЛЕЖНОСТІ СТОМАТОЛОГІЧНОГО ТА ІМУНОМЕТАБОЛІЧНОГО СТАТУСУ ПАЦІЄНТІВ НА ТЛІ АТОПІЧНИХ ЗАХВОРЮВАНЬ</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_Toc507575328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201</w:t>
            </w:r>
            <w:r w:rsidR="0024434B" w:rsidRPr="0024434B">
              <w:rPr>
                <w:rFonts w:ascii="Times New Roman" w:hAnsi="Times New Roman" w:cs="Times New Roman"/>
                <w:noProof/>
                <w:webHidden/>
                <w:sz w:val="28"/>
                <w:szCs w:val="28"/>
              </w:rPr>
              <w:fldChar w:fldCharType="end"/>
            </w:r>
          </w:hyperlink>
        </w:p>
        <w:p w14:paraId="0075CA89" w14:textId="74528EAB" w:rsidR="0024434B" w:rsidRPr="0024434B" w:rsidRDefault="000F56B7" w:rsidP="0024434B">
          <w:pPr>
            <w:pStyle w:val="TOC1"/>
            <w:rPr>
              <w:rFonts w:ascii="Times New Roman" w:eastAsiaTheme="minorEastAsia" w:hAnsi="Times New Roman" w:cs="Times New Roman"/>
              <w:noProof/>
              <w:sz w:val="28"/>
              <w:szCs w:val="28"/>
            </w:rPr>
          </w:pPr>
          <w:hyperlink w:anchor="_Toc507575329" w:history="1">
            <w:r w:rsidR="0024434B" w:rsidRPr="0024434B">
              <w:rPr>
                <w:rStyle w:val="Hyperlink"/>
                <w:rFonts w:ascii="Times New Roman" w:hAnsi="Times New Roman" w:cs="Times New Roman"/>
                <w:noProof/>
                <w:sz w:val="28"/>
                <w:szCs w:val="28"/>
                <w:lang w:val="uk-UA"/>
              </w:rPr>
              <w:t>РОЗДІЛ 9</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_Toc507575329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235</w:t>
            </w:r>
            <w:r w:rsidR="0024434B" w:rsidRPr="0024434B">
              <w:rPr>
                <w:rFonts w:ascii="Times New Roman" w:hAnsi="Times New Roman" w:cs="Times New Roman"/>
                <w:noProof/>
                <w:webHidden/>
                <w:sz w:val="28"/>
                <w:szCs w:val="28"/>
              </w:rPr>
              <w:fldChar w:fldCharType="end"/>
            </w:r>
          </w:hyperlink>
        </w:p>
        <w:p w14:paraId="41E799E0" w14:textId="6BA035E2" w:rsidR="0024434B" w:rsidRPr="0024434B" w:rsidRDefault="000F56B7" w:rsidP="0024434B">
          <w:pPr>
            <w:pStyle w:val="TOC1"/>
            <w:rPr>
              <w:rFonts w:ascii="Times New Roman" w:eastAsiaTheme="minorEastAsia" w:hAnsi="Times New Roman" w:cs="Times New Roman"/>
              <w:noProof/>
              <w:sz w:val="28"/>
              <w:szCs w:val="28"/>
            </w:rPr>
          </w:pPr>
          <w:hyperlink w:anchor="_Toc507575330" w:history="1">
            <w:r w:rsidR="0024434B" w:rsidRPr="0024434B">
              <w:rPr>
                <w:rStyle w:val="Hyperlink"/>
                <w:rFonts w:ascii="Times New Roman" w:hAnsi="Times New Roman" w:cs="Times New Roman"/>
                <w:noProof/>
                <w:sz w:val="28"/>
                <w:szCs w:val="28"/>
                <w:lang w:val="uk-UA"/>
              </w:rPr>
              <w:t>ОБҐРУНТУВАННЯ КОМПЛЕКСНОЇ КОНЦЕПТУАЛЬНО НОВОЇ ПРОГРАМИ ПРОФІЛАКТИКИ ТА ЛІКУВАННЯ ХРОНІЧНОГО ГІНГІВІТУ У ДІТЕЙ З АТОПІЧНИМИ ЗАХВОРЮВАННЯМИ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_Toc507575330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235</w:t>
            </w:r>
            <w:r w:rsidR="0024434B" w:rsidRPr="0024434B">
              <w:rPr>
                <w:rFonts w:ascii="Times New Roman" w:hAnsi="Times New Roman" w:cs="Times New Roman"/>
                <w:noProof/>
                <w:webHidden/>
                <w:sz w:val="28"/>
                <w:szCs w:val="28"/>
              </w:rPr>
              <w:fldChar w:fldCharType="end"/>
            </w:r>
          </w:hyperlink>
        </w:p>
        <w:p w14:paraId="6D06F161" w14:textId="3FB94AA4" w:rsidR="0024434B" w:rsidRPr="0024434B" w:rsidRDefault="000F56B7" w:rsidP="0024434B">
          <w:pPr>
            <w:pStyle w:val="TOC1"/>
            <w:rPr>
              <w:rFonts w:ascii="Times New Roman" w:eastAsiaTheme="minorEastAsia" w:hAnsi="Times New Roman" w:cs="Times New Roman"/>
              <w:noProof/>
              <w:sz w:val="28"/>
              <w:szCs w:val="28"/>
            </w:rPr>
          </w:pPr>
          <w:hyperlink w:anchor="_Toc507575331" w:history="1">
            <w:r w:rsidR="0024434B" w:rsidRPr="0024434B">
              <w:rPr>
                <w:rStyle w:val="Hyperlink"/>
                <w:rFonts w:ascii="Times New Roman" w:hAnsi="Times New Roman" w:cs="Times New Roman"/>
                <w:noProof/>
                <w:sz w:val="28"/>
                <w:szCs w:val="28"/>
                <w:lang w:val="uk-UA"/>
              </w:rPr>
              <w:t>АНАЛІЗ ТА УЗАГАЛЬНЕННЯ ОТРИМАНИХ РЕЗУЛЬТАТІВ</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_Toc507575331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241</w:t>
            </w:r>
            <w:r w:rsidR="0024434B" w:rsidRPr="0024434B">
              <w:rPr>
                <w:rFonts w:ascii="Times New Roman" w:hAnsi="Times New Roman" w:cs="Times New Roman"/>
                <w:noProof/>
                <w:webHidden/>
                <w:sz w:val="28"/>
                <w:szCs w:val="28"/>
              </w:rPr>
              <w:fldChar w:fldCharType="end"/>
            </w:r>
          </w:hyperlink>
        </w:p>
        <w:p w14:paraId="3E66F4B9" w14:textId="11707CFE" w:rsidR="0024434B" w:rsidRPr="0024434B" w:rsidRDefault="000F56B7" w:rsidP="0024434B">
          <w:pPr>
            <w:pStyle w:val="TOC1"/>
            <w:rPr>
              <w:rFonts w:ascii="Times New Roman" w:eastAsiaTheme="minorEastAsia" w:hAnsi="Times New Roman" w:cs="Times New Roman"/>
              <w:noProof/>
              <w:sz w:val="28"/>
              <w:szCs w:val="28"/>
            </w:rPr>
          </w:pPr>
          <w:hyperlink w:anchor="_Toc507575332" w:history="1">
            <w:r w:rsidR="0024434B" w:rsidRPr="0024434B">
              <w:rPr>
                <w:rStyle w:val="Hyperlink"/>
                <w:rFonts w:ascii="Times New Roman" w:hAnsi="Times New Roman" w:cs="Times New Roman"/>
                <w:noProof/>
                <w:sz w:val="28"/>
                <w:szCs w:val="28"/>
                <w:lang w:val="uk-UA"/>
              </w:rPr>
              <w:t>ВИСНОВКИ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_Toc507575332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279</w:t>
            </w:r>
            <w:r w:rsidR="0024434B" w:rsidRPr="0024434B">
              <w:rPr>
                <w:rFonts w:ascii="Times New Roman" w:hAnsi="Times New Roman" w:cs="Times New Roman"/>
                <w:noProof/>
                <w:webHidden/>
                <w:sz w:val="28"/>
                <w:szCs w:val="28"/>
              </w:rPr>
              <w:fldChar w:fldCharType="end"/>
            </w:r>
          </w:hyperlink>
        </w:p>
        <w:p w14:paraId="0EC738FF" w14:textId="47C87AA5" w:rsidR="0024434B" w:rsidRPr="0024434B" w:rsidRDefault="000F56B7" w:rsidP="0024434B">
          <w:pPr>
            <w:pStyle w:val="TOC1"/>
            <w:rPr>
              <w:rFonts w:ascii="Times New Roman" w:eastAsiaTheme="minorEastAsia" w:hAnsi="Times New Roman" w:cs="Times New Roman"/>
              <w:noProof/>
              <w:sz w:val="28"/>
              <w:szCs w:val="28"/>
            </w:rPr>
          </w:pPr>
          <w:hyperlink w:anchor="_Toc507575333" w:history="1">
            <w:r w:rsidR="0024434B" w:rsidRPr="0024434B">
              <w:rPr>
                <w:rStyle w:val="Hyperlink"/>
                <w:rFonts w:ascii="Times New Roman" w:hAnsi="Times New Roman" w:cs="Times New Roman"/>
                <w:noProof/>
                <w:sz w:val="28"/>
                <w:szCs w:val="28"/>
                <w:lang w:val="uk-UA"/>
              </w:rPr>
              <w:t>ПРАКТИЧНІ РЕКОМЕНДАЦІЇ</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_Toc507575333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283</w:t>
            </w:r>
            <w:r w:rsidR="0024434B" w:rsidRPr="0024434B">
              <w:rPr>
                <w:rFonts w:ascii="Times New Roman" w:hAnsi="Times New Roman" w:cs="Times New Roman"/>
                <w:noProof/>
                <w:webHidden/>
                <w:sz w:val="28"/>
                <w:szCs w:val="28"/>
              </w:rPr>
              <w:fldChar w:fldCharType="end"/>
            </w:r>
          </w:hyperlink>
        </w:p>
        <w:p w14:paraId="0BE255AC" w14:textId="6F708316" w:rsidR="0024434B" w:rsidRPr="0024434B" w:rsidRDefault="000F56B7" w:rsidP="0024434B">
          <w:pPr>
            <w:pStyle w:val="TOC1"/>
            <w:rPr>
              <w:rFonts w:ascii="Times New Roman" w:eastAsiaTheme="minorEastAsia" w:hAnsi="Times New Roman" w:cs="Times New Roman"/>
              <w:noProof/>
              <w:sz w:val="28"/>
              <w:szCs w:val="28"/>
            </w:rPr>
          </w:pPr>
          <w:hyperlink w:anchor="_Toc507575334" w:history="1">
            <w:r w:rsidR="0024434B" w:rsidRPr="0024434B">
              <w:rPr>
                <w:rStyle w:val="Hyperlink"/>
                <w:rFonts w:ascii="Times New Roman" w:hAnsi="Times New Roman" w:cs="Times New Roman"/>
                <w:noProof/>
                <w:sz w:val="28"/>
                <w:szCs w:val="28"/>
              </w:rPr>
              <w:t>СПИСОК ВИКОРИСТАНИХ ДЖЕРЕЛ</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_Toc507575334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284</w:t>
            </w:r>
            <w:r w:rsidR="0024434B" w:rsidRPr="0024434B">
              <w:rPr>
                <w:rFonts w:ascii="Times New Roman" w:hAnsi="Times New Roman" w:cs="Times New Roman"/>
                <w:noProof/>
                <w:webHidden/>
                <w:sz w:val="28"/>
                <w:szCs w:val="28"/>
              </w:rPr>
              <w:fldChar w:fldCharType="end"/>
            </w:r>
          </w:hyperlink>
        </w:p>
        <w:p w14:paraId="04FD6275" w14:textId="2519EC29" w:rsidR="0024434B" w:rsidRPr="0024434B" w:rsidRDefault="000F56B7" w:rsidP="0024434B">
          <w:pPr>
            <w:pStyle w:val="TOC1"/>
            <w:rPr>
              <w:rFonts w:ascii="Times New Roman" w:eastAsiaTheme="minorEastAsia" w:hAnsi="Times New Roman" w:cs="Times New Roman"/>
              <w:noProof/>
              <w:sz w:val="28"/>
              <w:szCs w:val="28"/>
            </w:rPr>
          </w:pPr>
          <w:hyperlink w:anchor="_Toc507575335" w:history="1">
            <w:r w:rsidR="0024434B" w:rsidRPr="0024434B">
              <w:rPr>
                <w:rStyle w:val="Hyperlink"/>
                <w:rFonts w:ascii="Times New Roman" w:hAnsi="Times New Roman" w:cs="Times New Roman"/>
                <w:noProof/>
                <w:sz w:val="28"/>
                <w:szCs w:val="28"/>
                <w:lang w:val="uk-UA"/>
              </w:rPr>
              <w:t>ДОДАТКИ</w:t>
            </w:r>
            <w:r w:rsidR="0024434B" w:rsidRPr="0024434B">
              <w:rPr>
                <w:rFonts w:ascii="Times New Roman" w:hAnsi="Times New Roman" w:cs="Times New Roman"/>
                <w:noProof/>
                <w:webHidden/>
                <w:sz w:val="28"/>
                <w:szCs w:val="28"/>
              </w:rPr>
              <w:tab/>
            </w:r>
            <w:r w:rsidR="0024434B" w:rsidRPr="0024434B">
              <w:rPr>
                <w:rFonts w:ascii="Times New Roman" w:hAnsi="Times New Roman" w:cs="Times New Roman"/>
                <w:noProof/>
                <w:webHidden/>
                <w:sz w:val="28"/>
                <w:szCs w:val="28"/>
              </w:rPr>
              <w:fldChar w:fldCharType="begin"/>
            </w:r>
            <w:r w:rsidR="0024434B" w:rsidRPr="0024434B">
              <w:rPr>
                <w:rFonts w:ascii="Times New Roman" w:hAnsi="Times New Roman" w:cs="Times New Roman"/>
                <w:noProof/>
                <w:webHidden/>
                <w:sz w:val="28"/>
                <w:szCs w:val="28"/>
              </w:rPr>
              <w:instrText xml:space="preserve"> PAGEREF _Toc507575335 \h </w:instrText>
            </w:r>
            <w:r w:rsidR="0024434B" w:rsidRPr="0024434B">
              <w:rPr>
                <w:rFonts w:ascii="Times New Roman" w:hAnsi="Times New Roman" w:cs="Times New Roman"/>
                <w:noProof/>
                <w:webHidden/>
                <w:sz w:val="28"/>
                <w:szCs w:val="28"/>
              </w:rPr>
            </w:r>
            <w:r w:rsidR="0024434B" w:rsidRPr="0024434B">
              <w:rPr>
                <w:rFonts w:ascii="Times New Roman" w:hAnsi="Times New Roman" w:cs="Times New Roman"/>
                <w:noProof/>
                <w:webHidden/>
                <w:sz w:val="28"/>
                <w:szCs w:val="28"/>
              </w:rPr>
              <w:fldChar w:fldCharType="separate"/>
            </w:r>
            <w:r w:rsidR="00852E54">
              <w:rPr>
                <w:rFonts w:ascii="Times New Roman" w:hAnsi="Times New Roman" w:cs="Times New Roman"/>
                <w:noProof/>
                <w:webHidden/>
                <w:sz w:val="28"/>
                <w:szCs w:val="28"/>
              </w:rPr>
              <w:t>329</w:t>
            </w:r>
            <w:r w:rsidR="0024434B" w:rsidRPr="0024434B">
              <w:rPr>
                <w:rFonts w:ascii="Times New Roman" w:hAnsi="Times New Roman" w:cs="Times New Roman"/>
                <w:noProof/>
                <w:webHidden/>
                <w:sz w:val="28"/>
                <w:szCs w:val="28"/>
              </w:rPr>
              <w:fldChar w:fldCharType="end"/>
            </w:r>
          </w:hyperlink>
        </w:p>
        <w:p w14:paraId="5F315575" w14:textId="15CCD765" w:rsidR="00A330AC" w:rsidRPr="0024434B" w:rsidRDefault="00A330AC" w:rsidP="0024434B">
          <w:pPr>
            <w:spacing w:line="360" w:lineRule="auto"/>
            <w:rPr>
              <w:rFonts w:ascii="Times New Roman" w:hAnsi="Times New Roman" w:cs="Times New Roman"/>
              <w:sz w:val="28"/>
              <w:szCs w:val="28"/>
            </w:rPr>
          </w:pPr>
          <w:r w:rsidRPr="0024434B">
            <w:rPr>
              <w:rFonts w:ascii="Times New Roman" w:hAnsi="Times New Roman" w:cs="Times New Roman"/>
              <w:b/>
              <w:bCs/>
              <w:noProof/>
              <w:sz w:val="28"/>
              <w:szCs w:val="28"/>
            </w:rPr>
            <w:fldChar w:fldCharType="end"/>
          </w:r>
        </w:p>
      </w:sdtContent>
    </w:sdt>
    <w:p w14:paraId="6E3EC797" w14:textId="34D3AD4B" w:rsidR="00A330AC" w:rsidRPr="0024434B" w:rsidRDefault="00A330AC" w:rsidP="0024434B">
      <w:pPr>
        <w:spacing w:line="360" w:lineRule="auto"/>
        <w:rPr>
          <w:rFonts w:ascii="Times New Roman" w:hAnsi="Times New Roman" w:cs="Times New Roman"/>
          <w:sz w:val="28"/>
          <w:szCs w:val="28"/>
          <w:lang w:val="uk-UA"/>
        </w:rPr>
      </w:pPr>
    </w:p>
    <w:p w14:paraId="601DF1DF" w14:textId="77777777" w:rsidR="002A243C" w:rsidRPr="00217E81" w:rsidRDefault="002A243C">
      <w:pPr>
        <w:rPr>
          <w:rFonts w:ascii="Times New Roman" w:hAnsi="Times New Roman" w:cs="Times New Roman"/>
          <w:sz w:val="28"/>
          <w:szCs w:val="28"/>
        </w:rPr>
      </w:pPr>
      <w:r>
        <w:rPr>
          <w:rFonts w:ascii="Times New Roman" w:hAnsi="Times New Roman" w:cs="Times New Roman"/>
          <w:sz w:val="28"/>
          <w:szCs w:val="28"/>
          <w:lang w:val="uk-UA"/>
        </w:rPr>
        <w:br w:type="page"/>
      </w:r>
    </w:p>
    <w:p w14:paraId="7108F043" w14:textId="44A6CB87" w:rsidR="003B4ECB" w:rsidRPr="00E24DEC" w:rsidRDefault="003B4ECB" w:rsidP="003B4ECB">
      <w:pPr>
        <w:jc w:val="center"/>
        <w:rPr>
          <w:rFonts w:ascii="Times New Roman" w:hAnsi="Times New Roman" w:cs="Times New Roman"/>
          <w:sz w:val="28"/>
          <w:szCs w:val="28"/>
          <w:lang w:val="uk-UA"/>
        </w:rPr>
      </w:pPr>
      <w:r w:rsidRPr="00E24DEC">
        <w:rPr>
          <w:rFonts w:ascii="Times New Roman" w:hAnsi="Times New Roman" w:cs="Times New Roman"/>
          <w:sz w:val="28"/>
          <w:szCs w:val="28"/>
          <w:lang w:val="uk-UA"/>
        </w:rPr>
        <w:lastRenderedPageBreak/>
        <w:t>ПЕРЕЛІК УМОВНИХ ПОЗНАЧЕНЬ, СИМВОЛІВ, ОДИНИЦЬ, СКОРОЧЕНЬ І ТЕРМІНІВ</w:t>
      </w:r>
    </w:p>
    <w:p w14:paraId="4C4DAA9E" w14:textId="77777777" w:rsidR="00E24DEC" w:rsidRDefault="00E24DEC" w:rsidP="003B4ECB">
      <w:pPr>
        <w:jc w:val="both"/>
        <w:rPr>
          <w:rFonts w:ascii="Times New Roman" w:hAnsi="Times New Roman" w:cs="Times New Roman"/>
          <w:sz w:val="28"/>
          <w:szCs w:val="28"/>
          <w:lang w:val="uk-UA"/>
        </w:rPr>
      </w:pPr>
    </w:p>
    <w:p w14:paraId="1E80D93E" w14:textId="0DEB5904"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АД – атопічний дерматит</w:t>
      </w:r>
    </w:p>
    <w:p w14:paraId="72B7BD70" w14:textId="16F1F2FB"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БА – бронхіальна астма</w:t>
      </w:r>
    </w:p>
    <w:p w14:paraId="31940789" w14:textId="66F0C06B"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АР – атопічний риніт</w:t>
      </w:r>
    </w:p>
    <w:p w14:paraId="4DDAD395" w14:textId="0A4C976B"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ВООЗ – Всесвітня організація охорони здоров’я</w:t>
      </w:r>
    </w:p>
    <w:p w14:paraId="24D58895" w14:textId="197BBE71" w:rsidR="00E84A69" w:rsidRDefault="00E84A69"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БОС – бронхообструктивний синдром</w:t>
      </w:r>
    </w:p>
    <w:p w14:paraId="52733891" w14:textId="2858C020"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ХГ – хронічний гінгівіт</w:t>
      </w:r>
    </w:p>
    <w:p w14:paraId="4267EF6B" w14:textId="6428417C"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ПОЛ – перекисне окиснення ліпідів</w:t>
      </w:r>
    </w:p>
    <w:p w14:paraId="29A9CC7D" w14:textId="77777777" w:rsidR="00BB697B" w:rsidRPr="00BB697B" w:rsidRDefault="00BB697B" w:rsidP="00BB697B">
      <w:pPr>
        <w:jc w:val="both"/>
        <w:rPr>
          <w:rFonts w:ascii="Times New Roman" w:hAnsi="Times New Roman" w:cs="Times New Roman"/>
          <w:sz w:val="28"/>
          <w:szCs w:val="28"/>
          <w:lang w:val="uk-UA"/>
        </w:rPr>
      </w:pPr>
      <w:r w:rsidRPr="00BB697B">
        <w:rPr>
          <w:rFonts w:ascii="Times New Roman" w:hAnsi="Times New Roman" w:cs="Times New Roman"/>
          <w:sz w:val="28"/>
          <w:szCs w:val="28"/>
          <w:lang w:val="uk-UA"/>
        </w:rPr>
        <w:t>МДА – малоновий диальдегід</w:t>
      </w:r>
    </w:p>
    <w:p w14:paraId="183B80CE" w14:textId="72169ED0" w:rsidR="00BB697B" w:rsidRDefault="00BB697B" w:rsidP="00BB697B">
      <w:pPr>
        <w:jc w:val="both"/>
        <w:rPr>
          <w:rFonts w:ascii="Times New Roman" w:hAnsi="Times New Roman" w:cs="Times New Roman"/>
          <w:sz w:val="28"/>
          <w:szCs w:val="28"/>
          <w:lang w:val="uk-UA"/>
        </w:rPr>
      </w:pPr>
      <w:r w:rsidRPr="00BB697B">
        <w:rPr>
          <w:rFonts w:ascii="Times New Roman" w:hAnsi="Times New Roman" w:cs="Times New Roman"/>
          <w:sz w:val="28"/>
          <w:szCs w:val="28"/>
          <w:lang w:val="uk-UA"/>
        </w:rPr>
        <w:t>СОД – супероксиддисмутаза</w:t>
      </w:r>
    </w:p>
    <w:p w14:paraId="75DEBADA" w14:textId="4DD70805" w:rsidR="003B4ECB" w:rsidRP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КПВ – карієс, пломба, видалений (індекс</w:t>
      </w:r>
      <w:r w:rsidR="00907DEB" w:rsidRPr="000953B6">
        <w:rPr>
          <w:rFonts w:ascii="Times New Roman" w:hAnsi="Times New Roman" w:cs="Times New Roman"/>
          <w:sz w:val="28"/>
          <w:szCs w:val="28"/>
          <w:lang w:val="uk-UA"/>
        </w:rPr>
        <w:t xml:space="preserve"> </w:t>
      </w:r>
      <w:r w:rsidR="00907DEB">
        <w:rPr>
          <w:rFonts w:ascii="Times New Roman" w:hAnsi="Times New Roman" w:cs="Times New Roman"/>
          <w:sz w:val="28"/>
          <w:szCs w:val="28"/>
          <w:lang w:val="uk-UA"/>
        </w:rPr>
        <w:t>інтенсивності карієсу</w:t>
      </w:r>
      <w:r>
        <w:rPr>
          <w:rFonts w:ascii="Times New Roman" w:hAnsi="Times New Roman" w:cs="Times New Roman"/>
          <w:sz w:val="28"/>
          <w:szCs w:val="28"/>
          <w:lang w:val="uk-UA"/>
        </w:rPr>
        <w:t>)</w:t>
      </w:r>
    </w:p>
    <w:p w14:paraId="7CF1D293" w14:textId="75B76DA3"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rPr>
        <w:t>PMA</w:t>
      </w:r>
      <w:r w:rsidRPr="00F554F3">
        <w:rPr>
          <w:rFonts w:ascii="Times New Roman" w:hAnsi="Times New Roman" w:cs="Times New Roman"/>
          <w:sz w:val="28"/>
          <w:szCs w:val="28"/>
          <w:lang w:val="uk-UA"/>
        </w:rPr>
        <w:t xml:space="preserve"> – </w:t>
      </w:r>
      <w:r>
        <w:rPr>
          <w:rFonts w:ascii="Times New Roman" w:hAnsi="Times New Roman" w:cs="Times New Roman"/>
          <w:sz w:val="28"/>
          <w:szCs w:val="28"/>
          <w:lang w:val="uk-UA"/>
        </w:rPr>
        <w:t>папілярно-маргінально-альвеолярний індекс</w:t>
      </w:r>
    </w:p>
    <w:p w14:paraId="78D09A2B" w14:textId="3F81E944" w:rsidR="003B4ECB" w:rsidRDefault="003B4ECB" w:rsidP="003B4ECB">
      <w:pPr>
        <w:jc w:val="both"/>
        <w:rPr>
          <w:rFonts w:ascii="Times New Roman" w:hAnsi="Times New Roman" w:cs="Times New Roman"/>
          <w:sz w:val="28"/>
          <w:szCs w:val="28"/>
          <w:lang w:val="uk-UA"/>
        </w:rPr>
      </w:pPr>
      <w:r>
        <w:rPr>
          <w:rFonts w:ascii="Times New Roman" w:hAnsi="Times New Roman" w:cs="Times New Roman"/>
          <w:sz w:val="28"/>
          <w:szCs w:val="28"/>
        </w:rPr>
        <w:t>SBI</w:t>
      </w:r>
      <w:r w:rsidRPr="003B4ECB">
        <w:rPr>
          <w:rFonts w:ascii="Times New Roman" w:hAnsi="Times New Roman" w:cs="Times New Roman"/>
          <w:sz w:val="28"/>
          <w:szCs w:val="28"/>
          <w:lang w:val="uk-UA"/>
        </w:rPr>
        <w:t xml:space="preserve"> – </w:t>
      </w:r>
      <w:r>
        <w:rPr>
          <w:rFonts w:ascii="Times New Roman" w:hAnsi="Times New Roman" w:cs="Times New Roman"/>
          <w:sz w:val="28"/>
          <w:szCs w:val="28"/>
          <w:lang w:val="uk-UA"/>
        </w:rPr>
        <w:t>індекс кровоточивості ясен (</w:t>
      </w:r>
      <w:r>
        <w:rPr>
          <w:rFonts w:ascii="Times New Roman" w:hAnsi="Times New Roman" w:cs="Times New Roman"/>
          <w:sz w:val="28"/>
          <w:szCs w:val="28"/>
        </w:rPr>
        <w:t>sulcus</w:t>
      </w:r>
      <w:r w:rsidRPr="003B4ECB">
        <w:rPr>
          <w:rFonts w:ascii="Times New Roman" w:hAnsi="Times New Roman" w:cs="Times New Roman"/>
          <w:sz w:val="28"/>
          <w:szCs w:val="28"/>
          <w:lang w:val="uk-UA"/>
        </w:rPr>
        <w:t xml:space="preserve"> </w:t>
      </w:r>
      <w:r>
        <w:rPr>
          <w:rFonts w:ascii="Times New Roman" w:hAnsi="Times New Roman" w:cs="Times New Roman"/>
          <w:sz w:val="28"/>
          <w:szCs w:val="28"/>
        </w:rPr>
        <w:t>bleeding</w:t>
      </w:r>
      <w:r w:rsidRPr="003B4ECB">
        <w:rPr>
          <w:rFonts w:ascii="Times New Roman" w:hAnsi="Times New Roman" w:cs="Times New Roman"/>
          <w:sz w:val="28"/>
          <w:szCs w:val="28"/>
          <w:lang w:val="uk-UA"/>
        </w:rPr>
        <w:t xml:space="preserve"> </w:t>
      </w:r>
      <w:r>
        <w:rPr>
          <w:rFonts w:ascii="Times New Roman" w:hAnsi="Times New Roman" w:cs="Times New Roman"/>
          <w:sz w:val="28"/>
          <w:szCs w:val="28"/>
        </w:rPr>
        <w:t>index</w:t>
      </w:r>
      <w:r>
        <w:rPr>
          <w:rFonts w:ascii="Times New Roman" w:hAnsi="Times New Roman" w:cs="Times New Roman"/>
          <w:sz w:val="28"/>
          <w:szCs w:val="28"/>
          <w:lang w:val="uk-UA"/>
        </w:rPr>
        <w:t>)</w:t>
      </w:r>
    </w:p>
    <w:p w14:paraId="516A0395" w14:textId="68EEBCED" w:rsidR="00BB697B" w:rsidRDefault="00BB697B" w:rsidP="003B4ECB">
      <w:pPr>
        <w:jc w:val="both"/>
        <w:rPr>
          <w:rFonts w:ascii="Times New Roman" w:hAnsi="Times New Roman" w:cs="Times New Roman"/>
          <w:sz w:val="28"/>
          <w:szCs w:val="28"/>
          <w:lang w:val="uk-UA"/>
        </w:rPr>
      </w:pPr>
      <w:r>
        <w:rPr>
          <w:rFonts w:ascii="Times New Roman" w:hAnsi="Times New Roman" w:cs="Times New Roman"/>
          <w:sz w:val="28"/>
          <w:szCs w:val="28"/>
        </w:rPr>
        <w:t>OHI</w:t>
      </w:r>
      <w:r w:rsidRPr="00BB697B">
        <w:rPr>
          <w:rFonts w:ascii="Times New Roman" w:hAnsi="Times New Roman" w:cs="Times New Roman"/>
          <w:sz w:val="28"/>
          <w:szCs w:val="28"/>
          <w:lang w:val="uk-UA"/>
        </w:rPr>
        <w:t>-</w:t>
      </w:r>
      <w:r>
        <w:rPr>
          <w:rFonts w:ascii="Times New Roman" w:hAnsi="Times New Roman" w:cs="Times New Roman"/>
          <w:sz w:val="28"/>
          <w:szCs w:val="28"/>
        </w:rPr>
        <w:t>S</w:t>
      </w:r>
      <w:r w:rsidRPr="00BB697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спрощений індекс гігієни порожнини рота </w:t>
      </w:r>
      <w:r w:rsidRPr="00BB697B">
        <w:rPr>
          <w:rFonts w:ascii="Times New Roman" w:hAnsi="Times New Roman" w:cs="Times New Roman"/>
          <w:sz w:val="28"/>
          <w:szCs w:val="28"/>
          <w:lang w:val="uk-UA"/>
        </w:rPr>
        <w:t>(</w:t>
      </w:r>
      <w:r>
        <w:rPr>
          <w:rFonts w:ascii="Times New Roman" w:hAnsi="Times New Roman" w:cs="Times New Roman"/>
          <w:sz w:val="28"/>
          <w:szCs w:val="28"/>
        </w:rPr>
        <w:t>Oral</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Hygiene</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Index</w:t>
      </w:r>
      <w:r w:rsidRPr="00BB697B">
        <w:rPr>
          <w:rFonts w:ascii="Times New Roman" w:hAnsi="Times New Roman" w:cs="Times New Roman"/>
          <w:sz w:val="28"/>
          <w:szCs w:val="28"/>
          <w:lang w:val="uk-UA"/>
        </w:rPr>
        <w:t xml:space="preserve"> </w:t>
      </w:r>
      <w:r>
        <w:rPr>
          <w:rFonts w:ascii="Times New Roman" w:hAnsi="Times New Roman" w:cs="Times New Roman"/>
          <w:sz w:val="28"/>
          <w:szCs w:val="28"/>
        </w:rPr>
        <w:t>Simplified</w:t>
      </w:r>
      <w:r w:rsidRPr="00BB697B">
        <w:rPr>
          <w:rFonts w:ascii="Times New Roman" w:hAnsi="Times New Roman" w:cs="Times New Roman"/>
          <w:sz w:val="28"/>
          <w:szCs w:val="28"/>
          <w:lang w:val="uk-UA"/>
        </w:rPr>
        <w:t>)</w:t>
      </w:r>
    </w:p>
    <w:p w14:paraId="3B45B5CA" w14:textId="4DF5805D" w:rsidR="00E84A69" w:rsidRDefault="00E84A69" w:rsidP="003B4ECB">
      <w:pPr>
        <w:jc w:val="both"/>
        <w:rPr>
          <w:rFonts w:ascii="Times New Roman" w:hAnsi="Times New Roman" w:cs="Times New Roman"/>
          <w:sz w:val="28"/>
          <w:szCs w:val="28"/>
          <w:lang w:val="uk-UA"/>
        </w:rPr>
      </w:pPr>
      <w:r>
        <w:rPr>
          <w:rFonts w:ascii="Times New Roman" w:hAnsi="Times New Roman" w:cs="Times New Roman"/>
          <w:sz w:val="28"/>
          <w:szCs w:val="28"/>
        </w:rPr>
        <w:t>ISAAC</w:t>
      </w:r>
      <w:r w:rsidRPr="00F554F3">
        <w:rPr>
          <w:rFonts w:ascii="Times New Roman" w:hAnsi="Times New Roman" w:cs="Times New Roman"/>
          <w:sz w:val="28"/>
          <w:szCs w:val="28"/>
          <w:lang w:val="uk-UA"/>
        </w:rPr>
        <w:t xml:space="preserve"> - </w:t>
      </w:r>
      <w:r w:rsidR="005F323F" w:rsidRPr="005F323F">
        <w:rPr>
          <w:rFonts w:ascii="Times New Roman" w:hAnsi="Times New Roman" w:cs="Times New Roman"/>
          <w:sz w:val="28"/>
          <w:szCs w:val="28"/>
          <w:lang w:val="uk-UA"/>
        </w:rPr>
        <w:t>The International Study of Asthma and Allergies in Childhood</w:t>
      </w:r>
    </w:p>
    <w:p w14:paraId="6A6A341D" w14:textId="3AAEDDE4" w:rsidR="00145F83" w:rsidRDefault="00145F83"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ПЛР - полімеразна ланцюгова реакція</w:t>
      </w:r>
    </w:p>
    <w:p w14:paraId="2D87E447" w14:textId="6E0B1844" w:rsidR="00145F83" w:rsidRPr="00F554F3" w:rsidRDefault="00145F83" w:rsidP="003B4ECB">
      <w:pPr>
        <w:jc w:val="both"/>
        <w:rPr>
          <w:rFonts w:ascii="Times New Roman" w:hAnsi="Times New Roman" w:cs="Times New Roman"/>
          <w:sz w:val="28"/>
          <w:szCs w:val="28"/>
          <w:lang w:val="uk-UA"/>
        </w:rPr>
      </w:pPr>
      <w:r>
        <w:rPr>
          <w:rFonts w:ascii="Times New Roman" w:hAnsi="Times New Roman" w:cs="Times New Roman"/>
          <w:sz w:val="28"/>
          <w:szCs w:val="28"/>
          <w:lang w:val="uk-UA"/>
        </w:rPr>
        <w:t>ПДРФ - поліморфізм</w:t>
      </w:r>
      <w:r w:rsidRPr="005D33AD">
        <w:rPr>
          <w:rFonts w:ascii="Times New Roman" w:hAnsi="Times New Roman" w:cs="Times New Roman"/>
          <w:sz w:val="28"/>
          <w:szCs w:val="28"/>
          <w:lang w:val="uk-UA"/>
        </w:rPr>
        <w:t xml:space="preserve"> довжин</w:t>
      </w:r>
      <w:r>
        <w:rPr>
          <w:rFonts w:ascii="Times New Roman" w:hAnsi="Times New Roman" w:cs="Times New Roman"/>
          <w:sz w:val="28"/>
          <w:szCs w:val="28"/>
          <w:lang w:val="uk-UA"/>
        </w:rPr>
        <w:t xml:space="preserve"> рестрикційних фрагментів</w:t>
      </w:r>
      <w:r w:rsidRPr="005D33AD">
        <w:rPr>
          <w:rFonts w:ascii="Times New Roman" w:hAnsi="Times New Roman" w:cs="Times New Roman"/>
          <w:sz w:val="28"/>
          <w:szCs w:val="28"/>
          <w:lang w:val="uk-UA"/>
        </w:rPr>
        <w:t>.</w:t>
      </w:r>
    </w:p>
    <w:p w14:paraId="0F4EA1D9" w14:textId="42D360E6" w:rsidR="00BB697B" w:rsidRPr="00BB697B" w:rsidRDefault="002C1BA9" w:rsidP="003B4ECB">
      <w:pPr>
        <w:jc w:val="both"/>
        <w:rPr>
          <w:rFonts w:ascii="Times New Roman" w:hAnsi="Times New Roman" w:cs="Times New Roman"/>
          <w:sz w:val="28"/>
          <w:szCs w:val="28"/>
          <w:lang w:val="uk-UA"/>
        </w:rPr>
      </w:pPr>
      <w:r w:rsidRPr="002C1BA9">
        <w:rPr>
          <w:rFonts w:ascii="Times New Roman" w:hAnsi="Times New Roman" w:cs="Times New Roman"/>
          <w:sz w:val="28"/>
          <w:szCs w:val="28"/>
          <w:lang w:val="uk-UA"/>
        </w:rPr>
        <w:t>ІГХ –</w:t>
      </w:r>
      <w:r>
        <w:rPr>
          <w:rFonts w:ascii="Times New Roman" w:hAnsi="Times New Roman" w:cs="Times New Roman"/>
          <w:sz w:val="28"/>
          <w:szCs w:val="28"/>
          <w:lang w:val="uk-UA"/>
        </w:rPr>
        <w:t xml:space="preserve"> і</w:t>
      </w:r>
      <w:r w:rsidR="00C01419" w:rsidRPr="00C01419">
        <w:rPr>
          <w:rFonts w:ascii="Times New Roman" w:hAnsi="Times New Roman" w:cs="Times New Roman"/>
          <w:sz w:val="28"/>
          <w:szCs w:val="28"/>
          <w:lang w:val="uk-UA"/>
        </w:rPr>
        <w:t>муногістохімічне дослідження</w:t>
      </w:r>
    </w:p>
    <w:p w14:paraId="5EF3D74A" w14:textId="4DC4C245" w:rsidR="00BB697B" w:rsidRDefault="00BB697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7839FF8" w14:textId="4F9CCF2D" w:rsidR="00BB697B" w:rsidRPr="00E24DEC" w:rsidRDefault="00BB697B" w:rsidP="00E24DEC">
      <w:pPr>
        <w:pStyle w:val="Heading1"/>
        <w:jc w:val="center"/>
        <w:rPr>
          <w:rFonts w:ascii="Times New Roman" w:hAnsi="Times New Roman" w:cs="Times New Roman"/>
          <w:color w:val="auto"/>
          <w:sz w:val="28"/>
          <w:szCs w:val="28"/>
          <w:lang w:val="uk-UA"/>
        </w:rPr>
      </w:pPr>
      <w:bookmarkStart w:id="1" w:name="_Toc507575294"/>
      <w:r w:rsidRPr="00E24DEC">
        <w:rPr>
          <w:rFonts w:ascii="Times New Roman" w:hAnsi="Times New Roman" w:cs="Times New Roman"/>
          <w:color w:val="auto"/>
          <w:sz w:val="28"/>
          <w:szCs w:val="28"/>
          <w:lang w:val="uk-UA"/>
        </w:rPr>
        <w:lastRenderedPageBreak/>
        <w:t>ВСТУП</w:t>
      </w:r>
      <w:bookmarkEnd w:id="1"/>
    </w:p>
    <w:p w14:paraId="5A97553A" w14:textId="77777777" w:rsidR="00E24DEC" w:rsidRDefault="00E24DEC" w:rsidP="003B4ECB">
      <w:pPr>
        <w:jc w:val="center"/>
        <w:rPr>
          <w:rFonts w:ascii="Times New Roman" w:hAnsi="Times New Roman" w:cs="Times New Roman"/>
          <w:b/>
          <w:sz w:val="28"/>
          <w:szCs w:val="28"/>
          <w:lang w:val="uk-UA"/>
        </w:rPr>
      </w:pPr>
    </w:p>
    <w:p w14:paraId="22A21427" w14:textId="41E83EFF" w:rsidR="00E84A69" w:rsidRPr="00114791" w:rsidRDefault="00BB697B" w:rsidP="00027715">
      <w:pPr>
        <w:spacing w:after="0" w:line="360" w:lineRule="auto"/>
        <w:ind w:firstLine="709"/>
        <w:jc w:val="both"/>
        <w:rPr>
          <w:rFonts w:ascii="Times New Roman" w:hAnsi="Times New Roman" w:cs="Times New Roman"/>
          <w:noProof/>
          <w:sz w:val="28"/>
          <w:szCs w:val="28"/>
          <w:lang w:val="uk-UA"/>
        </w:rPr>
      </w:pPr>
      <w:r w:rsidRPr="00E84A69">
        <w:rPr>
          <w:rFonts w:ascii="Times New Roman" w:hAnsi="Times New Roman" w:cs="Times New Roman"/>
          <w:b/>
          <w:sz w:val="28"/>
          <w:szCs w:val="28"/>
          <w:lang w:val="uk-UA"/>
        </w:rPr>
        <w:t>Актуальність роботи.</w:t>
      </w:r>
      <w:r>
        <w:rPr>
          <w:rFonts w:ascii="Times New Roman" w:hAnsi="Times New Roman" w:cs="Times New Roman"/>
          <w:sz w:val="28"/>
          <w:szCs w:val="28"/>
          <w:lang w:val="uk-UA"/>
        </w:rPr>
        <w:t xml:space="preserve"> </w:t>
      </w:r>
      <w:r w:rsidR="00E84A69" w:rsidRPr="00E84A69">
        <w:rPr>
          <w:rFonts w:ascii="Times New Roman" w:hAnsi="Times New Roman" w:cs="Times New Roman"/>
          <w:sz w:val="28"/>
          <w:szCs w:val="28"/>
          <w:lang w:val="uk-UA"/>
        </w:rPr>
        <w:t>Згідно з дослідженнями</w:t>
      </w:r>
      <w:r w:rsidR="00781ECF">
        <w:rPr>
          <w:rFonts w:ascii="Times New Roman" w:hAnsi="Times New Roman" w:cs="Times New Roman"/>
          <w:sz w:val="28"/>
          <w:szCs w:val="28"/>
          <w:lang w:val="uk-UA"/>
        </w:rPr>
        <w:t xml:space="preserve"> провідних науковців,</w:t>
      </w:r>
      <w:r w:rsidR="00E84A69" w:rsidRPr="00E84A69">
        <w:rPr>
          <w:rFonts w:ascii="Times New Roman" w:hAnsi="Times New Roman" w:cs="Times New Roman"/>
          <w:sz w:val="28"/>
          <w:szCs w:val="28"/>
          <w:lang w:val="uk-UA"/>
        </w:rPr>
        <w:t xml:space="preserve"> поширеність таких стоматологічних захворювань, як гінгівіт та пародонтит, серед дитячого населення н</w:t>
      </w:r>
      <w:r w:rsidR="005F323F">
        <w:rPr>
          <w:rFonts w:ascii="Times New Roman" w:hAnsi="Times New Roman" w:cs="Times New Roman"/>
          <w:sz w:val="28"/>
          <w:szCs w:val="28"/>
          <w:lang w:val="uk-UA"/>
        </w:rPr>
        <w:t xml:space="preserve">е має тенденції до зниження </w:t>
      </w:r>
      <w:r w:rsidR="00C12514" w:rsidRPr="000953B6">
        <w:rPr>
          <w:rFonts w:ascii="Times New Roman" w:hAnsi="Times New Roman" w:cs="Times New Roman"/>
          <w:noProof/>
          <w:sz w:val="28"/>
          <w:szCs w:val="28"/>
          <w:lang w:val="ru-RU"/>
        </w:rPr>
        <w:t>[1]</w:t>
      </w:r>
      <w:r w:rsidR="00E84A69" w:rsidRPr="00E84A69">
        <w:rPr>
          <w:rFonts w:ascii="Times New Roman" w:hAnsi="Times New Roman" w:cs="Times New Roman"/>
          <w:sz w:val="28"/>
          <w:szCs w:val="28"/>
          <w:lang w:val="uk-UA"/>
        </w:rPr>
        <w:t>. Останнім часом спостерігається істотне зрос</w:t>
      </w:r>
      <w:r w:rsidR="00AE67C2">
        <w:rPr>
          <w:rFonts w:ascii="Times New Roman" w:hAnsi="Times New Roman" w:cs="Times New Roman"/>
          <w:sz w:val="28"/>
          <w:szCs w:val="28"/>
          <w:lang w:val="uk-UA"/>
        </w:rPr>
        <w:t>тання частоти хвороб пародонта в</w:t>
      </w:r>
      <w:r w:rsidR="00E84A69" w:rsidRPr="00E84A69">
        <w:rPr>
          <w:rFonts w:ascii="Times New Roman" w:hAnsi="Times New Roman" w:cs="Times New Roman"/>
          <w:sz w:val="28"/>
          <w:szCs w:val="28"/>
          <w:lang w:val="uk-UA"/>
        </w:rPr>
        <w:t xml:space="preserve"> осіб молодого віку. Поширеність гінгівіту і пародонтиту серед дітей та підлітків варіює в шир</w:t>
      </w:r>
      <w:r w:rsidR="0024434B">
        <w:rPr>
          <w:rFonts w:ascii="Times New Roman" w:hAnsi="Times New Roman" w:cs="Times New Roman"/>
          <w:sz w:val="28"/>
          <w:szCs w:val="28"/>
          <w:lang w:val="uk-UA"/>
        </w:rPr>
        <w:t xml:space="preserve">оких межах і досягає 97 </w:t>
      </w:r>
      <w:r w:rsidR="00027715">
        <w:rPr>
          <w:rFonts w:ascii="Times New Roman" w:hAnsi="Times New Roman" w:cs="Times New Roman"/>
          <w:sz w:val="28"/>
          <w:szCs w:val="28"/>
          <w:lang w:val="uk-UA"/>
        </w:rPr>
        <w:t>%</w:t>
      </w:r>
      <w:r w:rsidR="00337D0E">
        <w:rPr>
          <w:rFonts w:ascii="Times New Roman" w:hAnsi="Times New Roman" w:cs="Times New Roman"/>
          <w:sz w:val="28"/>
          <w:szCs w:val="28"/>
          <w:lang w:val="uk-UA"/>
        </w:rPr>
        <w:t xml:space="preserve"> </w:t>
      </w:r>
      <w:r w:rsidR="00027715" w:rsidRPr="000953B6">
        <w:rPr>
          <w:rFonts w:ascii="Times New Roman" w:hAnsi="Times New Roman" w:cs="Times New Roman"/>
          <w:noProof/>
          <w:sz w:val="28"/>
          <w:szCs w:val="28"/>
          <w:lang w:val="uk-UA"/>
        </w:rPr>
        <w:t>[</w:t>
      </w:r>
      <w:r w:rsidR="00027715">
        <w:rPr>
          <w:rFonts w:ascii="Times New Roman" w:hAnsi="Times New Roman" w:cs="Times New Roman"/>
          <w:noProof/>
          <w:sz w:val="28"/>
          <w:szCs w:val="28"/>
          <w:lang w:val="uk-UA"/>
        </w:rPr>
        <w:t xml:space="preserve">2, </w:t>
      </w:r>
      <w:r w:rsidR="00220D5D">
        <w:rPr>
          <w:rFonts w:ascii="Times New Roman" w:hAnsi="Times New Roman" w:cs="Times New Roman"/>
          <w:noProof/>
          <w:sz w:val="28"/>
          <w:szCs w:val="28"/>
          <w:lang w:val="uk-UA"/>
        </w:rPr>
        <w:t>3</w:t>
      </w:r>
      <w:r w:rsidR="00220D5D" w:rsidRPr="0024434B">
        <w:rPr>
          <w:rFonts w:ascii="Times New Roman" w:hAnsi="Times New Roman" w:cs="Times New Roman"/>
          <w:noProof/>
          <w:sz w:val="28"/>
          <w:szCs w:val="28"/>
          <w:lang w:val="uk-UA"/>
        </w:rPr>
        <w:t>]</w:t>
      </w:r>
      <w:r w:rsidR="00337D0E">
        <w:rPr>
          <w:rFonts w:ascii="Times New Roman" w:hAnsi="Times New Roman" w:cs="Times New Roman"/>
          <w:sz w:val="28"/>
          <w:szCs w:val="28"/>
          <w:lang w:val="uk-UA"/>
        </w:rPr>
        <w:t xml:space="preserve">. </w:t>
      </w:r>
      <w:r w:rsidR="00220D5D" w:rsidRPr="0024434B">
        <w:rPr>
          <w:rFonts w:ascii="Times New Roman" w:hAnsi="Times New Roman" w:cs="Times New Roman"/>
          <w:sz w:val="28"/>
          <w:szCs w:val="28"/>
          <w:lang w:val="uk-UA"/>
        </w:rPr>
        <w:t>За даними Всесв</w:t>
      </w:r>
      <w:r w:rsidR="00220D5D">
        <w:rPr>
          <w:rFonts w:ascii="Times New Roman" w:hAnsi="Times New Roman" w:cs="Times New Roman"/>
          <w:sz w:val="28"/>
          <w:szCs w:val="28"/>
          <w:lang w:val="uk-UA"/>
        </w:rPr>
        <w:t>ітньо</w:t>
      </w:r>
      <w:r w:rsidR="0024434B">
        <w:rPr>
          <w:rFonts w:ascii="Times New Roman" w:hAnsi="Times New Roman" w:cs="Times New Roman"/>
          <w:sz w:val="28"/>
          <w:szCs w:val="28"/>
          <w:lang w:val="uk-UA"/>
        </w:rPr>
        <w:t>ї</w:t>
      </w:r>
      <w:r w:rsidR="00220D5D">
        <w:rPr>
          <w:rFonts w:ascii="Times New Roman" w:hAnsi="Times New Roman" w:cs="Times New Roman"/>
          <w:sz w:val="28"/>
          <w:szCs w:val="28"/>
          <w:lang w:val="uk-UA"/>
        </w:rPr>
        <w:t xml:space="preserve"> організації охорони здоров</w:t>
      </w:r>
      <w:r w:rsidR="00220D5D" w:rsidRPr="0024434B">
        <w:rPr>
          <w:rFonts w:ascii="Times New Roman" w:hAnsi="Times New Roman" w:cs="Times New Roman"/>
          <w:sz w:val="28"/>
          <w:szCs w:val="28"/>
          <w:lang w:val="uk-UA"/>
        </w:rPr>
        <w:t>’я</w:t>
      </w:r>
      <w:r w:rsidR="00AE67C2">
        <w:rPr>
          <w:rFonts w:ascii="Times New Roman" w:hAnsi="Times New Roman" w:cs="Times New Roman"/>
          <w:sz w:val="28"/>
          <w:szCs w:val="28"/>
          <w:lang w:val="uk-UA"/>
        </w:rPr>
        <w:t>, поширеність гінгівіту в</w:t>
      </w:r>
      <w:r w:rsidR="00E84A69" w:rsidRPr="0024434B">
        <w:rPr>
          <w:rFonts w:ascii="Times New Roman" w:hAnsi="Times New Roman" w:cs="Times New Roman"/>
          <w:sz w:val="28"/>
          <w:szCs w:val="28"/>
          <w:lang w:val="uk-UA"/>
        </w:rPr>
        <w:t xml:space="preserve"> європейській популяції дітей 10-12 років складає 80%, а 14-річних дітей – 100%. </w:t>
      </w:r>
      <w:r w:rsidR="00220D5D" w:rsidRPr="00114791">
        <w:rPr>
          <w:rFonts w:ascii="Times New Roman" w:hAnsi="Times New Roman" w:cs="Times New Roman"/>
          <w:sz w:val="28"/>
          <w:szCs w:val="28"/>
          <w:lang w:val="uk-UA"/>
        </w:rPr>
        <w:t>У</w:t>
      </w:r>
      <w:r w:rsidR="00E84A69" w:rsidRPr="00114791">
        <w:rPr>
          <w:rFonts w:ascii="Times New Roman" w:hAnsi="Times New Roman" w:cs="Times New Roman"/>
          <w:sz w:val="28"/>
          <w:szCs w:val="28"/>
          <w:lang w:val="uk-UA"/>
        </w:rPr>
        <w:t xml:space="preserve"> </w:t>
      </w:r>
      <w:r w:rsidR="00781ECF" w:rsidRPr="00114791">
        <w:rPr>
          <w:rFonts w:ascii="Times New Roman" w:hAnsi="Times New Roman" w:cs="Times New Roman"/>
          <w:sz w:val="28"/>
          <w:szCs w:val="28"/>
          <w:lang w:val="uk-UA"/>
        </w:rPr>
        <w:t>США поширеність гінгівіту</w:t>
      </w:r>
      <w:r w:rsidR="00E84A69" w:rsidRPr="00114791">
        <w:rPr>
          <w:rFonts w:ascii="Times New Roman" w:hAnsi="Times New Roman" w:cs="Times New Roman"/>
          <w:sz w:val="28"/>
          <w:szCs w:val="28"/>
          <w:lang w:val="uk-UA"/>
        </w:rPr>
        <w:t xml:space="preserve"> становить близько 38% у віці 6-11 років, а у </w:t>
      </w:r>
      <w:r w:rsidR="00781ECF" w:rsidRPr="00114791">
        <w:rPr>
          <w:rFonts w:ascii="Times New Roman" w:hAnsi="Times New Roman" w:cs="Times New Roman"/>
          <w:sz w:val="28"/>
          <w:szCs w:val="28"/>
          <w:lang w:val="uk-UA"/>
        </w:rPr>
        <w:t>віці 12-17 років сягає 62-68%, в</w:t>
      </w:r>
      <w:r w:rsidR="00E84A69" w:rsidRPr="00114791">
        <w:rPr>
          <w:rFonts w:ascii="Times New Roman" w:hAnsi="Times New Roman" w:cs="Times New Roman"/>
          <w:sz w:val="28"/>
          <w:szCs w:val="28"/>
          <w:lang w:val="uk-UA"/>
        </w:rPr>
        <w:t xml:space="preserve"> Іспанії поширеність гінгів</w:t>
      </w:r>
      <w:r w:rsidR="00AE67C2">
        <w:rPr>
          <w:rFonts w:ascii="Times New Roman" w:hAnsi="Times New Roman" w:cs="Times New Roman"/>
          <w:sz w:val="28"/>
          <w:szCs w:val="28"/>
          <w:lang w:val="uk-UA"/>
        </w:rPr>
        <w:t>іту</w:t>
      </w:r>
      <w:r w:rsidR="00E84A69" w:rsidRPr="00114791">
        <w:rPr>
          <w:rFonts w:ascii="Times New Roman" w:hAnsi="Times New Roman" w:cs="Times New Roman"/>
          <w:sz w:val="28"/>
          <w:szCs w:val="28"/>
          <w:lang w:val="uk-UA"/>
        </w:rPr>
        <w:t xml:space="preserve"> теж є дос</w:t>
      </w:r>
      <w:r w:rsidR="007A0119" w:rsidRPr="00114791">
        <w:rPr>
          <w:rFonts w:ascii="Times New Roman" w:hAnsi="Times New Roman" w:cs="Times New Roman"/>
          <w:sz w:val="28"/>
          <w:szCs w:val="28"/>
          <w:lang w:val="uk-UA"/>
        </w:rPr>
        <w:t xml:space="preserve">татньо високою та скадає 77% </w:t>
      </w:r>
      <w:r w:rsidR="00220D5D" w:rsidRPr="00114791">
        <w:rPr>
          <w:rFonts w:ascii="Times New Roman" w:hAnsi="Times New Roman" w:cs="Times New Roman"/>
          <w:noProof/>
          <w:sz w:val="28"/>
          <w:szCs w:val="28"/>
          <w:lang w:val="uk-UA"/>
        </w:rPr>
        <w:t>[4</w:t>
      </w:r>
      <w:r w:rsidR="003609DE" w:rsidRPr="00114791">
        <w:rPr>
          <w:rFonts w:ascii="Times New Roman" w:hAnsi="Times New Roman" w:cs="Times New Roman"/>
          <w:noProof/>
          <w:sz w:val="28"/>
          <w:szCs w:val="28"/>
          <w:lang w:val="uk-UA"/>
        </w:rPr>
        <w:t>, 5</w:t>
      </w:r>
      <w:r w:rsidR="00027715" w:rsidRPr="00114791">
        <w:rPr>
          <w:rFonts w:ascii="Times New Roman" w:hAnsi="Times New Roman" w:cs="Times New Roman"/>
          <w:noProof/>
          <w:sz w:val="28"/>
          <w:szCs w:val="28"/>
          <w:lang w:val="uk-UA"/>
        </w:rPr>
        <w:t>]</w:t>
      </w:r>
      <w:r w:rsidR="00E84A69" w:rsidRPr="00114791">
        <w:rPr>
          <w:rFonts w:ascii="Times New Roman" w:hAnsi="Times New Roman" w:cs="Times New Roman"/>
          <w:sz w:val="28"/>
          <w:szCs w:val="28"/>
          <w:lang w:val="uk-UA"/>
        </w:rPr>
        <w:t>.</w:t>
      </w:r>
    </w:p>
    <w:p w14:paraId="746EFD83" w14:textId="368ACF92" w:rsidR="00AC080F" w:rsidRPr="00EA04CC" w:rsidRDefault="00AC080F" w:rsidP="00AC080F">
      <w:pPr>
        <w:spacing w:after="0" w:line="360" w:lineRule="auto"/>
        <w:ind w:firstLine="709"/>
        <w:jc w:val="both"/>
        <w:rPr>
          <w:rFonts w:ascii="Times New Roman" w:hAnsi="Times New Roman" w:cs="Times New Roman"/>
          <w:sz w:val="28"/>
          <w:szCs w:val="28"/>
          <w:lang w:val="uk-UA"/>
        </w:rPr>
      </w:pPr>
      <w:r w:rsidRPr="00EA04CC">
        <w:rPr>
          <w:rFonts w:ascii="Times New Roman" w:hAnsi="Times New Roman" w:cs="Times New Roman"/>
          <w:sz w:val="28"/>
          <w:szCs w:val="28"/>
          <w:lang w:val="uk-UA"/>
        </w:rPr>
        <w:t>Аналіз клінічних і експериментальни</w:t>
      </w:r>
      <w:r>
        <w:rPr>
          <w:rFonts w:ascii="Times New Roman" w:hAnsi="Times New Roman" w:cs="Times New Roman"/>
          <w:sz w:val="28"/>
          <w:szCs w:val="28"/>
          <w:lang w:val="uk-UA"/>
        </w:rPr>
        <w:t>х даних свідчить про те, що най</w:t>
      </w:r>
      <w:r w:rsidRPr="00EA04CC">
        <w:rPr>
          <w:rFonts w:ascii="Times New Roman" w:hAnsi="Times New Roman" w:cs="Times New Roman"/>
          <w:sz w:val="28"/>
          <w:szCs w:val="28"/>
          <w:lang w:val="uk-UA"/>
        </w:rPr>
        <w:t>більш частим захворюванням пародонту, особ</w:t>
      </w:r>
      <w:r>
        <w:rPr>
          <w:rFonts w:ascii="Times New Roman" w:hAnsi="Times New Roman" w:cs="Times New Roman"/>
          <w:sz w:val="28"/>
          <w:szCs w:val="28"/>
          <w:lang w:val="uk-UA"/>
        </w:rPr>
        <w:t>ливо у дітей, є гінгівіт з пере</w:t>
      </w:r>
      <w:r w:rsidRPr="00EA04CC">
        <w:rPr>
          <w:rFonts w:ascii="Times New Roman" w:hAnsi="Times New Roman" w:cs="Times New Roman"/>
          <w:sz w:val="28"/>
          <w:szCs w:val="28"/>
          <w:lang w:val="uk-UA"/>
        </w:rPr>
        <w:t>вагою хронічного катарального гінгівіту (80 – 85% серед усіх</w:t>
      </w:r>
      <w:r>
        <w:rPr>
          <w:rFonts w:ascii="Times New Roman" w:hAnsi="Times New Roman" w:cs="Times New Roman"/>
          <w:sz w:val="28"/>
          <w:szCs w:val="28"/>
          <w:lang w:val="uk-UA"/>
        </w:rPr>
        <w:t xml:space="preserve"> захворювань пародонту) </w:t>
      </w:r>
      <w:r w:rsidR="003609DE" w:rsidRPr="000953B6">
        <w:rPr>
          <w:rFonts w:ascii="Times New Roman" w:hAnsi="Times New Roman" w:cs="Times New Roman"/>
          <w:noProof/>
          <w:sz w:val="28"/>
          <w:szCs w:val="28"/>
          <w:lang w:val="uk-UA"/>
        </w:rPr>
        <w:t>[6]</w:t>
      </w:r>
      <w:r>
        <w:rPr>
          <w:rFonts w:ascii="Times New Roman" w:hAnsi="Times New Roman" w:cs="Times New Roman"/>
          <w:sz w:val="28"/>
          <w:szCs w:val="28"/>
          <w:lang w:val="uk-UA"/>
        </w:rPr>
        <w:t xml:space="preserve">. </w:t>
      </w:r>
      <w:r w:rsidRPr="00EA04CC">
        <w:rPr>
          <w:rFonts w:ascii="Times New Roman" w:hAnsi="Times New Roman" w:cs="Times New Roman"/>
          <w:sz w:val="28"/>
          <w:szCs w:val="28"/>
          <w:lang w:val="uk-UA"/>
        </w:rPr>
        <w:t>Ряд авторів ро</w:t>
      </w:r>
      <w:r w:rsidR="0024434B">
        <w:rPr>
          <w:rFonts w:ascii="Times New Roman" w:hAnsi="Times New Roman" w:cs="Times New Roman"/>
          <w:sz w:val="28"/>
          <w:szCs w:val="28"/>
          <w:lang w:val="uk-UA"/>
        </w:rPr>
        <w:t xml:space="preserve">зглядає гінгівіт як </w:t>
      </w:r>
      <w:r w:rsidRPr="00EA04CC">
        <w:rPr>
          <w:rFonts w:ascii="Times New Roman" w:hAnsi="Times New Roman" w:cs="Times New Roman"/>
          <w:sz w:val="28"/>
          <w:szCs w:val="28"/>
          <w:lang w:val="uk-UA"/>
        </w:rPr>
        <w:t>стан</w:t>
      </w:r>
      <w:r w:rsidR="0024434B">
        <w:rPr>
          <w:rFonts w:ascii="Times New Roman" w:hAnsi="Times New Roman" w:cs="Times New Roman"/>
          <w:sz w:val="28"/>
          <w:szCs w:val="28"/>
          <w:lang w:val="uk-UA"/>
        </w:rPr>
        <w:t xml:space="preserve"> предпародонтиту</w:t>
      </w:r>
      <w:r w:rsidRPr="00EA04CC">
        <w:rPr>
          <w:rFonts w:ascii="Times New Roman" w:hAnsi="Times New Roman" w:cs="Times New Roman"/>
          <w:sz w:val="28"/>
          <w:szCs w:val="28"/>
          <w:lang w:val="uk-UA"/>
        </w:rPr>
        <w:t>, тому що він може протікати як самості</w:t>
      </w:r>
      <w:r w:rsidR="00781ECF">
        <w:rPr>
          <w:rFonts w:ascii="Times New Roman" w:hAnsi="Times New Roman" w:cs="Times New Roman"/>
          <w:sz w:val="28"/>
          <w:szCs w:val="28"/>
          <w:lang w:val="uk-UA"/>
        </w:rPr>
        <w:t>йна нозологічна одиниця</w:t>
      </w:r>
      <w:r>
        <w:rPr>
          <w:rFonts w:ascii="Times New Roman" w:hAnsi="Times New Roman" w:cs="Times New Roman"/>
          <w:sz w:val="28"/>
          <w:szCs w:val="28"/>
          <w:lang w:val="uk-UA"/>
        </w:rPr>
        <w:t>, так і бути симптом</w:t>
      </w:r>
      <w:r w:rsidR="00781ECF">
        <w:rPr>
          <w:rFonts w:ascii="Times New Roman" w:hAnsi="Times New Roman" w:cs="Times New Roman"/>
          <w:sz w:val="28"/>
          <w:szCs w:val="28"/>
          <w:lang w:val="uk-UA"/>
        </w:rPr>
        <w:t>ом</w:t>
      </w:r>
      <w:r w:rsidR="00AC5AD6">
        <w:rPr>
          <w:rFonts w:ascii="Times New Roman" w:hAnsi="Times New Roman" w:cs="Times New Roman"/>
          <w:sz w:val="28"/>
          <w:szCs w:val="28"/>
          <w:lang w:val="uk-UA"/>
        </w:rPr>
        <w:t xml:space="preserve"> пародонтиту</w:t>
      </w:r>
      <w:r w:rsidRPr="00EA04CC">
        <w:rPr>
          <w:rFonts w:ascii="Times New Roman" w:hAnsi="Times New Roman" w:cs="Times New Roman"/>
          <w:sz w:val="28"/>
          <w:szCs w:val="28"/>
          <w:lang w:val="uk-UA"/>
        </w:rPr>
        <w:t>.</w:t>
      </w:r>
    </w:p>
    <w:p w14:paraId="36403BEB" w14:textId="05B51452" w:rsidR="00E84A69" w:rsidRDefault="00E84A69"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E84A69">
        <w:rPr>
          <w:rFonts w:ascii="Times New Roman" w:hAnsi="Times New Roman" w:cs="Times New Roman"/>
          <w:sz w:val="28"/>
          <w:szCs w:val="28"/>
          <w:lang w:val="uk-UA"/>
        </w:rPr>
        <w:t>кщо проаналізувати епідеміологію захворюв</w:t>
      </w:r>
      <w:r w:rsidR="00AE67C2">
        <w:rPr>
          <w:rFonts w:ascii="Times New Roman" w:hAnsi="Times New Roman" w:cs="Times New Roman"/>
          <w:sz w:val="28"/>
          <w:szCs w:val="28"/>
          <w:lang w:val="uk-UA"/>
        </w:rPr>
        <w:t>ань пародонту, а саме гінгівіту</w:t>
      </w:r>
      <w:r w:rsidRPr="00E84A69">
        <w:rPr>
          <w:rFonts w:ascii="Times New Roman" w:hAnsi="Times New Roman" w:cs="Times New Roman"/>
          <w:sz w:val="28"/>
          <w:szCs w:val="28"/>
          <w:lang w:val="uk-UA"/>
        </w:rPr>
        <w:t xml:space="preserve"> серед дитячого контингенту, спостерігається чітка тенденція до зростання поширеності гінгівіту з віком, а також зростання розповсюдженості гінгівіту у дітей на тлі з</w:t>
      </w:r>
      <w:r w:rsidR="00CF312B">
        <w:rPr>
          <w:rFonts w:ascii="Times New Roman" w:hAnsi="Times New Roman" w:cs="Times New Roman"/>
          <w:sz w:val="28"/>
          <w:szCs w:val="28"/>
          <w:lang w:val="uk-UA"/>
        </w:rPr>
        <w:t>агальносоматичної патології</w:t>
      </w:r>
      <w:r w:rsidR="00AC080F">
        <w:rPr>
          <w:rFonts w:ascii="Times New Roman" w:hAnsi="Times New Roman" w:cs="Times New Roman"/>
          <w:sz w:val="28"/>
          <w:szCs w:val="28"/>
          <w:lang w:val="uk-UA"/>
        </w:rPr>
        <w:t xml:space="preserve"> </w:t>
      </w:r>
      <w:r w:rsidR="003609DE" w:rsidRPr="000953B6">
        <w:rPr>
          <w:rFonts w:ascii="Times New Roman" w:hAnsi="Times New Roman" w:cs="Times New Roman"/>
          <w:noProof/>
          <w:sz w:val="28"/>
          <w:szCs w:val="28"/>
          <w:lang w:val="uk-UA"/>
        </w:rPr>
        <w:t>[7]</w:t>
      </w:r>
      <w:r w:rsidR="00CF312B">
        <w:rPr>
          <w:rFonts w:ascii="Times New Roman" w:hAnsi="Times New Roman" w:cs="Times New Roman"/>
          <w:sz w:val="28"/>
          <w:szCs w:val="28"/>
          <w:lang w:val="uk-UA"/>
        </w:rPr>
        <w:t>. В</w:t>
      </w:r>
      <w:r w:rsidRPr="00E84A69">
        <w:rPr>
          <w:rFonts w:ascii="Times New Roman" w:hAnsi="Times New Roman" w:cs="Times New Roman"/>
          <w:sz w:val="28"/>
          <w:szCs w:val="28"/>
          <w:lang w:val="uk-UA"/>
        </w:rPr>
        <w:t>ажливим фактором є те, що гінгівіт</w:t>
      </w:r>
      <w:r w:rsidR="00CF312B">
        <w:rPr>
          <w:rFonts w:ascii="Times New Roman" w:hAnsi="Times New Roman" w:cs="Times New Roman"/>
          <w:sz w:val="28"/>
          <w:szCs w:val="28"/>
          <w:lang w:val="uk-UA"/>
        </w:rPr>
        <w:t>,</w:t>
      </w:r>
      <w:r w:rsidRPr="00E84A69">
        <w:rPr>
          <w:rFonts w:ascii="Times New Roman" w:hAnsi="Times New Roman" w:cs="Times New Roman"/>
          <w:sz w:val="28"/>
          <w:szCs w:val="28"/>
          <w:lang w:val="uk-UA"/>
        </w:rPr>
        <w:t xml:space="preserve"> як правило</w:t>
      </w:r>
      <w:r w:rsidR="00CF312B">
        <w:rPr>
          <w:rFonts w:ascii="Times New Roman" w:hAnsi="Times New Roman" w:cs="Times New Roman"/>
          <w:sz w:val="28"/>
          <w:szCs w:val="28"/>
          <w:lang w:val="uk-UA"/>
        </w:rPr>
        <w:t>,</w:t>
      </w:r>
      <w:r w:rsidRPr="00E84A69">
        <w:rPr>
          <w:rFonts w:ascii="Times New Roman" w:hAnsi="Times New Roman" w:cs="Times New Roman"/>
          <w:sz w:val="28"/>
          <w:szCs w:val="28"/>
          <w:lang w:val="uk-UA"/>
        </w:rPr>
        <w:t xml:space="preserve"> виявляється не на початковій стадії, а вже при наявності вираженої симптоматики. </w:t>
      </w:r>
    </w:p>
    <w:p w14:paraId="43318E6D" w14:textId="213A9F71" w:rsidR="00AC080F" w:rsidRDefault="00AC080F" w:rsidP="00AC080F">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Частота та тяжкість ураження пародонта значно вищі у дітей, обтяжених загальносоматичною патологією</w:t>
      </w:r>
      <w:r w:rsidRPr="00E84A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Відповідно до даних науковців, </w:t>
      </w:r>
      <w:r>
        <w:rPr>
          <w:rFonts w:ascii="Times New Roman" w:hAnsi="Times New Roman" w:cs="Times New Roman"/>
          <w:sz w:val="28"/>
          <w:szCs w:val="28"/>
          <w:lang w:val="uk-UA"/>
        </w:rPr>
        <w:t>п</w:t>
      </w:r>
      <w:r w:rsidRPr="00E84A69">
        <w:rPr>
          <w:rFonts w:ascii="Times New Roman" w:hAnsi="Times New Roman" w:cs="Times New Roman"/>
          <w:sz w:val="28"/>
          <w:szCs w:val="28"/>
          <w:lang w:val="uk-UA"/>
        </w:rPr>
        <w:t>риблизно у 36,4% дітей визначається спадкова схильність до алергіч</w:t>
      </w:r>
      <w:r>
        <w:rPr>
          <w:rFonts w:ascii="Times New Roman" w:hAnsi="Times New Roman" w:cs="Times New Roman"/>
          <w:sz w:val="28"/>
          <w:szCs w:val="28"/>
          <w:lang w:val="uk-UA"/>
        </w:rPr>
        <w:t xml:space="preserve">них захворювань </w:t>
      </w:r>
      <w:r w:rsidR="00EE3DAD">
        <w:rPr>
          <w:rFonts w:ascii="Times New Roman" w:hAnsi="Times New Roman" w:cs="Times New Roman"/>
          <w:noProof/>
          <w:sz w:val="28"/>
          <w:szCs w:val="28"/>
          <w:lang w:val="uk-UA"/>
        </w:rPr>
        <w:t xml:space="preserve">[8, </w:t>
      </w:r>
      <w:r w:rsidR="003609DE" w:rsidRPr="000953B6">
        <w:rPr>
          <w:rFonts w:ascii="Times New Roman" w:hAnsi="Times New Roman" w:cs="Times New Roman"/>
          <w:noProof/>
          <w:sz w:val="28"/>
          <w:szCs w:val="28"/>
          <w:lang w:val="uk-UA"/>
        </w:rPr>
        <w:t>9]</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Як відомо, розвиток алергічних</w:t>
      </w:r>
      <w:r w:rsidR="00781ECF">
        <w:rPr>
          <w:rFonts w:ascii="Times New Roman" w:hAnsi="Times New Roman" w:cs="Times New Roman"/>
          <w:sz w:val="28"/>
          <w:szCs w:val="28"/>
          <w:lang w:val="uk-UA"/>
        </w:rPr>
        <w:t>, а саме атопічних,</w:t>
      </w:r>
      <w:r w:rsidRPr="00E84A69">
        <w:rPr>
          <w:rFonts w:ascii="Times New Roman" w:hAnsi="Times New Roman" w:cs="Times New Roman"/>
          <w:sz w:val="28"/>
          <w:szCs w:val="28"/>
          <w:lang w:val="uk-UA"/>
        </w:rPr>
        <w:t xml:space="preserve"> захворювань визначається особливостями генетично запрограмованої імунної відповіді на антиген під дією різних провокуючих факторів, які призводять до реалізації захворювання </w:t>
      </w:r>
      <w:r w:rsidR="003609DE" w:rsidRPr="000953B6">
        <w:rPr>
          <w:rFonts w:ascii="Times New Roman" w:hAnsi="Times New Roman" w:cs="Times New Roman"/>
          <w:noProof/>
          <w:sz w:val="28"/>
          <w:szCs w:val="28"/>
          <w:lang w:val="uk-UA"/>
        </w:rPr>
        <w:t>[10]</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lastRenderedPageBreak/>
        <w:t xml:space="preserve">Наведені дані обумовлюють актуальність пошуку шляхів ранньої діагностики та профілактики гінгівіту серед дітей </w:t>
      </w:r>
      <w:r w:rsidR="00AE67C2">
        <w:rPr>
          <w:rFonts w:ascii="Times New Roman" w:hAnsi="Times New Roman" w:cs="Times New Roman"/>
          <w:sz w:val="28"/>
          <w:szCs w:val="28"/>
          <w:lang w:val="uk-UA"/>
        </w:rPr>
        <w:t>на тлі соматичних захворювань, у</w:t>
      </w:r>
      <w:r w:rsidRPr="00E84A69">
        <w:rPr>
          <w:rFonts w:ascii="Times New Roman" w:hAnsi="Times New Roman" w:cs="Times New Roman"/>
          <w:sz w:val="28"/>
          <w:szCs w:val="28"/>
          <w:lang w:val="uk-UA"/>
        </w:rPr>
        <w:t xml:space="preserve"> тому числі атопічних.</w:t>
      </w:r>
    </w:p>
    <w:p w14:paraId="37A39EA4" w14:textId="3CDDDF94" w:rsidR="00EA04CC" w:rsidRPr="00EA04CC" w:rsidRDefault="00781ECF" w:rsidP="00EA04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досліджень останніх років вказують</w:t>
      </w:r>
      <w:r w:rsidR="00EA04CC" w:rsidRPr="00EA04CC">
        <w:rPr>
          <w:rFonts w:ascii="Times New Roman" w:hAnsi="Times New Roman" w:cs="Times New Roman"/>
          <w:sz w:val="28"/>
          <w:szCs w:val="28"/>
          <w:lang w:val="uk-UA"/>
        </w:rPr>
        <w:t xml:space="preserve"> на те, що захворювання пародонту є не тіль</w:t>
      </w:r>
      <w:r w:rsidR="00AE67C2">
        <w:rPr>
          <w:rFonts w:ascii="Times New Roman" w:hAnsi="Times New Roman" w:cs="Times New Roman"/>
          <w:sz w:val="28"/>
          <w:szCs w:val="28"/>
          <w:lang w:val="uk-UA"/>
        </w:rPr>
        <w:t>ки загально</w:t>
      </w:r>
      <w:r w:rsidR="00EA04CC" w:rsidRPr="00EA04CC">
        <w:rPr>
          <w:rFonts w:ascii="Times New Roman" w:hAnsi="Times New Roman" w:cs="Times New Roman"/>
          <w:sz w:val="28"/>
          <w:szCs w:val="28"/>
          <w:lang w:val="uk-UA"/>
        </w:rPr>
        <w:t>медичною</w:t>
      </w:r>
      <w:r>
        <w:rPr>
          <w:rFonts w:ascii="Times New Roman" w:hAnsi="Times New Roman" w:cs="Times New Roman"/>
          <w:sz w:val="28"/>
          <w:szCs w:val="28"/>
          <w:lang w:val="uk-UA"/>
        </w:rPr>
        <w:t xml:space="preserve">, але й соціальною проблемою, а </w:t>
      </w:r>
      <w:r w:rsidR="00EA04CC" w:rsidRPr="00EA04CC">
        <w:rPr>
          <w:rFonts w:ascii="Times New Roman" w:hAnsi="Times New Roman" w:cs="Times New Roman"/>
          <w:sz w:val="28"/>
          <w:szCs w:val="28"/>
          <w:lang w:val="uk-UA"/>
        </w:rPr>
        <w:t xml:space="preserve">підвищення ефективності лікування </w:t>
      </w:r>
      <w:r>
        <w:rPr>
          <w:rFonts w:ascii="Times New Roman" w:hAnsi="Times New Roman" w:cs="Times New Roman"/>
          <w:sz w:val="28"/>
          <w:szCs w:val="28"/>
          <w:lang w:val="uk-UA"/>
        </w:rPr>
        <w:t>та профілактики даної патології</w:t>
      </w:r>
      <w:r w:rsidR="00EA04CC" w:rsidRPr="00EA04CC">
        <w:rPr>
          <w:rFonts w:ascii="Times New Roman" w:hAnsi="Times New Roman" w:cs="Times New Roman"/>
          <w:sz w:val="28"/>
          <w:szCs w:val="28"/>
          <w:lang w:val="uk-UA"/>
        </w:rPr>
        <w:t xml:space="preserve"> з</w:t>
      </w:r>
      <w:r w:rsidR="00AC080F">
        <w:rPr>
          <w:rFonts w:ascii="Times New Roman" w:hAnsi="Times New Roman" w:cs="Times New Roman"/>
          <w:sz w:val="28"/>
          <w:szCs w:val="28"/>
          <w:lang w:val="uk-UA"/>
        </w:rPr>
        <w:t xml:space="preserve">алишається актуальним </w:t>
      </w:r>
      <w:r w:rsidR="003609DE" w:rsidRPr="000953B6">
        <w:rPr>
          <w:rFonts w:ascii="Times New Roman" w:hAnsi="Times New Roman" w:cs="Times New Roman"/>
          <w:noProof/>
          <w:sz w:val="28"/>
          <w:szCs w:val="28"/>
          <w:lang w:val="uk-UA"/>
        </w:rPr>
        <w:t>[11]</w:t>
      </w:r>
      <w:r w:rsidR="00EA04CC" w:rsidRPr="00EA04CC">
        <w:rPr>
          <w:rFonts w:ascii="Times New Roman" w:hAnsi="Times New Roman" w:cs="Times New Roman"/>
          <w:sz w:val="28"/>
          <w:szCs w:val="28"/>
          <w:lang w:val="uk-UA"/>
        </w:rPr>
        <w:t>.</w:t>
      </w:r>
    </w:p>
    <w:p w14:paraId="6EB59D24" w14:textId="5BADD420" w:rsidR="00EA04CC" w:rsidRPr="00CF312B" w:rsidRDefault="00CF312B" w:rsidP="00CF3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показує аналіз даних дослідників, </w:t>
      </w:r>
      <w:r w:rsidR="00EA04CC" w:rsidRPr="00EA04CC">
        <w:rPr>
          <w:rFonts w:ascii="Times New Roman" w:hAnsi="Times New Roman" w:cs="Times New Roman"/>
          <w:sz w:val="28"/>
          <w:szCs w:val="28"/>
          <w:lang w:val="uk-UA"/>
        </w:rPr>
        <w:t>значна увага приділя</w:t>
      </w:r>
      <w:r>
        <w:rPr>
          <w:rFonts w:ascii="Times New Roman" w:hAnsi="Times New Roman" w:cs="Times New Roman"/>
          <w:sz w:val="28"/>
          <w:szCs w:val="28"/>
          <w:lang w:val="uk-UA"/>
        </w:rPr>
        <w:t>ється вивченню епіде</w:t>
      </w:r>
      <w:r w:rsidR="00EA04CC" w:rsidRPr="00EA04CC">
        <w:rPr>
          <w:rFonts w:ascii="Times New Roman" w:hAnsi="Times New Roman" w:cs="Times New Roman"/>
          <w:sz w:val="28"/>
          <w:szCs w:val="28"/>
          <w:lang w:val="uk-UA"/>
        </w:rPr>
        <w:t>міології та найбільш значимих факторів ри</w:t>
      </w:r>
      <w:r>
        <w:rPr>
          <w:rFonts w:ascii="Times New Roman" w:hAnsi="Times New Roman" w:cs="Times New Roman"/>
          <w:sz w:val="28"/>
          <w:szCs w:val="28"/>
          <w:lang w:val="uk-UA"/>
        </w:rPr>
        <w:t>зику захворювань пародонту з ме</w:t>
      </w:r>
      <w:r w:rsidR="00EA04CC" w:rsidRPr="00EA04CC">
        <w:rPr>
          <w:rFonts w:ascii="Times New Roman" w:hAnsi="Times New Roman" w:cs="Times New Roman"/>
          <w:sz w:val="28"/>
          <w:szCs w:val="28"/>
          <w:lang w:val="uk-UA"/>
        </w:rPr>
        <w:t>тою подальшого створення ефективних програм профілактики. Однак, незважаючи на значну увагу вітчи</w:t>
      </w:r>
      <w:r>
        <w:rPr>
          <w:rFonts w:ascii="Times New Roman" w:hAnsi="Times New Roman" w:cs="Times New Roman"/>
          <w:sz w:val="28"/>
          <w:szCs w:val="28"/>
          <w:lang w:val="uk-UA"/>
        </w:rPr>
        <w:t>зняних та іноземних науковців, за</w:t>
      </w:r>
      <w:r w:rsidR="00EA04CC" w:rsidRPr="00EA04CC">
        <w:rPr>
          <w:rFonts w:ascii="Times New Roman" w:hAnsi="Times New Roman" w:cs="Times New Roman"/>
          <w:sz w:val="28"/>
          <w:szCs w:val="28"/>
          <w:lang w:val="uk-UA"/>
        </w:rPr>
        <w:t xml:space="preserve">лишається недостатньо вивченою проблема </w:t>
      </w:r>
      <w:r w:rsidR="0024434B">
        <w:rPr>
          <w:rFonts w:ascii="Times New Roman" w:hAnsi="Times New Roman" w:cs="Times New Roman"/>
          <w:sz w:val="28"/>
          <w:szCs w:val="28"/>
          <w:lang w:val="uk-UA"/>
        </w:rPr>
        <w:t>патогенезу</w:t>
      </w:r>
      <w:r w:rsidR="00781ECF">
        <w:rPr>
          <w:rFonts w:ascii="Times New Roman" w:hAnsi="Times New Roman" w:cs="Times New Roman"/>
          <w:sz w:val="28"/>
          <w:szCs w:val="28"/>
          <w:lang w:val="uk-UA"/>
        </w:rPr>
        <w:t xml:space="preserve"> захворювань пародонта у дітей та</w:t>
      </w:r>
      <w:r w:rsidR="00EA04CC" w:rsidRPr="00EA04CC">
        <w:rPr>
          <w:rFonts w:ascii="Times New Roman" w:hAnsi="Times New Roman" w:cs="Times New Roman"/>
          <w:sz w:val="28"/>
          <w:szCs w:val="28"/>
          <w:lang w:val="uk-UA"/>
        </w:rPr>
        <w:t xml:space="preserve"> фактори ризику формування та прогресування гінгівіту у дітей</w:t>
      </w:r>
      <w:r>
        <w:rPr>
          <w:rFonts w:ascii="Times New Roman" w:hAnsi="Times New Roman" w:cs="Times New Roman"/>
          <w:sz w:val="28"/>
          <w:szCs w:val="28"/>
          <w:lang w:val="uk-UA"/>
        </w:rPr>
        <w:t xml:space="preserve"> на тлі атопічних захворювань</w:t>
      </w:r>
      <w:r w:rsidR="00EA04CC" w:rsidRPr="00EA04CC">
        <w:rPr>
          <w:rFonts w:ascii="Times New Roman" w:hAnsi="Times New Roman" w:cs="Times New Roman"/>
          <w:sz w:val="28"/>
          <w:szCs w:val="28"/>
          <w:lang w:val="uk-UA"/>
        </w:rPr>
        <w:t>. Визначення профілю ризиків, що сприяють розвитку та прогресуванню захворювань парод</w:t>
      </w:r>
      <w:r>
        <w:rPr>
          <w:rFonts w:ascii="Times New Roman" w:hAnsi="Times New Roman" w:cs="Times New Roman"/>
          <w:sz w:val="28"/>
          <w:szCs w:val="28"/>
          <w:lang w:val="uk-UA"/>
        </w:rPr>
        <w:t>онту у дітей, ви</w:t>
      </w:r>
      <w:r w:rsidR="00EA04CC" w:rsidRPr="00EA04CC">
        <w:rPr>
          <w:rFonts w:ascii="Times New Roman" w:hAnsi="Times New Roman" w:cs="Times New Roman"/>
          <w:sz w:val="28"/>
          <w:szCs w:val="28"/>
          <w:lang w:val="uk-UA"/>
        </w:rPr>
        <w:t xml:space="preserve">значення їх значимості від </w:t>
      </w:r>
      <w:r>
        <w:rPr>
          <w:rFonts w:ascii="Times New Roman" w:hAnsi="Times New Roman" w:cs="Times New Roman"/>
          <w:sz w:val="28"/>
          <w:szCs w:val="28"/>
          <w:lang w:val="uk-UA"/>
        </w:rPr>
        <w:t>стану макроорганізму</w:t>
      </w:r>
      <w:r w:rsidR="00EA04CC" w:rsidRPr="00EA04CC">
        <w:rPr>
          <w:rFonts w:ascii="Times New Roman" w:hAnsi="Times New Roman" w:cs="Times New Roman"/>
          <w:sz w:val="28"/>
          <w:szCs w:val="28"/>
          <w:lang w:val="uk-UA"/>
        </w:rPr>
        <w:t xml:space="preserve"> до</w:t>
      </w:r>
      <w:r>
        <w:rPr>
          <w:rFonts w:ascii="Times New Roman" w:hAnsi="Times New Roman" w:cs="Times New Roman"/>
          <w:sz w:val="28"/>
          <w:szCs w:val="28"/>
          <w:lang w:val="uk-UA"/>
        </w:rPr>
        <w:t>зволять розробити індивідуалізо</w:t>
      </w:r>
      <w:r w:rsidR="00EA04CC" w:rsidRPr="00EA04CC">
        <w:rPr>
          <w:rFonts w:ascii="Times New Roman" w:hAnsi="Times New Roman" w:cs="Times New Roman"/>
          <w:sz w:val="28"/>
          <w:szCs w:val="28"/>
          <w:lang w:val="uk-UA"/>
        </w:rPr>
        <w:t xml:space="preserve">вані програми лікування, що базуються на </w:t>
      </w:r>
      <w:r>
        <w:rPr>
          <w:rFonts w:ascii="Times New Roman" w:hAnsi="Times New Roman" w:cs="Times New Roman"/>
          <w:sz w:val="28"/>
          <w:szCs w:val="28"/>
          <w:lang w:val="uk-UA"/>
        </w:rPr>
        <w:t>управлінні факторами та маркера</w:t>
      </w:r>
      <w:r w:rsidR="00EA04CC" w:rsidRPr="00EA04CC">
        <w:rPr>
          <w:rFonts w:ascii="Times New Roman" w:hAnsi="Times New Roman" w:cs="Times New Roman"/>
          <w:sz w:val="28"/>
          <w:szCs w:val="28"/>
          <w:lang w:val="uk-UA"/>
        </w:rPr>
        <w:t>ми ризику.</w:t>
      </w:r>
    </w:p>
    <w:p w14:paraId="0A117120" w14:textId="7D1342B4" w:rsidR="005021D4" w:rsidRPr="005021D4" w:rsidRDefault="005021D4" w:rsidP="00E84A69">
      <w:pPr>
        <w:spacing w:after="0" w:line="360" w:lineRule="auto"/>
        <w:ind w:firstLine="709"/>
        <w:jc w:val="both"/>
        <w:rPr>
          <w:rFonts w:ascii="Times New Roman" w:hAnsi="Times New Roman" w:cs="Times New Roman"/>
          <w:b/>
          <w:sz w:val="28"/>
          <w:szCs w:val="28"/>
          <w:lang w:val="uk-UA"/>
        </w:rPr>
      </w:pPr>
      <w:r w:rsidRPr="005021D4">
        <w:rPr>
          <w:rFonts w:ascii="Times New Roman" w:hAnsi="Times New Roman" w:cs="Times New Roman"/>
          <w:b/>
          <w:sz w:val="28"/>
          <w:szCs w:val="28"/>
          <w:lang w:val="uk-UA"/>
        </w:rPr>
        <w:t>Зв'язок роботи з науковими програмами, планами, темами</w:t>
      </w:r>
    </w:p>
    <w:p w14:paraId="5C27C73C" w14:textId="149D1291" w:rsidR="005021D4" w:rsidRDefault="005021D4"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Дисертаційна робота виконана в рамках науково-дослідної роботи </w:t>
      </w:r>
      <w:r w:rsidR="00781ECF">
        <w:rPr>
          <w:rFonts w:ascii="Times New Roman" w:hAnsi="Times New Roman" w:cs="Times New Roman"/>
          <w:sz w:val="28"/>
          <w:szCs w:val="28"/>
          <w:lang w:val="uk-UA"/>
        </w:rPr>
        <w:t>Харківського національного медичного університету</w:t>
      </w:r>
      <w:r>
        <w:rPr>
          <w:rFonts w:ascii="Times New Roman" w:hAnsi="Times New Roman" w:cs="Times New Roman"/>
          <w:sz w:val="28"/>
          <w:szCs w:val="28"/>
          <w:lang w:val="uk-UA"/>
        </w:rPr>
        <w:t xml:space="preserve"> </w:t>
      </w:r>
      <w:r w:rsidR="00E24B74">
        <w:rPr>
          <w:rFonts w:ascii="Times New Roman" w:hAnsi="Times New Roman" w:cs="Times New Roman"/>
          <w:sz w:val="28"/>
          <w:szCs w:val="28"/>
          <w:lang w:val="uk-UA"/>
        </w:rPr>
        <w:t>«</w:t>
      </w:r>
      <w:r w:rsidRPr="005021D4">
        <w:rPr>
          <w:rFonts w:ascii="Times New Roman" w:hAnsi="Times New Roman" w:cs="Times New Roman"/>
          <w:sz w:val="28"/>
          <w:szCs w:val="28"/>
          <w:lang w:val="uk-UA"/>
        </w:rPr>
        <w:t>Характер, структура та лікування основ</w:t>
      </w:r>
      <w:r w:rsidR="00E24B74">
        <w:rPr>
          <w:rFonts w:ascii="Times New Roman" w:hAnsi="Times New Roman" w:cs="Times New Roman"/>
          <w:sz w:val="28"/>
          <w:szCs w:val="28"/>
          <w:lang w:val="uk-UA"/>
        </w:rPr>
        <w:t>них стоматологічних захворювань»</w:t>
      </w:r>
      <w:r w:rsidRPr="005021D4">
        <w:rPr>
          <w:rFonts w:ascii="Times New Roman" w:hAnsi="Times New Roman" w:cs="Times New Roman"/>
          <w:sz w:val="28"/>
          <w:szCs w:val="28"/>
          <w:lang w:val="uk-UA"/>
        </w:rPr>
        <w:t xml:space="preserve">, державний </w:t>
      </w:r>
      <w:r>
        <w:rPr>
          <w:rFonts w:ascii="Times New Roman" w:hAnsi="Times New Roman" w:cs="Times New Roman"/>
          <w:sz w:val="28"/>
          <w:szCs w:val="28"/>
          <w:lang w:val="uk-UA"/>
        </w:rPr>
        <w:t xml:space="preserve">реєстраційний номер 0116U004975, строк виконання 2016-2018, та </w:t>
      </w:r>
      <w:r w:rsidR="00E24B74" w:rsidRPr="00E24B74">
        <w:rPr>
          <w:rFonts w:ascii="Times New Roman" w:hAnsi="Times New Roman" w:cs="Times New Roman"/>
          <w:sz w:val="28"/>
          <w:szCs w:val="28"/>
          <w:lang w:val="uk-UA"/>
        </w:rPr>
        <w:t>«Діагностика та лікування захворювань органів та тканин щелепно-лицевої ділянки»</w:t>
      </w:r>
      <w:r w:rsidR="00E24B74">
        <w:rPr>
          <w:rFonts w:ascii="Times New Roman" w:hAnsi="Times New Roman" w:cs="Times New Roman"/>
          <w:sz w:val="28"/>
          <w:szCs w:val="28"/>
          <w:lang w:val="uk-UA"/>
        </w:rPr>
        <w:t>, державний реєстраційний номер 0</w:t>
      </w:r>
      <w:r w:rsidR="00781ECF">
        <w:rPr>
          <w:rFonts w:ascii="Times New Roman" w:hAnsi="Times New Roman" w:cs="Times New Roman"/>
          <w:sz w:val="28"/>
          <w:szCs w:val="28"/>
          <w:lang w:val="uk-UA"/>
        </w:rPr>
        <w:t>113U002274, строк виконання 2013-2015</w:t>
      </w:r>
      <w:r w:rsidR="00E24B74">
        <w:rPr>
          <w:rFonts w:ascii="Times New Roman" w:hAnsi="Times New Roman" w:cs="Times New Roman"/>
          <w:sz w:val="28"/>
          <w:szCs w:val="28"/>
          <w:lang w:val="uk-UA"/>
        </w:rPr>
        <w:t>. Автор є виконавцем фрагменту вказаних тем.</w:t>
      </w:r>
    </w:p>
    <w:p w14:paraId="2F62CB5C" w14:textId="4D5B8C25" w:rsidR="00E24B74" w:rsidRPr="00A67D49" w:rsidRDefault="00E24B74" w:rsidP="00E84A69">
      <w:pPr>
        <w:spacing w:after="0" w:line="360" w:lineRule="auto"/>
        <w:ind w:firstLine="709"/>
        <w:jc w:val="both"/>
        <w:rPr>
          <w:rFonts w:ascii="Times New Roman" w:hAnsi="Times New Roman" w:cs="Times New Roman"/>
          <w:b/>
          <w:sz w:val="28"/>
          <w:szCs w:val="28"/>
          <w:lang w:val="uk-UA"/>
        </w:rPr>
      </w:pPr>
      <w:r w:rsidRPr="00A67D49">
        <w:rPr>
          <w:rFonts w:ascii="Times New Roman" w:hAnsi="Times New Roman" w:cs="Times New Roman"/>
          <w:b/>
          <w:sz w:val="28"/>
          <w:szCs w:val="28"/>
          <w:lang w:val="uk-UA"/>
        </w:rPr>
        <w:t>Мета і задачі дослідження</w:t>
      </w:r>
      <w:r w:rsidR="00907DEB" w:rsidRPr="00A67D49">
        <w:rPr>
          <w:rFonts w:ascii="Times New Roman" w:hAnsi="Times New Roman" w:cs="Times New Roman"/>
          <w:b/>
          <w:sz w:val="28"/>
          <w:szCs w:val="28"/>
          <w:lang w:val="uk-UA"/>
        </w:rPr>
        <w:t>.</w:t>
      </w:r>
    </w:p>
    <w:p w14:paraId="7E5B790E" w14:textId="0FA471BF" w:rsidR="00E24B74" w:rsidRDefault="004809C3"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роботи:</w:t>
      </w:r>
      <w:r w:rsidRPr="004809C3">
        <w:rPr>
          <w:rFonts w:ascii="Times New Roman" w:hAnsi="Times New Roman" w:cs="Times New Roman"/>
          <w:sz w:val="28"/>
          <w:szCs w:val="28"/>
          <w:lang w:val="uk-UA"/>
        </w:rPr>
        <w:t xml:space="preserve"> </w:t>
      </w:r>
      <w:r w:rsidR="003F1A45">
        <w:rPr>
          <w:rFonts w:ascii="Times New Roman" w:hAnsi="Times New Roman"/>
          <w:sz w:val="28"/>
          <w:szCs w:val="28"/>
          <w:lang w:val="uk-UA"/>
        </w:rPr>
        <w:t>розробка концептуально нової</w:t>
      </w:r>
      <w:r w:rsidR="003F1A45" w:rsidRPr="00DD39D0">
        <w:rPr>
          <w:rFonts w:ascii="Times New Roman" w:hAnsi="Times New Roman"/>
          <w:sz w:val="28"/>
          <w:szCs w:val="28"/>
          <w:lang w:val="uk-UA"/>
        </w:rPr>
        <w:t xml:space="preserve"> </w:t>
      </w:r>
      <w:r w:rsidR="003F1A45">
        <w:rPr>
          <w:rFonts w:ascii="Times New Roman" w:hAnsi="Times New Roman"/>
          <w:sz w:val="28"/>
          <w:szCs w:val="28"/>
          <w:lang w:val="uk-UA"/>
        </w:rPr>
        <w:t>програми лікування та профілактики</w:t>
      </w:r>
      <w:r w:rsidR="003F1A45"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w:t>
      </w:r>
      <w:r w:rsidR="003F1A45" w:rsidRPr="00DD39D0">
        <w:rPr>
          <w:rFonts w:ascii="Times New Roman" w:hAnsi="Times New Roman"/>
          <w:sz w:val="28"/>
          <w:szCs w:val="28"/>
          <w:lang w:val="uk-UA"/>
        </w:rPr>
        <w:lastRenderedPageBreak/>
        <w:t xml:space="preserve">біомаркерів ініціації </w:t>
      </w:r>
      <w:r w:rsidR="003F1A45">
        <w:rPr>
          <w:rFonts w:ascii="Times New Roman" w:hAnsi="Times New Roman"/>
          <w:sz w:val="28"/>
          <w:szCs w:val="28"/>
          <w:lang w:val="uk-UA"/>
        </w:rPr>
        <w:t xml:space="preserve">гінгівіту </w:t>
      </w:r>
      <w:r w:rsidR="003F1A45" w:rsidRPr="00DD39D0">
        <w:rPr>
          <w:rFonts w:ascii="Times New Roman" w:hAnsi="Times New Roman"/>
          <w:sz w:val="28"/>
          <w:szCs w:val="28"/>
          <w:lang w:val="uk-UA"/>
        </w:rPr>
        <w:t>та диференційованої корекції імунометаболічних ланок</w:t>
      </w:r>
      <w:r w:rsidR="003F1A45">
        <w:rPr>
          <w:rFonts w:ascii="Times New Roman" w:hAnsi="Times New Roman"/>
          <w:sz w:val="28"/>
          <w:szCs w:val="28"/>
          <w:lang w:val="uk-UA"/>
        </w:rPr>
        <w:t xml:space="preserve"> його</w:t>
      </w:r>
      <w:r w:rsidR="003F1A45" w:rsidRPr="00DD39D0">
        <w:rPr>
          <w:rFonts w:ascii="Times New Roman" w:hAnsi="Times New Roman"/>
          <w:sz w:val="28"/>
          <w:szCs w:val="28"/>
          <w:lang w:val="uk-UA"/>
        </w:rPr>
        <w:t xml:space="preserve"> патогенезу.</w:t>
      </w:r>
    </w:p>
    <w:p w14:paraId="54FEEB74" w14:textId="684C8F93" w:rsidR="00926E97" w:rsidRDefault="00926E97" w:rsidP="00E84A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вирішувалися наступні </w:t>
      </w:r>
      <w:r w:rsidRPr="0024434B">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14:paraId="34143CE1"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Вивчити показники клінічного стоматологічного статусу у дітей з гі</w:t>
      </w:r>
      <w:r>
        <w:rPr>
          <w:rFonts w:ascii="Times New Roman" w:hAnsi="Times New Roman"/>
          <w:sz w:val="28"/>
          <w:szCs w:val="28"/>
          <w:lang w:val="uk-UA"/>
        </w:rPr>
        <w:t>нгівітом та провідні</w:t>
      </w:r>
      <w:r w:rsidRPr="00DD39D0">
        <w:rPr>
          <w:rFonts w:ascii="Times New Roman" w:hAnsi="Times New Roman"/>
          <w:sz w:val="28"/>
          <w:szCs w:val="28"/>
          <w:lang w:val="uk-UA"/>
        </w:rPr>
        <w:t xml:space="preserve"> чинники розвитку гінгівіту у дітей на тлі атопічних захворювань</w:t>
      </w:r>
      <w:r>
        <w:rPr>
          <w:rFonts w:ascii="Times New Roman" w:hAnsi="Times New Roman"/>
          <w:sz w:val="28"/>
          <w:szCs w:val="28"/>
          <w:lang w:val="uk-UA"/>
        </w:rPr>
        <w:t>.</w:t>
      </w:r>
    </w:p>
    <w:p w14:paraId="077041B5"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Провести моделювання атопічного</w:t>
      </w:r>
      <w:r w:rsidRPr="0024773D">
        <w:rPr>
          <w:rFonts w:ascii="Times New Roman" w:hAnsi="Times New Roman"/>
          <w:sz w:val="28"/>
          <w:szCs w:val="28"/>
          <w:lang w:val="uk-UA"/>
        </w:rPr>
        <w:t xml:space="preserve"> стан</w:t>
      </w:r>
      <w:r>
        <w:rPr>
          <w:rFonts w:ascii="Times New Roman" w:hAnsi="Times New Roman"/>
          <w:sz w:val="28"/>
          <w:szCs w:val="28"/>
          <w:lang w:val="uk-UA"/>
        </w:rPr>
        <w:t>у</w:t>
      </w:r>
      <w:r w:rsidRPr="0024773D">
        <w:rPr>
          <w:rFonts w:ascii="Times New Roman" w:hAnsi="Times New Roman"/>
          <w:sz w:val="28"/>
          <w:szCs w:val="28"/>
          <w:lang w:val="uk-UA"/>
        </w:rPr>
        <w:t xml:space="preserve"> на експериментальних тваринах для дослідження тканинних змін у пародонті та вивчення впливу запропонованих методів профілактики та лікування</w:t>
      </w:r>
      <w:r>
        <w:rPr>
          <w:rFonts w:ascii="Times New Roman" w:hAnsi="Times New Roman"/>
          <w:sz w:val="28"/>
          <w:szCs w:val="28"/>
          <w:lang w:val="uk-UA"/>
        </w:rPr>
        <w:t xml:space="preserve"> запальних захворювань пародонту.</w:t>
      </w:r>
    </w:p>
    <w:p w14:paraId="7895788B"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Запропонувати скринінгові методи діагностики захворювань пародонту у дітей на тлі атопічних захворювань на основі побудови прогностичної моделі методом регресійного аналізу даних клінічних, імунологічних та біохімічних досліджень ротової рідини</w:t>
      </w:r>
      <w:r>
        <w:rPr>
          <w:rFonts w:ascii="Times New Roman" w:hAnsi="Times New Roman"/>
          <w:sz w:val="28"/>
          <w:szCs w:val="28"/>
          <w:lang w:val="uk-UA"/>
        </w:rPr>
        <w:t>.</w:t>
      </w:r>
    </w:p>
    <w:p w14:paraId="193E6AC1"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Виділити прогностичні біомаркери ініціації гінгівіту у пародонтологічно здорових дітей на основі дослідження ротової рідини</w:t>
      </w:r>
    </w:p>
    <w:p w14:paraId="0A922424"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ru-RU"/>
        </w:rPr>
        <w:t>Провести обстеження дітей з атопічними захворюваннями з метою виявлення факторів ризику та предикторів розвитку стоматологічних захворювань</w:t>
      </w:r>
      <w:r>
        <w:rPr>
          <w:rFonts w:ascii="Times New Roman" w:hAnsi="Times New Roman"/>
          <w:sz w:val="28"/>
          <w:szCs w:val="28"/>
          <w:lang w:val="ru-RU"/>
        </w:rPr>
        <w:t>.</w:t>
      </w:r>
    </w:p>
    <w:p w14:paraId="23812B22" w14:textId="77777777" w:rsidR="003F1A45" w:rsidRPr="00DD39D0" w:rsidRDefault="003F1A45" w:rsidP="003F1A45">
      <w:pPr>
        <w:numPr>
          <w:ilvl w:val="1"/>
          <w:numId w:val="1"/>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Розробити та обґрунтувати</w:t>
      </w:r>
      <w:r>
        <w:rPr>
          <w:rFonts w:ascii="Times New Roman" w:hAnsi="Times New Roman"/>
          <w:sz w:val="28"/>
          <w:szCs w:val="28"/>
          <w:lang w:val="uk-UA"/>
        </w:rPr>
        <w:t xml:space="preserve"> диференційовані</w:t>
      </w:r>
      <w:r w:rsidRPr="00DD39D0">
        <w:rPr>
          <w:rFonts w:ascii="Times New Roman" w:hAnsi="Times New Roman"/>
          <w:sz w:val="28"/>
          <w:szCs w:val="28"/>
          <w:lang w:val="uk-UA"/>
        </w:rPr>
        <w:t xml:space="preserve"> л</w:t>
      </w:r>
      <w:r>
        <w:rPr>
          <w:rFonts w:ascii="Times New Roman" w:hAnsi="Times New Roman"/>
          <w:sz w:val="28"/>
          <w:szCs w:val="28"/>
          <w:lang w:val="uk-UA"/>
        </w:rPr>
        <w:t>ікувально-профілактичні заходи</w:t>
      </w:r>
      <w:r w:rsidRPr="00DD39D0">
        <w:rPr>
          <w:rFonts w:ascii="Times New Roman" w:hAnsi="Times New Roman"/>
          <w:sz w:val="28"/>
          <w:szCs w:val="28"/>
          <w:lang w:val="uk-UA"/>
        </w:rPr>
        <w:t xml:space="preserve"> на основі патогенетичної корекції імунологічного статусу та корекції антиоксидантного дисбалансу у дітей на тлі атопічних захворювань</w:t>
      </w:r>
      <w:r>
        <w:rPr>
          <w:rFonts w:ascii="Times New Roman" w:hAnsi="Times New Roman"/>
          <w:sz w:val="28"/>
          <w:szCs w:val="28"/>
          <w:lang w:val="uk-UA"/>
        </w:rPr>
        <w:t>.</w:t>
      </w:r>
    </w:p>
    <w:p w14:paraId="1BCC5FF8" w14:textId="36AFC484" w:rsidR="00324708" w:rsidRPr="006124BB" w:rsidRDefault="003F1A45" w:rsidP="003F1A45">
      <w:pPr>
        <w:numPr>
          <w:ilvl w:val="1"/>
          <w:numId w:val="1"/>
        </w:numPr>
        <w:spacing w:after="0" w:line="360" w:lineRule="auto"/>
        <w:jc w:val="both"/>
        <w:rPr>
          <w:rFonts w:ascii="Times New Roman" w:hAnsi="Times New Roman" w:cs="Times New Roman"/>
          <w:sz w:val="28"/>
          <w:szCs w:val="28"/>
          <w:lang w:val="uk-UA"/>
        </w:rPr>
      </w:pPr>
      <w:r w:rsidRPr="00DD39D0">
        <w:rPr>
          <w:rFonts w:ascii="Times New Roman" w:hAnsi="Times New Roman"/>
          <w:sz w:val="28"/>
          <w:szCs w:val="28"/>
          <w:lang w:val="uk-UA"/>
        </w:rPr>
        <w:t xml:space="preserve">Обґрунтувати, впровадити та оцінити ефективність використання концептуально нової </w:t>
      </w:r>
      <w:r>
        <w:rPr>
          <w:rFonts w:ascii="Times New Roman" w:hAnsi="Times New Roman"/>
          <w:sz w:val="28"/>
          <w:szCs w:val="28"/>
          <w:lang w:val="uk-UA"/>
        </w:rPr>
        <w:t>програми</w:t>
      </w:r>
      <w:r w:rsidRPr="00DD39D0">
        <w:rPr>
          <w:rFonts w:ascii="Times New Roman" w:hAnsi="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r w:rsidR="0024434B">
        <w:rPr>
          <w:rFonts w:ascii="Times New Roman" w:hAnsi="Times New Roman"/>
          <w:sz w:val="28"/>
          <w:szCs w:val="28"/>
          <w:lang w:val="uk-UA"/>
        </w:rPr>
        <w:t>.</w:t>
      </w:r>
    </w:p>
    <w:p w14:paraId="5C105434" w14:textId="4EF624FF" w:rsidR="00324708" w:rsidRDefault="00324708" w:rsidP="003247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00D725BD">
        <w:rPr>
          <w:rFonts w:ascii="Times New Roman" w:hAnsi="Times New Roman" w:cs="Times New Roman"/>
          <w:sz w:val="28"/>
          <w:szCs w:val="28"/>
          <w:lang w:val="uk-UA"/>
        </w:rPr>
        <w:t>’</w:t>
      </w:r>
      <w:r>
        <w:rPr>
          <w:rFonts w:ascii="Times New Roman" w:hAnsi="Times New Roman" w:cs="Times New Roman"/>
          <w:sz w:val="28"/>
          <w:szCs w:val="28"/>
          <w:lang w:val="uk-UA"/>
        </w:rPr>
        <w:t xml:space="preserve">єкт дослідження: </w:t>
      </w:r>
      <w:r w:rsidR="003F1A45" w:rsidRPr="00DD39D0">
        <w:rPr>
          <w:rFonts w:ascii="Times New Roman" w:hAnsi="Times New Roman"/>
          <w:sz w:val="28"/>
          <w:szCs w:val="28"/>
          <w:lang w:val="uk-UA"/>
        </w:rPr>
        <w:t>запальні захворювання пародонту у діт</w:t>
      </w:r>
      <w:r w:rsidR="003F1A45">
        <w:rPr>
          <w:rFonts w:ascii="Times New Roman" w:hAnsi="Times New Roman"/>
          <w:sz w:val="28"/>
          <w:szCs w:val="28"/>
          <w:lang w:val="uk-UA"/>
        </w:rPr>
        <w:t>ей на тлі атопічних захворювань.</w:t>
      </w:r>
    </w:p>
    <w:p w14:paraId="1A0CC4BF" w14:textId="6C5BBDA9" w:rsidR="00324708" w:rsidRDefault="00324708" w:rsidP="003247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Предмет дослідження: </w:t>
      </w:r>
      <w:r w:rsidR="003F1A45" w:rsidRPr="00DD39D0">
        <w:rPr>
          <w:rFonts w:ascii="Times New Roman" w:hAnsi="Times New Roman"/>
          <w:sz w:val="28"/>
          <w:szCs w:val="28"/>
          <w:lang w:val="uk-UA"/>
        </w:rPr>
        <w:t xml:space="preserve">клінічний стоматологічний статус, імунометаболічні властивості ротової рідини, букальний епітей </w:t>
      </w:r>
      <w:r w:rsidR="003F1A45">
        <w:rPr>
          <w:rFonts w:ascii="Times New Roman" w:hAnsi="Times New Roman"/>
          <w:sz w:val="28"/>
          <w:szCs w:val="28"/>
          <w:lang w:val="uk-UA"/>
        </w:rPr>
        <w:t xml:space="preserve">у дітей на тлі атопічних захворювань </w:t>
      </w:r>
      <w:r w:rsidR="003F1A45" w:rsidRPr="00DD39D0">
        <w:rPr>
          <w:rFonts w:ascii="Times New Roman" w:hAnsi="Times New Roman"/>
          <w:sz w:val="28"/>
          <w:szCs w:val="28"/>
          <w:lang w:val="uk-UA"/>
        </w:rPr>
        <w:t>до та після використання розроблених лі</w:t>
      </w:r>
      <w:r w:rsidR="003F1A45">
        <w:rPr>
          <w:rFonts w:ascii="Times New Roman" w:hAnsi="Times New Roman"/>
          <w:sz w:val="28"/>
          <w:szCs w:val="28"/>
          <w:lang w:val="uk-UA"/>
        </w:rPr>
        <w:t>кувально-профілактичних заходів</w:t>
      </w:r>
      <w:r w:rsidR="00217E81">
        <w:rPr>
          <w:rFonts w:ascii="Times New Roman" w:hAnsi="Times New Roman" w:cs="Times New Roman"/>
          <w:sz w:val="28"/>
          <w:szCs w:val="28"/>
          <w:lang w:val="uk-UA"/>
        </w:rPr>
        <w:t>.</w:t>
      </w:r>
    </w:p>
    <w:p w14:paraId="7716B669" w14:textId="5D2C3D41" w:rsidR="00217E81" w:rsidRDefault="00217E81" w:rsidP="00AC5AD6">
      <w:pPr>
        <w:spacing w:after="0" w:line="360" w:lineRule="auto"/>
        <w:ind w:firstLine="709"/>
        <w:jc w:val="both"/>
        <w:rPr>
          <w:rFonts w:ascii="Times New Roman" w:hAnsi="Times New Roman" w:cs="Times New Roman"/>
          <w:sz w:val="28"/>
          <w:szCs w:val="28"/>
          <w:lang w:val="uk-UA"/>
        </w:rPr>
      </w:pPr>
      <w:r w:rsidRPr="005166D2">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w:t>
      </w:r>
      <w:r w:rsidR="003F1A45" w:rsidRPr="00DD39D0">
        <w:rPr>
          <w:rFonts w:ascii="Times New Roman" w:hAnsi="Times New Roman"/>
          <w:sz w:val="28"/>
          <w:szCs w:val="28"/>
          <w:lang w:val="uk-UA"/>
        </w:rPr>
        <w:t>: клінічні - визначення стану гігієни порожнини рота, ступеню запалення т</w:t>
      </w:r>
      <w:r w:rsidR="00AE67C2">
        <w:rPr>
          <w:rFonts w:ascii="Times New Roman" w:hAnsi="Times New Roman"/>
          <w:sz w:val="28"/>
          <w:szCs w:val="28"/>
          <w:lang w:val="uk-UA"/>
        </w:rPr>
        <w:t>канин пародонту, рівень муцину в</w:t>
      </w:r>
      <w:r w:rsidR="003F1A45" w:rsidRPr="00DD39D0">
        <w:rPr>
          <w:rFonts w:ascii="Times New Roman" w:hAnsi="Times New Roman"/>
          <w:sz w:val="28"/>
          <w:szCs w:val="28"/>
          <w:lang w:val="uk-UA"/>
        </w:rPr>
        <w:t xml:space="preserve"> ротовій рідині, кислотність ротової рідини; експериментальні – </w:t>
      </w:r>
      <w:r w:rsidR="003F1A45">
        <w:rPr>
          <w:rFonts w:ascii="Times New Roman" w:hAnsi="Times New Roman"/>
          <w:sz w:val="28"/>
          <w:szCs w:val="28"/>
          <w:lang w:val="uk-UA"/>
        </w:rPr>
        <w:t>в</w:t>
      </w:r>
      <w:r w:rsidR="003F1A45" w:rsidRPr="0024773D">
        <w:rPr>
          <w:rFonts w:ascii="Times New Roman" w:hAnsi="Times New Roman"/>
          <w:sz w:val="28"/>
          <w:szCs w:val="28"/>
          <w:lang w:val="uk-UA"/>
        </w:rPr>
        <w:t>изначення морфологічних, гістологічних, імуногістохімічних змін тканин ротової порожнини при атопії</w:t>
      </w:r>
      <w:r w:rsidR="003F1A45" w:rsidRPr="00DD39D0">
        <w:rPr>
          <w:rFonts w:ascii="Times New Roman" w:hAnsi="Times New Roman"/>
          <w:sz w:val="28"/>
          <w:szCs w:val="28"/>
          <w:lang w:val="uk-UA"/>
        </w:rPr>
        <w:t>;</w:t>
      </w:r>
      <w:r w:rsidR="003F1A45">
        <w:rPr>
          <w:rFonts w:ascii="Times New Roman" w:hAnsi="Times New Roman"/>
          <w:sz w:val="28"/>
          <w:szCs w:val="28"/>
          <w:lang w:val="uk-UA"/>
        </w:rPr>
        <w:t xml:space="preserve"> клініко-лабораторні – визначен</w:t>
      </w:r>
      <w:r w:rsidR="003F1A45" w:rsidRPr="00DD39D0">
        <w:rPr>
          <w:rFonts w:ascii="Times New Roman" w:hAnsi="Times New Roman"/>
          <w:sz w:val="28"/>
          <w:szCs w:val="28"/>
          <w:lang w:val="uk-UA"/>
        </w:rPr>
        <w:t xml:space="preserve">ня рівнів каталази, супероксиддисмутази, малонового диальдегіду, відновленого глутатіону, уреази, лізоциму, імуноглобулінів класу А, </w:t>
      </w:r>
      <w:r w:rsidR="003F1A45" w:rsidRPr="00DD39D0">
        <w:rPr>
          <w:rFonts w:ascii="Times New Roman" w:hAnsi="Times New Roman"/>
          <w:sz w:val="28"/>
          <w:szCs w:val="28"/>
        </w:rPr>
        <w:t>G</w:t>
      </w:r>
      <w:r w:rsidR="003F1A45" w:rsidRPr="00DD39D0">
        <w:rPr>
          <w:rFonts w:ascii="Times New Roman" w:hAnsi="Times New Roman"/>
          <w:sz w:val="28"/>
          <w:szCs w:val="28"/>
          <w:lang w:val="uk-UA"/>
        </w:rPr>
        <w:t xml:space="preserve">, M у ротовій рідині; генетичні – дослідження поліморфізму генів </w:t>
      </w:r>
      <w:r w:rsidR="003F1A45" w:rsidRPr="00DD39D0">
        <w:rPr>
          <w:rFonts w:ascii="Times New Roman" w:hAnsi="Times New Roman"/>
          <w:sz w:val="28"/>
          <w:szCs w:val="28"/>
        </w:rPr>
        <w:t>MUC</w:t>
      </w:r>
      <w:r w:rsidR="003F1A45" w:rsidRPr="00DD39D0">
        <w:rPr>
          <w:rFonts w:ascii="Times New Roman" w:hAnsi="Times New Roman"/>
          <w:sz w:val="28"/>
          <w:szCs w:val="28"/>
          <w:lang w:val="uk-UA"/>
        </w:rPr>
        <w:t>5</w:t>
      </w:r>
      <w:r w:rsidR="003F1A45" w:rsidRPr="00DD39D0">
        <w:rPr>
          <w:rFonts w:ascii="Times New Roman" w:hAnsi="Times New Roman"/>
          <w:sz w:val="28"/>
          <w:szCs w:val="28"/>
        </w:rPr>
        <w:t>B</w:t>
      </w:r>
      <w:r w:rsidR="003F1A45">
        <w:rPr>
          <w:rFonts w:ascii="Times New Roman" w:hAnsi="Times New Roman"/>
          <w:sz w:val="28"/>
          <w:szCs w:val="28"/>
          <w:lang w:val="uk-UA"/>
        </w:rPr>
        <w:t>,</w:t>
      </w:r>
      <w:r w:rsidR="003F1A45" w:rsidRPr="00DD39D0">
        <w:rPr>
          <w:rFonts w:ascii="Times New Roman" w:hAnsi="Times New Roman"/>
          <w:sz w:val="28"/>
          <w:szCs w:val="28"/>
          <w:lang w:val="uk-UA"/>
        </w:rPr>
        <w:t xml:space="preserve"> rs1801270, rs1800896 у дітей з атопічними захворюваннями; цитоморфологічні – дослідження клітин букального епітелію; клініко-статистичні – </w:t>
      </w:r>
      <w:r w:rsidR="0024434B">
        <w:rPr>
          <w:rFonts w:ascii="Times New Roman" w:hAnsi="Times New Roman"/>
          <w:sz w:val="28"/>
          <w:szCs w:val="28"/>
          <w:lang w:val="uk-UA"/>
        </w:rPr>
        <w:t>визначення достовірних відмінностей між групами,</w:t>
      </w:r>
      <w:r w:rsidR="0024434B" w:rsidRPr="00DD39D0">
        <w:rPr>
          <w:rFonts w:ascii="Times New Roman" w:hAnsi="Times New Roman"/>
          <w:sz w:val="28"/>
          <w:szCs w:val="28"/>
          <w:lang w:val="uk-UA"/>
        </w:rPr>
        <w:t xml:space="preserve"> </w:t>
      </w:r>
      <w:r w:rsidR="003F1A45" w:rsidRPr="00DD39D0">
        <w:rPr>
          <w:rFonts w:ascii="Times New Roman" w:hAnsi="Times New Roman"/>
          <w:sz w:val="28"/>
          <w:szCs w:val="28"/>
          <w:lang w:val="uk-UA"/>
        </w:rPr>
        <w:t>регресійний аналіз залежності клінічних та імунометаболічних показників.</w:t>
      </w:r>
    </w:p>
    <w:p w14:paraId="24392AC8" w14:textId="77777777" w:rsidR="0024434B" w:rsidRPr="0024434B" w:rsidRDefault="000C6322" w:rsidP="0024434B">
      <w:pPr>
        <w:spacing w:after="0" w:line="360" w:lineRule="auto"/>
        <w:ind w:firstLine="709"/>
        <w:jc w:val="both"/>
        <w:rPr>
          <w:rFonts w:ascii="Times New Roman" w:hAnsi="Times New Roman"/>
          <w:sz w:val="28"/>
          <w:szCs w:val="28"/>
          <w:lang w:val="uk-UA"/>
        </w:rPr>
      </w:pPr>
      <w:r w:rsidRPr="005166D2">
        <w:rPr>
          <w:rFonts w:ascii="Times New Roman" w:hAnsi="Times New Roman" w:cs="Times New Roman"/>
          <w:b/>
          <w:sz w:val="28"/>
          <w:szCs w:val="28"/>
          <w:lang w:val="uk-UA"/>
        </w:rPr>
        <w:t>Наукова новизна дослідження.</w:t>
      </w:r>
      <w:r>
        <w:rPr>
          <w:rFonts w:ascii="Times New Roman" w:hAnsi="Times New Roman" w:cs="Times New Roman"/>
          <w:sz w:val="28"/>
          <w:szCs w:val="28"/>
          <w:lang w:val="uk-UA"/>
        </w:rPr>
        <w:t xml:space="preserve"> </w:t>
      </w:r>
      <w:r w:rsidR="0024434B" w:rsidRPr="0024434B">
        <w:rPr>
          <w:rFonts w:ascii="Times New Roman" w:hAnsi="Times New Roman"/>
          <w:sz w:val="28"/>
          <w:szCs w:val="28"/>
          <w:lang w:val="uk-UA"/>
        </w:rPr>
        <w:t>Вперше вирішено проблему прогнозу, ранньої діагностики, профілактики та лікування гінгівіту у дітей на тлі атопічних захворювань, що досягнуто за рахунок комплексного дослідження клінічного, імунологічного та антиоксидантного статусу даного контингенту та регресійного аналізу отриманих даних.</w:t>
      </w:r>
    </w:p>
    <w:p w14:paraId="402B04B0"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описані морфологічні зміни в тканинах слизової оболонки ротової порожнини при експериментальному моделюванні атопії на тваринах з розвитком запальних, дистрофічних, дисциркуляторних процесів, метаболічних розладів, що може служити обґрунтуванням для подальшого ретельного вивчення маркерів імунометаболічного дисбалансу та розробки профілактичних заходів у хворих на атопічні захворювання, заснованими на корекції антиоксидантного дисбалансу. 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 при моделюванні атопії.</w:t>
      </w:r>
    </w:p>
    <w:p w14:paraId="4D5F9919" w14:textId="628FF07A"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lastRenderedPageBreak/>
        <w:t>Вперше отримано дані комплексного клінічного та імунометаболічного статусу дітей, хворих на атопічні захворювання, на етапі виражених клінічних проявів хронічного гінгівіту та на стадії передхвороби. Встановлено, що рівень запалення тканин пародонту у дітей з атопією відповідає в середньому 2.11 ± 0.22 балам згідно з індексом SBI, стан гігієни ротової порожнини 1.54 ± 0.42 бали за індексом OHI-S, рівень муцину 5.76 ± 0.82 г/л. Вперше проаналізовано динаміку змін ступеню запалення тканин пародонту за індексами РМА та SBI в аспекті їх взаємозв’язку з показниками імунного статусу та стану антиоксидантної системи. Вперше встановлено, що у групі пацієнтів з атопічними захворюваннями при мінімальних значеннях показників, що характеризують запалення у тканинах пародонту, а саме 0,49 ± 0,22 балів за індексом SBI, вже спостерігається імунометаболічний дисбаланс, визначений у ротовій рідині, а саме: СОД дорівнює 3.27 ± 0.40 у.о./л, відновлений глутатіон 2.69 ± 0.56 ммоль/л, sIgA 75.41 ± 9.04 мг/л, що дає змогу визначити стадію передхвороби у даного контингенту дітей. Встановлено, що незалежно від рівня запалення, спостерігається зниження рівня імуноглобулінів класу А, G, М та зниження активності СОД, зростання концентрації МДА, зн</w:t>
      </w:r>
      <w:r w:rsidR="00637D44">
        <w:rPr>
          <w:rFonts w:ascii="Times New Roman" w:hAnsi="Times New Roman"/>
          <w:sz w:val="28"/>
          <w:szCs w:val="28"/>
          <w:lang w:val="uk-UA"/>
        </w:rPr>
        <w:t>иження</w:t>
      </w:r>
      <w:r w:rsidRPr="0024434B">
        <w:rPr>
          <w:rFonts w:ascii="Times New Roman" w:hAnsi="Times New Roman"/>
          <w:sz w:val="28"/>
          <w:szCs w:val="28"/>
          <w:lang w:val="uk-UA"/>
        </w:rPr>
        <w:t xml:space="preserve"> вміст</w:t>
      </w:r>
      <w:r w:rsidR="00637D44">
        <w:rPr>
          <w:rFonts w:ascii="Times New Roman" w:hAnsi="Times New Roman"/>
          <w:sz w:val="28"/>
          <w:szCs w:val="28"/>
          <w:lang w:val="uk-UA"/>
        </w:rPr>
        <w:t>у</w:t>
      </w:r>
      <w:r w:rsidRPr="0024434B">
        <w:rPr>
          <w:rFonts w:ascii="Times New Roman" w:hAnsi="Times New Roman"/>
          <w:sz w:val="28"/>
          <w:szCs w:val="28"/>
          <w:lang w:val="uk-UA"/>
        </w:rPr>
        <w:t xml:space="preserve"> каталази та глутатіону.</w:t>
      </w:r>
    </w:p>
    <w:p w14:paraId="678120A8" w14:textId="500BB85F"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виявлено найбільш інформативні неінвазивні діагностичні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Вперше встановлено, що коефіцієнт детермінації залежності рівню запалення тканин пародонту (за індексом SBI) від рівня секреторного імуноглобуліну А дорівнює 87 %, від рівня імуноглобуліну G – 82 %. Вперше встановлено, що коефіціє</w:t>
      </w:r>
      <w:r w:rsidR="00637D44">
        <w:rPr>
          <w:rFonts w:ascii="Times New Roman" w:hAnsi="Times New Roman"/>
          <w:sz w:val="28"/>
          <w:szCs w:val="28"/>
          <w:lang w:val="uk-UA"/>
        </w:rPr>
        <w:t>нт детермінації залежності рівня</w:t>
      </w:r>
      <w:r w:rsidRPr="0024434B">
        <w:rPr>
          <w:rFonts w:ascii="Times New Roman" w:hAnsi="Times New Roman"/>
          <w:sz w:val="28"/>
          <w:szCs w:val="28"/>
          <w:lang w:val="uk-UA"/>
        </w:rPr>
        <w:t xml:space="preserve"> запалення тканин пародонту (за індексом РМА) від рівня імуноглобуліну А дорівнює 76 %. Залежність ступеню запалення ясен</w:t>
      </w:r>
      <w:r w:rsidR="00637D44">
        <w:rPr>
          <w:rFonts w:ascii="Times New Roman" w:hAnsi="Times New Roman"/>
          <w:sz w:val="28"/>
          <w:szCs w:val="28"/>
          <w:lang w:val="uk-UA"/>
        </w:rPr>
        <w:t xml:space="preserve"> за індексом РМА від зміни рівня</w:t>
      </w:r>
      <w:r w:rsidRPr="0024434B">
        <w:rPr>
          <w:rFonts w:ascii="Times New Roman" w:hAnsi="Times New Roman"/>
          <w:sz w:val="28"/>
          <w:szCs w:val="28"/>
          <w:lang w:val="uk-UA"/>
        </w:rPr>
        <w:t xml:space="preserve"> імуноглобуліну M не є значимою, оскільки визначений коефіцієнт детермінації 68%. Вперше визначено, що найбільш інформативним біомаркером, який характеризує антиоксидантний статус та дає </w:t>
      </w:r>
      <w:r w:rsidRPr="0024434B">
        <w:rPr>
          <w:rFonts w:ascii="Times New Roman" w:hAnsi="Times New Roman"/>
          <w:sz w:val="28"/>
          <w:szCs w:val="28"/>
          <w:lang w:val="uk-UA"/>
        </w:rPr>
        <w:lastRenderedPageBreak/>
        <w:t>змогу прогнозувати ступінь запалення тканин пародонту є рівень відновленого глутатіону у ротовій рідині, коефіцієнт детермінації складає 91%.</w:t>
      </w:r>
    </w:p>
    <w:p w14:paraId="5FCEBF4C"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побудовано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Вперше побудовано рівняння лінійної регресії, за допомогою якого можливе цифрове визначення прогностичних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РМА від рівню імуноглобуліну А, які дорівнюють мінус 1,63 та 10,85; за рівнем індексу кровоточивості залежність від рівню секреторного імуноглобуліну А - мінус 88,7 та 50,6; від рівню імуноглобуліну G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 мінус 2.49 та 40.97.</w:t>
      </w:r>
    </w:p>
    <w:p w14:paraId="198DA087"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Дістала подальшого розвитку концепція етіології та патогенезу хронічного гінгівіту у дітей з атопічними захворюваннями завдяки виявленню факторів ініціації запального процесу та отриманим даним першочергової залежності ступеню запалення тканин пародонту від гомеостазу ротової рідини, яка забезпечується та характеризується станом імунної системи та прооксидантно-антиоксиданого балансу.</w:t>
      </w:r>
    </w:p>
    <w:p w14:paraId="69540D51" w14:textId="44E13A98"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Отримані нові наукові дані інформативності експрес-методу оцінювання функціонального стану організму та наявності стрес-клітин</w:t>
      </w:r>
      <w:r w:rsidR="00637D44">
        <w:rPr>
          <w:rFonts w:ascii="Times New Roman" w:hAnsi="Times New Roman"/>
          <w:sz w:val="28"/>
          <w:szCs w:val="28"/>
          <w:lang w:val="uk-UA"/>
        </w:rPr>
        <w:t xml:space="preserve"> за допомогою визначення ступеня</w:t>
      </w:r>
      <w:r w:rsidRPr="0024434B">
        <w:rPr>
          <w:rFonts w:ascii="Times New Roman" w:hAnsi="Times New Roman"/>
          <w:sz w:val="28"/>
          <w:szCs w:val="28"/>
          <w:lang w:val="uk-UA"/>
        </w:rPr>
        <w:t xml:space="preserve"> конденсації хроматину у клітинах букального епітелію дітей, хворих на атопічні захворювання.</w:t>
      </w:r>
    </w:p>
    <w:p w14:paraId="588FD80E"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Отримано нові наукові дані про зміни властивостей ротової рідини дітей, хворих на атопічні захворювання та соматично здорових дітей, які є специфічними факторами ризику розвитку запальних захворювань пародонту. Визначено, що атопічні захворювання впливають на гомеостаз ротової рідини, що призводить до підвищення рівня кислотності та підвищення вмісту муцину у ротовій рідині дітей, хворих на атопічні захворювання.</w:t>
      </w:r>
    </w:p>
    <w:p w14:paraId="2160860D" w14:textId="77777777" w:rsidR="0024434B" w:rsidRPr="0024434B"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lastRenderedPageBreak/>
        <w:t>Вперше розроблений та патогенетично обґрунтований індивідуалізований комплекс заходів, спрямований на профілактику та лікування хронічного гінгівіту, на основі корекції імунологічного статусу та корекції антиоксидантного дисбалансу у дітей на тлі атопічних захворювань.</w:t>
      </w:r>
    </w:p>
    <w:p w14:paraId="0B21C9B9" w14:textId="0F0368F5" w:rsidR="003F1A45" w:rsidRDefault="0024434B" w:rsidP="0024434B">
      <w:pPr>
        <w:spacing w:after="0" w:line="360" w:lineRule="auto"/>
        <w:ind w:firstLine="709"/>
        <w:jc w:val="both"/>
        <w:rPr>
          <w:rFonts w:ascii="Times New Roman" w:hAnsi="Times New Roman"/>
          <w:sz w:val="28"/>
          <w:szCs w:val="28"/>
          <w:lang w:val="uk-UA"/>
        </w:rPr>
      </w:pPr>
      <w:r w:rsidRPr="0024434B">
        <w:rPr>
          <w:rFonts w:ascii="Times New Roman" w:hAnsi="Times New Roman"/>
          <w:sz w:val="28"/>
          <w:szCs w:val="28"/>
          <w:lang w:val="uk-UA"/>
        </w:rPr>
        <w:t>Вперше проведене комплексне клініко-лабораторне оцінювання ефективності використання концептуально нової програми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14:paraId="50C34366" w14:textId="5AAE3E83" w:rsidR="0024434B" w:rsidRPr="0024434B" w:rsidRDefault="00700B4C" w:rsidP="00244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w:t>
      </w:r>
      <w:r w:rsidR="00821228" w:rsidRPr="00821228">
        <w:rPr>
          <w:rFonts w:ascii="Times New Roman" w:hAnsi="Times New Roman" w:cs="Times New Roman"/>
          <w:b/>
          <w:sz w:val="28"/>
          <w:szCs w:val="28"/>
          <w:lang w:val="uk-UA"/>
        </w:rPr>
        <w:t xml:space="preserve"> значення отриманих результатів</w:t>
      </w:r>
      <w:r w:rsidR="002F00A8" w:rsidRPr="00821228">
        <w:rPr>
          <w:rFonts w:ascii="Times New Roman" w:hAnsi="Times New Roman" w:cs="Times New Roman"/>
          <w:b/>
          <w:sz w:val="28"/>
          <w:szCs w:val="28"/>
          <w:lang w:val="uk-UA"/>
        </w:rPr>
        <w:t>.</w:t>
      </w:r>
      <w:r w:rsidR="002F00A8">
        <w:rPr>
          <w:rFonts w:ascii="Times New Roman" w:hAnsi="Times New Roman" w:cs="Times New Roman"/>
          <w:sz w:val="28"/>
          <w:szCs w:val="28"/>
          <w:lang w:val="uk-UA"/>
        </w:rPr>
        <w:t xml:space="preserve"> </w:t>
      </w:r>
      <w:r w:rsidR="0024434B" w:rsidRPr="0024434B">
        <w:rPr>
          <w:rFonts w:ascii="Times New Roman" w:hAnsi="Times New Roman" w:cs="Times New Roman"/>
          <w:sz w:val="28"/>
          <w:szCs w:val="28"/>
          <w:lang w:val="uk-UA"/>
        </w:rPr>
        <w:t xml:space="preserve">Створена та впроваджена індивідуалізована програма профілактики та лікування гінгівіту на основі корекції імунологічного статусу та антиоксидантного дисбалансу у дітей на тлі атопічних захворювань. </w:t>
      </w:r>
    </w:p>
    <w:p w14:paraId="6DFD76AB" w14:textId="77777777" w:rsidR="0024434B" w:rsidRPr="0024434B" w:rsidRDefault="0024434B" w:rsidP="0024434B">
      <w:pPr>
        <w:spacing w:after="0" w:line="360" w:lineRule="auto"/>
        <w:ind w:firstLine="709"/>
        <w:jc w:val="both"/>
        <w:rPr>
          <w:rFonts w:ascii="Times New Roman" w:hAnsi="Times New Roman" w:cs="Times New Roman"/>
          <w:sz w:val="28"/>
          <w:szCs w:val="28"/>
          <w:lang w:val="uk-UA"/>
        </w:rPr>
      </w:pPr>
      <w:r w:rsidRPr="0024434B">
        <w:rPr>
          <w:rFonts w:ascii="Times New Roman" w:hAnsi="Times New Roman" w:cs="Times New Roman"/>
          <w:sz w:val="28"/>
          <w:szCs w:val="28"/>
          <w:lang w:val="uk-UA"/>
        </w:rPr>
        <w:t xml:space="preserve">Практично значимим є визначення найбільш інформативних неінвазивних біомаркерів у ротовій рідині, які є предикторами запалення тканин пародонту та визначаються під час профілактичних оглядів та на доклінічній стадії розвитку хвороби. До таких біомаркерів належать рівні секреторного імуноглобуліну А та імуноглобуліну G, а також рівень глутатіону у ротовій рідині. Запропонована концептуально нова програма профілактики та лікування хронічного гінгівіту дозволяє виявляти гінгівіт на ранніх стадіях та не допустити прогресування гінгівіту у більш тяжкий ступінь або у пародонтит. </w:t>
      </w:r>
    </w:p>
    <w:p w14:paraId="77F5A3F6" w14:textId="2FBE7D6D" w:rsidR="003F1A45" w:rsidRDefault="0024434B" w:rsidP="0024434B">
      <w:pPr>
        <w:spacing w:after="0" w:line="360" w:lineRule="auto"/>
        <w:ind w:firstLine="709"/>
        <w:jc w:val="both"/>
        <w:rPr>
          <w:rFonts w:ascii="Times New Roman" w:hAnsi="Times New Roman" w:cs="Times New Roman"/>
          <w:sz w:val="28"/>
          <w:szCs w:val="28"/>
          <w:lang w:val="uk-UA"/>
        </w:rPr>
      </w:pPr>
      <w:r w:rsidRPr="0024434B">
        <w:rPr>
          <w:rFonts w:ascii="Times New Roman" w:hAnsi="Times New Roman" w:cs="Times New Roman"/>
          <w:sz w:val="28"/>
          <w:szCs w:val="28"/>
          <w:lang w:val="uk-UA"/>
        </w:rPr>
        <w:t xml:space="preserve">Результати дослідження впроваджені на різних рівнях медичної допомоги, зокрема у лікувально-діагностичний процес профільних стоматологічних відділень: КЗОЗ «Харківська міська стоматологічна поліклініка № 4», КЗОЗ «Харківська міська стоматологічна поліклініка №2», КЗОЗ «Харківська міська дитяча поліклініка № 23», Університетського стоматологічного центру Харківського національного медичного університету, ТОВ «Університетська стоматологічна поліклініка» м.Ужгород, в лікувальну діяльність кафедри дитячої терапевтичної стоматології та профілактики стоматологічних захворювань ПВНЗ «Київський медичний університет» Полтавської міської дитячої клінічної стоматологічної поліклініки, Стоматологічного медичного </w:t>
      </w:r>
      <w:r w:rsidRPr="0024434B">
        <w:rPr>
          <w:rFonts w:ascii="Times New Roman" w:hAnsi="Times New Roman" w:cs="Times New Roman"/>
          <w:sz w:val="28"/>
          <w:szCs w:val="28"/>
          <w:lang w:val="uk-UA"/>
        </w:rPr>
        <w:lastRenderedPageBreak/>
        <w:t>центру Львівського національного медичного університету ім. Д. Галицького, стоматологічного відділу КЗ ТОР «Тернопільська університетська лікарня» Тернопільського державного медичного університету ім.І.Я.Горбачевського, в діяльність Вінницького обласного патологоанатомічного бюро, Тернопільського обласного патологоанатомічного бюро, Одеського обласного патологоанатомічного бюро. Крім цього, результати дослідження впроваджені в учбовий процес на кафедрі стоматології дитячого віку Івано-Франківського національного медичного університету, на кафедрі дитячої терапевтичної стоматології з профілактикою стоматологічних захворювань та кафедрі дитячої стоматології ВДНЗУ «Українська медична стоматологічна академія», патологічної анатомії Сумського державного університету, дитячої терапевтичної стоматології та профілактики стоматологічних захворювань ПВНЗ «Київський медичний університет», на кафедрі дитячої стоматології ДВНЗ «Тернопільський державний медичний університет ім.І.Я. Горбачевського МОЗ України», ДВНЗ «Ужгородський національний університет» та Львівського національного медичного університету ім. Д. Галицького.</w:t>
      </w:r>
    </w:p>
    <w:p w14:paraId="1A52A43B" w14:textId="77777777" w:rsidR="003F1A45" w:rsidRPr="003F1A45" w:rsidRDefault="00C453C0" w:rsidP="003F1A45">
      <w:pPr>
        <w:spacing w:after="0" w:line="360" w:lineRule="auto"/>
        <w:ind w:firstLine="709"/>
        <w:jc w:val="both"/>
        <w:rPr>
          <w:rFonts w:ascii="Times New Roman" w:hAnsi="Times New Roman" w:cs="Times New Roman"/>
          <w:sz w:val="28"/>
          <w:szCs w:val="28"/>
          <w:lang w:val="uk-UA"/>
        </w:rPr>
      </w:pPr>
      <w:r w:rsidRPr="00C453C0">
        <w:rPr>
          <w:rFonts w:ascii="Times New Roman" w:hAnsi="Times New Roman" w:cs="Times New Roman"/>
          <w:b/>
          <w:sz w:val="28"/>
          <w:szCs w:val="28"/>
          <w:lang w:val="uk-UA"/>
        </w:rPr>
        <w:t>Особистий внесок здобувача.</w:t>
      </w:r>
      <w:r>
        <w:rPr>
          <w:rFonts w:ascii="Times New Roman" w:hAnsi="Times New Roman" w:cs="Times New Roman"/>
          <w:sz w:val="28"/>
          <w:szCs w:val="28"/>
          <w:lang w:val="uk-UA"/>
        </w:rPr>
        <w:t xml:space="preserve"> </w:t>
      </w:r>
      <w:r w:rsidR="003F1A45" w:rsidRPr="003F1A45">
        <w:rPr>
          <w:rFonts w:ascii="Times New Roman" w:hAnsi="Times New Roman" w:cs="Times New Roman"/>
          <w:sz w:val="28"/>
          <w:szCs w:val="28"/>
          <w:lang w:val="uk-UA"/>
        </w:rPr>
        <w:t xml:space="preserve">Дисертаційна робота є завершеним самостійним дослідженням. Автором на основі аналізу літературних даних та пріоритетних розробок у напрямі дослідження визначена та обґрунтована тема дослідження, сформульовано мету та його задачі, визначено методи діагностики, профілактики та лікування. Безпосередньо дослідником здійснено обстеження та лікування усіх тематичних пацієнтів згідно з розробленою концептуально новою програмою профілактики та лікування. Здобувачем особисто визначено перелік біомаркерів, які можуть бути застосовані для діагностики, профілактики та лікування хронічного гінгівіту у дітей на тлі атопічних захворювань. Первинний матеріал повністю зібраний дослідником, проведений аналіз, систематизація, а також статистично-прогностична обробка отриманих даних. На основі виконаних здобувачем клінічних та клініко-лабораторних досліджень автором написані усі розділи дисертаційної роботи. Здобувачем не були використані результати досліджень та ідеї співавторів публікацій. Автором особисто </w:t>
      </w:r>
      <w:r w:rsidR="003F1A45" w:rsidRPr="003F1A45">
        <w:rPr>
          <w:rFonts w:ascii="Times New Roman" w:hAnsi="Times New Roman" w:cs="Times New Roman"/>
          <w:sz w:val="28"/>
          <w:szCs w:val="28"/>
          <w:lang w:val="uk-UA"/>
        </w:rPr>
        <w:lastRenderedPageBreak/>
        <w:t>розроблена, обґрунтована та впроваджена концептуально нова модель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14:paraId="1CE512E7" w14:textId="7232CE9F" w:rsidR="00C453C0" w:rsidRPr="006C5EAD" w:rsidRDefault="003F1A45" w:rsidP="003F1A45">
      <w:pPr>
        <w:spacing w:after="0" w:line="360" w:lineRule="auto"/>
        <w:ind w:firstLine="709"/>
        <w:jc w:val="both"/>
        <w:rPr>
          <w:rFonts w:ascii="Times New Roman" w:hAnsi="Times New Roman" w:cs="Times New Roman"/>
          <w:sz w:val="28"/>
          <w:szCs w:val="28"/>
          <w:lang w:val="uk-UA"/>
        </w:rPr>
      </w:pPr>
      <w:r w:rsidRPr="003F1A45">
        <w:rPr>
          <w:rFonts w:ascii="Times New Roman" w:hAnsi="Times New Roman" w:cs="Times New Roman"/>
          <w:b/>
          <w:sz w:val="28"/>
          <w:szCs w:val="28"/>
          <w:lang w:val="uk-UA"/>
        </w:rPr>
        <w:t>Апробація результатів дослідження.</w:t>
      </w:r>
      <w:r w:rsidRPr="003F1A45">
        <w:rPr>
          <w:rFonts w:ascii="Times New Roman" w:hAnsi="Times New Roman" w:cs="Times New Roman"/>
          <w:sz w:val="28"/>
          <w:szCs w:val="28"/>
          <w:lang w:val="uk-UA"/>
        </w:rPr>
        <w:t xml:space="preserve"> </w:t>
      </w:r>
      <w:r w:rsidR="00D8093F" w:rsidRPr="00DD39D0">
        <w:rPr>
          <w:rFonts w:ascii="Times New Roman" w:hAnsi="Times New Roman"/>
          <w:sz w:val="28"/>
          <w:szCs w:val="28"/>
          <w:lang w:val="uk-UA"/>
        </w:rPr>
        <w:t xml:space="preserve">Результати досліджень висвітлені у доповідях на з’їздах, конгресах та науково-практичних конференціях та семінарах всесвітнього, міжнародного, національного та регіонального рівнів, зокрема: </w:t>
      </w:r>
      <w:r w:rsidR="00D8093F" w:rsidRPr="00706628">
        <w:rPr>
          <w:rFonts w:ascii="Times New Roman" w:hAnsi="Times New Roman"/>
          <w:sz w:val="28"/>
          <w:szCs w:val="28"/>
          <w:lang w:val="uk-UA"/>
        </w:rPr>
        <w:t>FDI Annual World Dental Congress (м.Познань, 7-10 вересня 2016), НПК "Актуальні проблеми сучасної патологічної анатомії" (м. Київ, 21 квітня 2017), 4th International Scientific-Practical Conference Problems of Infocommunications. Science and Technology (м. Харків, 11-13 жовтня 2017), НПК з міжнародною участю "Щорічні терапевтичні читання: Медикаментозна ти немедикаментозна профілактика неінфекційних захворювань: погляд у майбутнє" (м. Харків, 20 квітня 2017), 4th International Stud</w:t>
      </w:r>
      <w:r w:rsidR="00D8093F">
        <w:rPr>
          <w:rFonts w:ascii="Times New Roman" w:hAnsi="Times New Roman"/>
          <w:sz w:val="28"/>
          <w:szCs w:val="28"/>
          <w:lang w:val="uk-UA"/>
        </w:rPr>
        <w:t>ent Congress, (м. Грац,</w:t>
      </w:r>
      <w:r w:rsidR="00D8093F" w:rsidRPr="00706628">
        <w:rPr>
          <w:rFonts w:ascii="Times New Roman" w:hAnsi="Times New Roman"/>
          <w:sz w:val="28"/>
          <w:szCs w:val="28"/>
          <w:lang w:val="uk-UA"/>
        </w:rPr>
        <w:t xml:space="preserve"> 26-28 травня 2016), 43 науково-методична конференція з інтернатури «Сучасний стан та перспективи підготовки лікарів-інтернів у Харківському національному медичному університеті» (м. Харків, 11 квітня 2017), IV Международная научно-практическая конференция «Наука и медицина: современный взгл</w:t>
      </w:r>
      <w:r w:rsidR="00D8093F">
        <w:rPr>
          <w:rFonts w:ascii="Times New Roman" w:hAnsi="Times New Roman"/>
          <w:sz w:val="28"/>
          <w:szCs w:val="28"/>
          <w:lang w:val="uk-UA"/>
        </w:rPr>
        <w:t>яд молодежи» (</w:t>
      </w:r>
      <w:r w:rsidR="00D8093F" w:rsidRPr="00706628">
        <w:rPr>
          <w:rFonts w:ascii="Times New Roman" w:hAnsi="Times New Roman"/>
          <w:sz w:val="28"/>
          <w:szCs w:val="28"/>
          <w:lang w:val="uk-UA"/>
        </w:rPr>
        <w:t>м. Алмати</w:t>
      </w:r>
      <w:r w:rsidR="00D8093F">
        <w:rPr>
          <w:rFonts w:ascii="Times New Roman" w:hAnsi="Times New Roman"/>
          <w:sz w:val="28"/>
          <w:szCs w:val="28"/>
          <w:lang w:val="uk-UA"/>
        </w:rPr>
        <w:t>, 20-21 квітня 2017</w:t>
      </w:r>
      <w:r w:rsidR="00D8093F" w:rsidRPr="00706628">
        <w:rPr>
          <w:rFonts w:ascii="Times New Roman" w:hAnsi="Times New Roman"/>
          <w:sz w:val="28"/>
          <w:szCs w:val="28"/>
          <w:lang w:val="uk-UA"/>
        </w:rPr>
        <w:t>), 6th Mediterranean Conference on Embedded Co</w:t>
      </w:r>
      <w:r w:rsidR="00D8093F">
        <w:rPr>
          <w:rFonts w:ascii="Times New Roman" w:hAnsi="Times New Roman"/>
          <w:sz w:val="28"/>
          <w:szCs w:val="28"/>
          <w:lang w:val="uk-UA"/>
        </w:rPr>
        <w:t>mputing MECO’2017 (</w:t>
      </w:r>
      <w:r w:rsidR="00D8093F" w:rsidRPr="00706628">
        <w:rPr>
          <w:rFonts w:ascii="Times New Roman" w:hAnsi="Times New Roman"/>
          <w:sz w:val="28"/>
          <w:szCs w:val="28"/>
          <w:lang w:val="uk-UA"/>
        </w:rPr>
        <w:t>м. Бар, Чорногорія</w:t>
      </w:r>
      <w:r w:rsidR="00D8093F">
        <w:rPr>
          <w:rFonts w:ascii="Times New Roman" w:hAnsi="Times New Roman"/>
          <w:sz w:val="28"/>
          <w:szCs w:val="28"/>
          <w:lang w:val="uk-UA"/>
        </w:rPr>
        <w:t>, 11-15 червня 2017</w:t>
      </w:r>
      <w:r w:rsidR="00D8093F" w:rsidRPr="00706628">
        <w:rPr>
          <w:rFonts w:ascii="Times New Roman" w:hAnsi="Times New Roman"/>
          <w:sz w:val="28"/>
          <w:szCs w:val="28"/>
          <w:lang w:val="uk-UA"/>
        </w:rPr>
        <w:t>), Міжвузівська конференція молодих вчених та студентів «Медицина третього тисячоліття» (м.Харків, 20 січня 2016 р.), Second Scientific-Practical Conference “Problems of Infocommunication. Science and Technol</w:t>
      </w:r>
      <w:r w:rsidR="00D8093F">
        <w:rPr>
          <w:rFonts w:ascii="Times New Roman" w:hAnsi="Times New Roman"/>
          <w:sz w:val="28"/>
          <w:szCs w:val="28"/>
          <w:lang w:val="uk-UA"/>
        </w:rPr>
        <w:t>ogy” (</w:t>
      </w:r>
      <w:r w:rsidR="00D8093F" w:rsidRPr="00706628">
        <w:rPr>
          <w:rFonts w:ascii="Times New Roman" w:hAnsi="Times New Roman"/>
          <w:sz w:val="28"/>
          <w:szCs w:val="28"/>
          <w:lang w:val="uk-UA"/>
        </w:rPr>
        <w:t>м.Харків</w:t>
      </w:r>
      <w:r w:rsidR="00D8093F">
        <w:rPr>
          <w:rFonts w:ascii="Times New Roman" w:hAnsi="Times New Roman"/>
          <w:sz w:val="28"/>
          <w:szCs w:val="28"/>
          <w:lang w:val="uk-UA"/>
        </w:rPr>
        <w:t>, 13-15 жовтня 2015</w:t>
      </w:r>
      <w:r w:rsidR="00D8093F" w:rsidRPr="00706628">
        <w:rPr>
          <w:rFonts w:ascii="Times New Roman" w:hAnsi="Times New Roman"/>
          <w:sz w:val="28"/>
          <w:szCs w:val="28"/>
          <w:lang w:val="uk-UA"/>
        </w:rPr>
        <w:t>), XIX Міжнародний медичний конгрес студентів і молодих вчених (м.Тернопіль. 27-29 квітня 2015), НПК "Інноваційні технології у сучасній стоматології", (м.Іван</w:t>
      </w:r>
      <w:r w:rsidR="00D8093F">
        <w:rPr>
          <w:rFonts w:ascii="Times New Roman" w:hAnsi="Times New Roman"/>
          <w:sz w:val="28"/>
          <w:szCs w:val="28"/>
          <w:lang w:val="uk-UA"/>
        </w:rPr>
        <w:t>о-Франківськ, 20 березня 2015)</w:t>
      </w:r>
      <w:r w:rsidR="00D8093F" w:rsidRPr="00706628">
        <w:rPr>
          <w:rFonts w:ascii="Times New Roman" w:hAnsi="Times New Roman"/>
          <w:sz w:val="28"/>
          <w:szCs w:val="28"/>
          <w:lang w:val="uk-UA"/>
        </w:rPr>
        <w:t>, VІІI Науково-практична конференція з міжнародною участю «Актуальні проблеми клінічної та фундаментальної медицини ISIC» (м.Харків, 14-15 травня 2015), Всеукраїнська науково-практична конференція молодих вчених і студентів з міжнародною участю «Здобутки теоретичної медицини – в практику охорони здоров'я – 2015» (м.Запоріжжя, 26-</w:t>
      </w:r>
      <w:r w:rsidR="00D8093F" w:rsidRPr="00706628">
        <w:rPr>
          <w:rFonts w:ascii="Times New Roman" w:hAnsi="Times New Roman"/>
          <w:sz w:val="28"/>
          <w:szCs w:val="28"/>
          <w:lang w:val="uk-UA"/>
        </w:rPr>
        <w:lastRenderedPageBreak/>
        <w:t>27 березня</w:t>
      </w:r>
      <w:r w:rsidR="00D8093F">
        <w:rPr>
          <w:rFonts w:ascii="Times New Roman" w:hAnsi="Times New Roman"/>
          <w:sz w:val="28"/>
          <w:szCs w:val="28"/>
          <w:lang w:val="uk-UA"/>
        </w:rPr>
        <w:t xml:space="preserve"> 2015 р.</w:t>
      </w:r>
      <w:r w:rsidR="00D8093F" w:rsidRPr="00706628">
        <w:rPr>
          <w:rFonts w:ascii="Times New Roman" w:hAnsi="Times New Roman"/>
          <w:sz w:val="28"/>
          <w:szCs w:val="28"/>
          <w:lang w:val="uk-UA"/>
        </w:rPr>
        <w:t>), НПК «Нове та традиційне у дослідженнях сучасних представників медичної науки» (м. Львів, 27-28 лютого 2015 р).</w:t>
      </w:r>
    </w:p>
    <w:p w14:paraId="05DBB507" w14:textId="653E44B8" w:rsidR="00D8093F" w:rsidRDefault="004A1324" w:rsidP="00D8093F">
      <w:pPr>
        <w:tabs>
          <w:tab w:val="left" w:pos="7260"/>
        </w:tabs>
        <w:spacing w:after="0" w:line="360" w:lineRule="auto"/>
        <w:ind w:firstLine="709"/>
        <w:jc w:val="both"/>
        <w:rPr>
          <w:rFonts w:ascii="Times New Roman" w:hAnsi="Times New Roman" w:cs="Times New Roman"/>
          <w:sz w:val="28"/>
          <w:szCs w:val="28"/>
          <w:lang w:val="uk-UA"/>
        </w:rPr>
      </w:pPr>
      <w:r w:rsidRPr="004A1324">
        <w:rPr>
          <w:rFonts w:ascii="Times New Roman" w:hAnsi="Times New Roman" w:cs="Times New Roman"/>
          <w:b/>
          <w:sz w:val="28"/>
          <w:szCs w:val="28"/>
          <w:lang w:val="uk-UA"/>
        </w:rPr>
        <w:t>Обсяг і структура дисертації.</w:t>
      </w:r>
      <w:r>
        <w:rPr>
          <w:rFonts w:ascii="Times New Roman" w:hAnsi="Times New Roman" w:cs="Times New Roman"/>
          <w:sz w:val="28"/>
          <w:szCs w:val="28"/>
          <w:lang w:val="uk-UA"/>
        </w:rPr>
        <w:t xml:space="preserve"> </w:t>
      </w:r>
      <w:r w:rsidR="00D8093F" w:rsidRPr="00D8093F">
        <w:rPr>
          <w:rFonts w:ascii="Times New Roman" w:hAnsi="Times New Roman" w:cs="Times New Roman"/>
          <w:sz w:val="28"/>
          <w:szCs w:val="28"/>
          <w:lang w:val="uk-UA"/>
        </w:rPr>
        <w:t>Дисертаційна робота викладена українською мовою, загальним обся</w:t>
      </w:r>
      <w:r w:rsidR="00637D44">
        <w:rPr>
          <w:rFonts w:ascii="Times New Roman" w:hAnsi="Times New Roman" w:cs="Times New Roman"/>
          <w:sz w:val="28"/>
          <w:szCs w:val="28"/>
          <w:lang w:val="uk-UA"/>
        </w:rPr>
        <w:t>гом 339 сторінок. Складається з</w:t>
      </w:r>
      <w:r w:rsidR="00D8093F" w:rsidRPr="00D8093F">
        <w:rPr>
          <w:rFonts w:ascii="Times New Roman" w:hAnsi="Times New Roman" w:cs="Times New Roman"/>
          <w:sz w:val="28"/>
          <w:szCs w:val="28"/>
          <w:lang w:val="uk-UA"/>
        </w:rPr>
        <w:t xml:space="preserve"> вступу, аналітичного огляду літератури, а також дев’яти розділів з результатами власних досліджень, аналізом та узагальненням результатів, висновків, практичних рекомендацій, додатків, списку використаної літератури, який містить 417 джерел (205 кирилицею, 212 латиницею). Дисертація проілюстрована 81 таблицею (2 сторінки) та 31 рисунком (1 стор</w:t>
      </w:r>
      <w:r w:rsidR="00D8093F">
        <w:rPr>
          <w:rFonts w:ascii="Times New Roman" w:hAnsi="Times New Roman" w:cs="Times New Roman"/>
          <w:sz w:val="28"/>
          <w:szCs w:val="28"/>
          <w:lang w:val="uk-UA"/>
        </w:rPr>
        <w:t>інка)</w:t>
      </w:r>
      <w:r w:rsidR="00713CF7" w:rsidRPr="00713CF7">
        <w:rPr>
          <w:rFonts w:ascii="Times New Roman" w:hAnsi="Times New Roman" w:cs="Times New Roman"/>
          <w:sz w:val="28"/>
          <w:szCs w:val="28"/>
          <w:lang w:val="uk-UA"/>
        </w:rPr>
        <w:t>.</w:t>
      </w:r>
    </w:p>
    <w:p w14:paraId="4B971BC2" w14:textId="58BC8C8E" w:rsidR="00BB697B" w:rsidRDefault="00BB697B" w:rsidP="00D8093F">
      <w:pPr>
        <w:tabs>
          <w:tab w:val="left" w:pos="72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1983706" w14:textId="77777777" w:rsidR="003B4ECB" w:rsidRPr="003B4ECB" w:rsidRDefault="003B4ECB" w:rsidP="003B4ECB">
      <w:pPr>
        <w:jc w:val="center"/>
        <w:rPr>
          <w:rFonts w:ascii="Times New Roman" w:hAnsi="Times New Roman" w:cs="Times New Roman"/>
          <w:sz w:val="28"/>
          <w:szCs w:val="28"/>
          <w:lang w:val="uk-UA"/>
        </w:rPr>
      </w:pPr>
    </w:p>
    <w:p w14:paraId="09D642CB" w14:textId="30292D83" w:rsidR="00E24DEC" w:rsidRPr="00E24DEC" w:rsidRDefault="00E24DEC" w:rsidP="00E24DEC">
      <w:pPr>
        <w:pStyle w:val="Heading1"/>
        <w:spacing w:before="0" w:line="360" w:lineRule="auto"/>
        <w:jc w:val="center"/>
        <w:rPr>
          <w:rFonts w:ascii="Times New Roman" w:hAnsi="Times New Roman" w:cs="Times New Roman"/>
          <w:color w:val="auto"/>
          <w:sz w:val="28"/>
          <w:szCs w:val="28"/>
          <w:lang w:val="uk-UA"/>
        </w:rPr>
      </w:pPr>
      <w:bookmarkStart w:id="2" w:name="_Toc507575295"/>
      <w:r w:rsidRPr="00E24DEC">
        <w:rPr>
          <w:rFonts w:ascii="Times New Roman" w:hAnsi="Times New Roman" w:cs="Times New Roman"/>
          <w:color w:val="auto"/>
          <w:sz w:val="28"/>
          <w:szCs w:val="28"/>
          <w:lang w:val="uk-UA"/>
        </w:rPr>
        <w:t>РОЗДІЛ 1</w:t>
      </w:r>
      <w:bookmarkEnd w:id="2"/>
    </w:p>
    <w:p w14:paraId="7C94143C" w14:textId="77777777" w:rsidR="00E24DEC" w:rsidRPr="00E24DEC" w:rsidRDefault="00E24DEC" w:rsidP="00E24DEC">
      <w:pPr>
        <w:rPr>
          <w:lang w:val="uk-UA"/>
        </w:rPr>
      </w:pPr>
    </w:p>
    <w:p w14:paraId="77D4D478" w14:textId="7BCD159F" w:rsidR="004C1D78" w:rsidRPr="00E24DEC" w:rsidRDefault="004708D3" w:rsidP="00E24DEC">
      <w:pPr>
        <w:pStyle w:val="Heading1"/>
        <w:spacing w:before="0" w:line="360" w:lineRule="auto"/>
        <w:jc w:val="center"/>
        <w:rPr>
          <w:rFonts w:ascii="Times New Roman" w:hAnsi="Times New Roman" w:cs="Times New Roman"/>
          <w:color w:val="auto"/>
          <w:sz w:val="28"/>
          <w:szCs w:val="28"/>
          <w:lang w:val="uk-UA"/>
        </w:rPr>
      </w:pPr>
      <w:bookmarkStart w:id="3" w:name="_Toc507575296"/>
      <w:r w:rsidRPr="00E24DEC">
        <w:rPr>
          <w:rFonts w:ascii="Times New Roman" w:hAnsi="Times New Roman" w:cs="Times New Roman"/>
          <w:color w:val="auto"/>
          <w:sz w:val="28"/>
          <w:szCs w:val="28"/>
          <w:lang w:val="uk-UA"/>
        </w:rPr>
        <w:t>С</w:t>
      </w:r>
      <w:r w:rsidR="0047407D" w:rsidRPr="00E24DEC">
        <w:rPr>
          <w:rFonts w:ascii="Times New Roman" w:hAnsi="Times New Roman" w:cs="Times New Roman"/>
          <w:color w:val="auto"/>
          <w:sz w:val="28"/>
          <w:szCs w:val="28"/>
          <w:lang w:val="uk-UA"/>
        </w:rPr>
        <w:t>УЧАСНІ ПІДХОДИ ДО ПРОГНО</w:t>
      </w:r>
      <w:r w:rsidRPr="00E24DEC">
        <w:rPr>
          <w:rFonts w:ascii="Times New Roman" w:hAnsi="Times New Roman" w:cs="Times New Roman"/>
          <w:color w:val="auto"/>
          <w:sz w:val="28"/>
          <w:szCs w:val="28"/>
          <w:lang w:val="uk-UA"/>
        </w:rPr>
        <w:t>ЗУВАННЯ, ПРОФІЛАКТИКИ ТА ЛІКУВАННЯ ГІНГІВІТУ У ДІТЕЙ НА ТЛІ АТОПІЧНИХ ЗАХВОРЮВАНЬ (ОГЛЯД ЛІТЕРАТУРИ)</w:t>
      </w:r>
      <w:bookmarkEnd w:id="3"/>
    </w:p>
    <w:p w14:paraId="29EC3FAC" w14:textId="77777777" w:rsidR="00E24DEC" w:rsidRPr="00E24DEC" w:rsidRDefault="00E24DEC" w:rsidP="00E24DEC">
      <w:pPr>
        <w:spacing w:after="0" w:line="360" w:lineRule="auto"/>
        <w:rPr>
          <w:rFonts w:ascii="Times New Roman" w:hAnsi="Times New Roman" w:cs="Times New Roman"/>
          <w:sz w:val="28"/>
          <w:szCs w:val="28"/>
          <w:lang w:val="uk-UA"/>
        </w:rPr>
      </w:pPr>
    </w:p>
    <w:p w14:paraId="25A795EA" w14:textId="59E40E8E" w:rsidR="00E24DEC" w:rsidRPr="00E24DEC" w:rsidRDefault="00867C6E" w:rsidP="00E24DEC">
      <w:pPr>
        <w:pStyle w:val="Heading2"/>
        <w:spacing w:before="0" w:line="360" w:lineRule="auto"/>
        <w:ind w:firstLine="709"/>
        <w:rPr>
          <w:rFonts w:ascii="Times New Roman" w:hAnsi="Times New Roman" w:cs="Times New Roman"/>
          <w:color w:val="auto"/>
          <w:sz w:val="28"/>
          <w:szCs w:val="28"/>
          <w:lang w:val="uk-UA"/>
        </w:rPr>
      </w:pPr>
      <w:bookmarkStart w:id="4" w:name="_Toc507575297"/>
      <w:r w:rsidRPr="00E24DEC">
        <w:rPr>
          <w:rFonts w:ascii="Times New Roman" w:hAnsi="Times New Roman" w:cs="Times New Roman"/>
          <w:color w:val="auto"/>
          <w:sz w:val="28"/>
          <w:szCs w:val="28"/>
          <w:lang w:val="uk-UA"/>
        </w:rPr>
        <w:t xml:space="preserve">1.1 </w:t>
      </w:r>
      <w:r w:rsidR="00333286" w:rsidRPr="00E24DEC">
        <w:rPr>
          <w:rFonts w:ascii="Times New Roman" w:hAnsi="Times New Roman" w:cs="Times New Roman"/>
          <w:color w:val="auto"/>
          <w:sz w:val="28"/>
          <w:szCs w:val="28"/>
          <w:lang w:val="uk-UA"/>
        </w:rPr>
        <w:t>Поняття</w:t>
      </w:r>
      <w:r w:rsidR="00D62DD4" w:rsidRPr="00E24DEC">
        <w:rPr>
          <w:rFonts w:ascii="Times New Roman" w:hAnsi="Times New Roman" w:cs="Times New Roman"/>
          <w:color w:val="auto"/>
          <w:sz w:val="28"/>
          <w:szCs w:val="28"/>
          <w:lang w:val="uk-UA"/>
        </w:rPr>
        <w:t xml:space="preserve"> та епідеміологія</w:t>
      </w:r>
      <w:r w:rsidR="00333286" w:rsidRPr="00E24DEC">
        <w:rPr>
          <w:rFonts w:ascii="Times New Roman" w:hAnsi="Times New Roman" w:cs="Times New Roman"/>
          <w:color w:val="auto"/>
          <w:sz w:val="28"/>
          <w:szCs w:val="28"/>
          <w:lang w:val="uk-UA"/>
        </w:rPr>
        <w:t xml:space="preserve"> атопічних захворювань, їх вплив на стан тканин порожнини рота</w:t>
      </w:r>
      <w:bookmarkEnd w:id="4"/>
      <w:r w:rsidR="00333286" w:rsidRPr="00E24DEC">
        <w:rPr>
          <w:rFonts w:ascii="Times New Roman" w:hAnsi="Times New Roman" w:cs="Times New Roman"/>
          <w:color w:val="auto"/>
          <w:sz w:val="28"/>
          <w:szCs w:val="28"/>
          <w:lang w:val="uk-UA"/>
        </w:rPr>
        <w:t xml:space="preserve"> </w:t>
      </w:r>
    </w:p>
    <w:p w14:paraId="7221BD49" w14:textId="2D13C057" w:rsidR="004F5F27" w:rsidRPr="00E96F77" w:rsidRDefault="003E11B0" w:rsidP="00C12514">
      <w:pPr>
        <w:spacing w:after="0" w:line="360" w:lineRule="auto"/>
        <w:ind w:firstLine="709"/>
        <w:jc w:val="both"/>
        <w:rPr>
          <w:rFonts w:ascii="Times New Roman" w:hAnsi="Times New Roman" w:cs="Times New Roman"/>
          <w:sz w:val="28"/>
          <w:szCs w:val="28"/>
          <w:lang w:val="uk-UA"/>
        </w:rPr>
      </w:pPr>
      <w:r w:rsidRPr="003E11B0">
        <w:rPr>
          <w:rFonts w:ascii="Times New Roman" w:hAnsi="Times New Roman" w:cs="Times New Roman"/>
          <w:sz w:val="28"/>
          <w:szCs w:val="28"/>
          <w:lang w:val="uk-UA"/>
        </w:rPr>
        <w:t>Номенклатура</w:t>
      </w:r>
      <w:r w:rsidR="002B7BD5">
        <w:rPr>
          <w:rFonts w:ascii="Times New Roman" w:hAnsi="Times New Roman" w:cs="Times New Roman"/>
          <w:sz w:val="28"/>
          <w:szCs w:val="28"/>
          <w:lang w:val="uk-UA"/>
        </w:rPr>
        <w:t xml:space="preserve"> атопічних захворювань та</w:t>
      </w:r>
      <w:r w:rsidRPr="003E11B0">
        <w:rPr>
          <w:rFonts w:ascii="Times New Roman" w:hAnsi="Times New Roman" w:cs="Times New Roman"/>
          <w:sz w:val="28"/>
          <w:szCs w:val="28"/>
          <w:lang w:val="uk-UA"/>
        </w:rPr>
        <w:t xml:space="preserve"> алергії різноманітна. Для вирішення цієї важливої теми та забезпечення чіткого спілкування між фахівцями у галузі охорони здоров'я, </w:t>
      </w:r>
      <w:r w:rsidR="00E96F77">
        <w:rPr>
          <w:rFonts w:ascii="Times New Roman" w:hAnsi="Times New Roman" w:cs="Times New Roman"/>
          <w:sz w:val="28"/>
          <w:szCs w:val="28"/>
          <w:lang w:val="uk-UA"/>
        </w:rPr>
        <w:t>Світова організація</w:t>
      </w:r>
      <w:r w:rsidR="00E96F77" w:rsidRPr="003E11B0">
        <w:rPr>
          <w:rFonts w:ascii="Times New Roman" w:hAnsi="Times New Roman" w:cs="Times New Roman"/>
          <w:sz w:val="28"/>
          <w:szCs w:val="28"/>
          <w:lang w:val="uk-UA"/>
        </w:rPr>
        <w:t xml:space="preserve"> алергії </w:t>
      </w:r>
      <w:r w:rsidR="00E96F77" w:rsidRPr="00E96F77">
        <w:rPr>
          <w:rFonts w:ascii="Times New Roman" w:hAnsi="Times New Roman" w:cs="Times New Roman"/>
          <w:sz w:val="28"/>
          <w:szCs w:val="28"/>
          <w:lang w:val="uk-UA"/>
        </w:rPr>
        <w:t>(World Allergy Organization)</w:t>
      </w:r>
      <w:r w:rsidRPr="003E11B0">
        <w:rPr>
          <w:rFonts w:ascii="Times New Roman" w:hAnsi="Times New Roman" w:cs="Times New Roman"/>
          <w:sz w:val="28"/>
          <w:szCs w:val="28"/>
          <w:lang w:val="uk-UA"/>
        </w:rPr>
        <w:t xml:space="preserve"> рекомендує прийняти глобальну номенклатуру алергії. Термінологія, запропонована публікацією </w:t>
      </w:r>
      <w:r>
        <w:rPr>
          <w:rFonts w:ascii="Times New Roman" w:hAnsi="Times New Roman" w:cs="Times New Roman"/>
          <w:sz w:val="28"/>
          <w:szCs w:val="28"/>
          <w:lang w:val="uk-UA"/>
        </w:rPr>
        <w:t>Європейської академії</w:t>
      </w:r>
      <w:r w:rsidRPr="003E11B0">
        <w:rPr>
          <w:rFonts w:ascii="Times New Roman" w:hAnsi="Times New Roman" w:cs="Times New Roman"/>
          <w:sz w:val="28"/>
          <w:szCs w:val="28"/>
          <w:lang w:val="uk-UA"/>
        </w:rPr>
        <w:t xml:space="preserve"> алергології і к</w:t>
      </w:r>
      <w:r w:rsidR="00637D44">
        <w:rPr>
          <w:rFonts w:ascii="Times New Roman" w:hAnsi="Times New Roman" w:cs="Times New Roman"/>
          <w:sz w:val="28"/>
          <w:szCs w:val="28"/>
          <w:lang w:val="uk-UA"/>
        </w:rPr>
        <w:t>лінічної</w:t>
      </w:r>
      <w:r>
        <w:rPr>
          <w:rFonts w:ascii="Times New Roman" w:hAnsi="Times New Roman" w:cs="Times New Roman"/>
          <w:sz w:val="28"/>
          <w:szCs w:val="28"/>
          <w:lang w:val="uk-UA"/>
        </w:rPr>
        <w:t xml:space="preserve"> імунології (</w:t>
      </w:r>
      <w:r w:rsidRPr="003E11B0">
        <w:rPr>
          <w:rFonts w:ascii="Times New Roman" w:hAnsi="Times New Roman" w:cs="Times New Roman"/>
          <w:sz w:val="28"/>
          <w:szCs w:val="28"/>
          <w:lang w:val="uk-UA"/>
        </w:rPr>
        <w:t>European Academy of Allergology and Clinical Immunology</w:t>
      </w:r>
      <w:r>
        <w:rPr>
          <w:rFonts w:ascii="Times New Roman" w:hAnsi="Times New Roman" w:cs="Times New Roman"/>
          <w:sz w:val="28"/>
          <w:szCs w:val="28"/>
          <w:lang w:val="uk-UA"/>
        </w:rPr>
        <w:t>)</w:t>
      </w:r>
      <w:r w:rsidR="003609DE" w:rsidRPr="000953B6">
        <w:rPr>
          <w:rFonts w:ascii="Times New Roman" w:hAnsi="Times New Roman" w:cs="Times New Roman"/>
          <w:noProof/>
          <w:sz w:val="28"/>
          <w:szCs w:val="28"/>
          <w:lang w:val="uk-UA"/>
        </w:rPr>
        <w:t xml:space="preserve"> [12]</w:t>
      </w:r>
      <w:r w:rsidRPr="003E11B0">
        <w:rPr>
          <w:rFonts w:ascii="Times New Roman" w:hAnsi="Times New Roman" w:cs="Times New Roman"/>
          <w:sz w:val="28"/>
          <w:szCs w:val="28"/>
          <w:lang w:val="uk-UA"/>
        </w:rPr>
        <w:t>, була оновлена Світовою ор</w:t>
      </w:r>
      <w:r w:rsidR="00E96F77">
        <w:rPr>
          <w:rFonts w:ascii="Times New Roman" w:hAnsi="Times New Roman" w:cs="Times New Roman"/>
          <w:sz w:val="28"/>
          <w:szCs w:val="28"/>
          <w:lang w:val="uk-UA"/>
        </w:rPr>
        <w:t>ганізацією алергії у</w:t>
      </w:r>
      <w:r w:rsidR="00D8093F">
        <w:rPr>
          <w:rFonts w:ascii="Times New Roman" w:hAnsi="Times New Roman" w:cs="Times New Roman"/>
          <w:sz w:val="28"/>
          <w:szCs w:val="28"/>
          <w:lang w:val="uk-UA"/>
        </w:rPr>
        <w:t xml:space="preserve"> відповідній</w:t>
      </w:r>
      <w:r w:rsidR="00E96F77">
        <w:rPr>
          <w:rFonts w:ascii="Times New Roman" w:hAnsi="Times New Roman" w:cs="Times New Roman"/>
          <w:sz w:val="28"/>
          <w:szCs w:val="28"/>
          <w:lang w:val="uk-UA"/>
        </w:rPr>
        <w:t xml:space="preserve"> публікації</w:t>
      </w:r>
      <w:r w:rsidR="00E96F77" w:rsidRPr="00E96F77">
        <w:rPr>
          <w:rFonts w:ascii="Times New Roman" w:hAnsi="Times New Roman" w:cs="Times New Roman"/>
          <w:sz w:val="28"/>
          <w:szCs w:val="28"/>
          <w:lang w:val="uk-UA"/>
        </w:rPr>
        <w:t xml:space="preserve"> </w:t>
      </w:r>
      <w:r w:rsidR="003609DE" w:rsidRPr="000953B6">
        <w:rPr>
          <w:rFonts w:ascii="Times New Roman" w:hAnsi="Times New Roman" w:cs="Times New Roman"/>
          <w:noProof/>
          <w:sz w:val="28"/>
          <w:szCs w:val="28"/>
          <w:lang w:val="uk-UA"/>
        </w:rPr>
        <w:t>[13]</w:t>
      </w:r>
      <w:r w:rsidR="00E96F77" w:rsidRPr="00E96F77">
        <w:rPr>
          <w:rFonts w:ascii="Times New Roman" w:hAnsi="Times New Roman" w:cs="Times New Roman"/>
          <w:sz w:val="28"/>
          <w:szCs w:val="28"/>
          <w:lang w:val="uk-UA"/>
        </w:rPr>
        <w:t>.</w:t>
      </w:r>
    </w:p>
    <w:p w14:paraId="13677BD4" w14:textId="039EA7EB" w:rsidR="00746A41" w:rsidRDefault="000E5A0B" w:rsidP="00746A41">
      <w:pPr>
        <w:spacing w:after="0" w:line="360" w:lineRule="auto"/>
        <w:ind w:firstLine="709"/>
        <w:jc w:val="both"/>
        <w:rPr>
          <w:rFonts w:ascii="Times New Roman" w:hAnsi="Times New Roman" w:cs="Times New Roman"/>
          <w:sz w:val="28"/>
          <w:szCs w:val="28"/>
          <w:lang w:val="uk-UA"/>
        </w:rPr>
      </w:pPr>
      <w:r w:rsidRPr="000E5A0B">
        <w:rPr>
          <w:rFonts w:ascii="Times New Roman" w:hAnsi="Times New Roman" w:cs="Times New Roman"/>
          <w:sz w:val="28"/>
          <w:szCs w:val="28"/>
          <w:lang w:val="uk-UA"/>
        </w:rPr>
        <w:t xml:space="preserve">Атопія - це особиста та / або сімейна тенденція, як правило, </w:t>
      </w:r>
      <w:r>
        <w:rPr>
          <w:rFonts w:ascii="Times New Roman" w:hAnsi="Times New Roman" w:cs="Times New Roman"/>
          <w:sz w:val="28"/>
          <w:szCs w:val="28"/>
          <w:lang w:val="uk-UA"/>
        </w:rPr>
        <w:t xml:space="preserve">набута </w:t>
      </w:r>
      <w:r w:rsidR="00637D44">
        <w:rPr>
          <w:rFonts w:ascii="Times New Roman" w:hAnsi="Times New Roman" w:cs="Times New Roman"/>
          <w:sz w:val="28"/>
          <w:szCs w:val="28"/>
          <w:lang w:val="uk-UA"/>
        </w:rPr>
        <w:t>в</w:t>
      </w:r>
      <w:r w:rsidRPr="000E5A0B">
        <w:rPr>
          <w:rFonts w:ascii="Times New Roman" w:hAnsi="Times New Roman" w:cs="Times New Roman"/>
          <w:sz w:val="28"/>
          <w:szCs w:val="28"/>
          <w:lang w:val="uk-UA"/>
        </w:rPr>
        <w:t xml:space="preserve"> дитинстві чи підлітковому віці, </w:t>
      </w:r>
      <w:r>
        <w:rPr>
          <w:rFonts w:ascii="Times New Roman" w:hAnsi="Times New Roman" w:cs="Times New Roman"/>
          <w:sz w:val="28"/>
          <w:szCs w:val="28"/>
          <w:lang w:val="uk-UA"/>
        </w:rPr>
        <w:t>до сенсибілізації та продукції антитіл IgE у відповідь на звичайний</w:t>
      </w:r>
      <w:r w:rsidRPr="000E5A0B">
        <w:rPr>
          <w:rFonts w:ascii="Times New Roman" w:hAnsi="Times New Roman" w:cs="Times New Roman"/>
          <w:sz w:val="28"/>
          <w:szCs w:val="28"/>
          <w:lang w:val="uk-UA"/>
        </w:rPr>
        <w:t xml:space="preserve"> вплив алергенів, як правило, білків. Як наслідок, </w:t>
      </w:r>
      <w:r w:rsidR="00D8093F">
        <w:rPr>
          <w:rFonts w:ascii="Times New Roman" w:hAnsi="Times New Roman" w:cs="Times New Roman"/>
          <w:sz w:val="28"/>
          <w:szCs w:val="28"/>
          <w:lang w:val="uk-UA"/>
        </w:rPr>
        <w:t>у таких людей можуть</w:t>
      </w:r>
      <w:r w:rsidRPr="000E5A0B">
        <w:rPr>
          <w:rFonts w:ascii="Times New Roman" w:hAnsi="Times New Roman" w:cs="Times New Roman"/>
          <w:sz w:val="28"/>
          <w:szCs w:val="28"/>
          <w:lang w:val="uk-UA"/>
        </w:rPr>
        <w:t xml:space="preserve"> розвинути</w:t>
      </w:r>
      <w:r w:rsidR="00D8093F">
        <w:rPr>
          <w:rFonts w:ascii="Times New Roman" w:hAnsi="Times New Roman" w:cs="Times New Roman"/>
          <w:sz w:val="28"/>
          <w:szCs w:val="28"/>
          <w:lang w:val="uk-UA"/>
        </w:rPr>
        <w:t>ся</w:t>
      </w:r>
      <w:r w:rsidRPr="000E5A0B">
        <w:rPr>
          <w:rFonts w:ascii="Times New Roman" w:hAnsi="Times New Roman" w:cs="Times New Roman"/>
          <w:sz w:val="28"/>
          <w:szCs w:val="28"/>
          <w:lang w:val="uk-UA"/>
        </w:rPr>
        <w:t xml:space="preserve"> типові с</w:t>
      </w:r>
      <w:r>
        <w:rPr>
          <w:rFonts w:ascii="Times New Roman" w:hAnsi="Times New Roman" w:cs="Times New Roman"/>
          <w:sz w:val="28"/>
          <w:szCs w:val="28"/>
          <w:lang w:val="uk-UA"/>
        </w:rPr>
        <w:t>имптоми астми, риніту або дерматиту. Терміни "атопія" та "атопічний</w:t>
      </w:r>
      <w:r w:rsidRPr="000E5A0B">
        <w:rPr>
          <w:rFonts w:ascii="Times New Roman" w:hAnsi="Times New Roman" w:cs="Times New Roman"/>
          <w:sz w:val="28"/>
          <w:szCs w:val="28"/>
          <w:lang w:val="uk-UA"/>
        </w:rPr>
        <w:t xml:space="preserve">" повинні бути </w:t>
      </w:r>
      <w:r>
        <w:rPr>
          <w:rFonts w:ascii="Times New Roman" w:hAnsi="Times New Roman" w:cs="Times New Roman"/>
          <w:sz w:val="28"/>
          <w:szCs w:val="28"/>
          <w:lang w:val="uk-UA"/>
        </w:rPr>
        <w:t>використані</w:t>
      </w:r>
      <w:r w:rsidRPr="000E5A0B">
        <w:rPr>
          <w:rFonts w:ascii="Times New Roman" w:hAnsi="Times New Roman" w:cs="Times New Roman"/>
          <w:sz w:val="28"/>
          <w:szCs w:val="28"/>
          <w:lang w:val="uk-UA"/>
        </w:rPr>
        <w:t xml:space="preserve"> для опису генетичної схильності </w:t>
      </w:r>
      <w:r>
        <w:rPr>
          <w:rFonts w:ascii="Times New Roman" w:hAnsi="Times New Roman" w:cs="Times New Roman"/>
          <w:sz w:val="28"/>
          <w:szCs w:val="28"/>
          <w:lang w:val="uk-UA"/>
        </w:rPr>
        <w:t>стати</w:t>
      </w:r>
      <w:r w:rsidRPr="000E5A0B">
        <w:rPr>
          <w:rFonts w:ascii="Times New Roman" w:hAnsi="Times New Roman" w:cs="Times New Roman"/>
          <w:sz w:val="28"/>
          <w:szCs w:val="28"/>
          <w:lang w:val="uk-UA"/>
        </w:rPr>
        <w:t xml:space="preserve"> IgE-сенсибілізованими до алергенів, які звичайно зустрічаються в навколишньому середовищі кожному, але більшість</w:t>
      </w:r>
      <w:r>
        <w:rPr>
          <w:rFonts w:ascii="Times New Roman" w:hAnsi="Times New Roman" w:cs="Times New Roman"/>
          <w:sz w:val="28"/>
          <w:szCs w:val="28"/>
          <w:lang w:val="uk-UA"/>
        </w:rPr>
        <w:t xml:space="preserve"> людей</w:t>
      </w:r>
      <w:r w:rsidRPr="000E5A0B">
        <w:rPr>
          <w:rFonts w:ascii="Times New Roman" w:hAnsi="Times New Roman" w:cs="Times New Roman"/>
          <w:sz w:val="28"/>
          <w:szCs w:val="28"/>
          <w:lang w:val="uk-UA"/>
        </w:rPr>
        <w:t xml:space="preserve"> не виробляють тривалу реакцію антитіл</w:t>
      </w:r>
      <w:r>
        <w:rPr>
          <w:rFonts w:ascii="Times New Roman" w:hAnsi="Times New Roman" w:cs="Times New Roman"/>
          <w:sz w:val="28"/>
          <w:szCs w:val="28"/>
          <w:lang w:val="uk-UA"/>
        </w:rPr>
        <w:t xml:space="preserve"> до</w:t>
      </w:r>
      <w:r w:rsidRPr="000E5A0B">
        <w:rPr>
          <w:rFonts w:ascii="Times New Roman" w:hAnsi="Times New Roman" w:cs="Times New Roman"/>
          <w:sz w:val="28"/>
          <w:szCs w:val="28"/>
          <w:lang w:val="uk-UA"/>
        </w:rPr>
        <w:t xml:space="preserve"> IgE.</w:t>
      </w:r>
      <w:r w:rsidR="00746A41" w:rsidRPr="00746A41">
        <w:rPr>
          <w:rFonts w:ascii="Times New Roman" w:hAnsi="Times New Roman" w:cs="Times New Roman"/>
          <w:sz w:val="28"/>
          <w:szCs w:val="28"/>
          <w:lang w:val="uk-UA"/>
        </w:rPr>
        <w:t xml:space="preserve"> </w:t>
      </w:r>
      <w:r w:rsidR="00B935CC" w:rsidRPr="00B935CC">
        <w:rPr>
          <w:rFonts w:ascii="Times New Roman" w:hAnsi="Times New Roman" w:cs="Times New Roman"/>
          <w:sz w:val="28"/>
          <w:szCs w:val="28"/>
          <w:lang w:val="uk-UA"/>
        </w:rPr>
        <w:t>Таким чином, атопія є клінічним</w:t>
      </w:r>
      <w:r w:rsidR="00B935CC">
        <w:rPr>
          <w:rFonts w:ascii="Times New Roman" w:hAnsi="Times New Roman" w:cs="Times New Roman"/>
          <w:sz w:val="28"/>
          <w:szCs w:val="28"/>
          <w:lang w:val="uk-UA"/>
        </w:rPr>
        <w:t xml:space="preserve"> визначенням високорезистентних антитіл</w:t>
      </w:r>
      <w:r w:rsidR="00B935CC" w:rsidRPr="00B935CC">
        <w:rPr>
          <w:rFonts w:ascii="Times New Roman" w:hAnsi="Times New Roman" w:cs="Times New Roman"/>
          <w:sz w:val="28"/>
          <w:szCs w:val="28"/>
          <w:lang w:val="uk-UA"/>
        </w:rPr>
        <w:t xml:space="preserve"> до IgE. Термін "атопія" не може використовуватися, поки IgE сенсибілізація не була задокументована IgE антитілами в сироватці крові або позитивним </w:t>
      </w:r>
      <w:r w:rsidR="00B935CC">
        <w:rPr>
          <w:rFonts w:ascii="Times New Roman" w:hAnsi="Times New Roman" w:cs="Times New Roman"/>
          <w:sz w:val="28"/>
          <w:szCs w:val="28"/>
          <w:lang w:val="uk-UA"/>
        </w:rPr>
        <w:t xml:space="preserve">шкірним </w:t>
      </w:r>
      <w:r w:rsidR="00B935CC" w:rsidRPr="00B935CC">
        <w:rPr>
          <w:rFonts w:ascii="Times New Roman" w:hAnsi="Times New Roman" w:cs="Times New Roman"/>
          <w:sz w:val="28"/>
          <w:szCs w:val="28"/>
          <w:lang w:val="uk-UA"/>
        </w:rPr>
        <w:t xml:space="preserve">тестом. Алергічні симптоми </w:t>
      </w:r>
      <w:r w:rsidR="00B935CC">
        <w:rPr>
          <w:rFonts w:ascii="Times New Roman" w:hAnsi="Times New Roman" w:cs="Times New Roman"/>
          <w:sz w:val="28"/>
          <w:szCs w:val="28"/>
          <w:lang w:val="uk-UA"/>
        </w:rPr>
        <w:t>у типових атопічних індивідуумів</w:t>
      </w:r>
      <w:r w:rsidR="00B935CC" w:rsidRPr="00B935CC">
        <w:rPr>
          <w:rFonts w:ascii="Times New Roman" w:hAnsi="Times New Roman" w:cs="Times New Roman"/>
          <w:sz w:val="28"/>
          <w:szCs w:val="28"/>
          <w:lang w:val="uk-UA"/>
        </w:rPr>
        <w:t xml:space="preserve"> можна називати атопічни</w:t>
      </w:r>
      <w:r w:rsidR="00B935CC">
        <w:rPr>
          <w:rFonts w:ascii="Times New Roman" w:hAnsi="Times New Roman" w:cs="Times New Roman"/>
          <w:sz w:val="28"/>
          <w:szCs w:val="28"/>
          <w:lang w:val="uk-UA"/>
        </w:rPr>
        <w:t>ми, наприклад, найбільш ро</w:t>
      </w:r>
      <w:r w:rsidR="00D8093F">
        <w:rPr>
          <w:rFonts w:ascii="Times New Roman" w:hAnsi="Times New Roman" w:cs="Times New Roman"/>
          <w:sz w:val="28"/>
          <w:szCs w:val="28"/>
          <w:lang w:val="uk-UA"/>
        </w:rPr>
        <w:t>зповсюджений симптом є атопічна астма</w:t>
      </w:r>
      <w:r w:rsidR="00B935CC" w:rsidRPr="00B935CC">
        <w:rPr>
          <w:rFonts w:ascii="Times New Roman" w:hAnsi="Times New Roman" w:cs="Times New Roman"/>
          <w:sz w:val="28"/>
          <w:szCs w:val="28"/>
          <w:lang w:val="uk-UA"/>
        </w:rPr>
        <w:t>.</w:t>
      </w:r>
    </w:p>
    <w:p w14:paraId="3C64571E" w14:textId="77CB7F07" w:rsidR="00A82DB7" w:rsidRDefault="00020731" w:rsidP="004610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Питання профілактики та лікування</w:t>
      </w:r>
      <w:r w:rsidR="004610FB" w:rsidRPr="004610FB">
        <w:rPr>
          <w:rFonts w:ascii="Times New Roman" w:hAnsi="Times New Roman" w:cs="Times New Roman"/>
          <w:sz w:val="28"/>
          <w:szCs w:val="28"/>
          <w:lang w:val="uk-UA"/>
        </w:rPr>
        <w:t xml:space="preserve"> алергічних захворювань у дітей є надзвичайно актуальною проблемою медицини, зважаючи на широке розповсюдження алергічних захворювань і чітку тенденцію до їх збільшення</w:t>
      </w:r>
      <w:r w:rsidR="00E21F7F">
        <w:rPr>
          <w:rFonts w:ascii="Times New Roman" w:hAnsi="Times New Roman" w:cs="Times New Roman"/>
          <w:sz w:val="28"/>
          <w:szCs w:val="28"/>
          <w:lang w:val="uk-UA"/>
        </w:rPr>
        <w:t xml:space="preserve"> </w:t>
      </w:r>
      <w:r w:rsidR="003609DE">
        <w:rPr>
          <w:rFonts w:ascii="Times New Roman" w:hAnsi="Times New Roman" w:cs="Times New Roman"/>
          <w:noProof/>
          <w:sz w:val="28"/>
          <w:szCs w:val="28"/>
          <w:lang w:val="uk-UA"/>
        </w:rPr>
        <w:t xml:space="preserve">[14, </w:t>
      </w:r>
      <w:r w:rsidR="003609DE" w:rsidRPr="000953B6">
        <w:rPr>
          <w:rFonts w:ascii="Times New Roman" w:hAnsi="Times New Roman" w:cs="Times New Roman"/>
          <w:noProof/>
          <w:sz w:val="28"/>
          <w:szCs w:val="28"/>
          <w:lang w:val="uk-UA"/>
        </w:rPr>
        <w:t>15]</w:t>
      </w:r>
      <w:r w:rsidR="004610FB" w:rsidRPr="004610FB">
        <w:rPr>
          <w:rFonts w:ascii="Times New Roman" w:hAnsi="Times New Roman" w:cs="Times New Roman"/>
          <w:sz w:val="28"/>
          <w:szCs w:val="28"/>
          <w:lang w:val="uk-UA"/>
        </w:rPr>
        <w:t xml:space="preserve">. </w:t>
      </w:r>
    </w:p>
    <w:p w14:paraId="7CF1C9C0" w14:textId="1C9D6475" w:rsidR="004610FB" w:rsidRPr="004610FB" w:rsidRDefault="001D4381" w:rsidP="00415523">
      <w:pPr>
        <w:spacing w:after="0" w:line="360" w:lineRule="auto"/>
        <w:ind w:firstLine="709"/>
        <w:jc w:val="both"/>
        <w:rPr>
          <w:rFonts w:ascii="Times New Roman" w:hAnsi="Times New Roman" w:cs="Times New Roman"/>
          <w:sz w:val="28"/>
          <w:szCs w:val="28"/>
          <w:lang w:val="uk-UA"/>
        </w:rPr>
      </w:pPr>
      <w:r w:rsidRPr="001D4381">
        <w:rPr>
          <w:rFonts w:ascii="Times New Roman" w:hAnsi="Times New Roman" w:cs="Times New Roman"/>
          <w:sz w:val="28"/>
          <w:szCs w:val="28"/>
          <w:lang w:val="uk-UA"/>
        </w:rPr>
        <w:t>Бронхіальна астма відноситься до числа широкорозповсюджених захворювань, які мають тенденцію до росту, набувають прогресивного  та злоякісного перебігу: збільшується кількість осіб, щ</w:t>
      </w:r>
      <w:r w:rsidR="00820771">
        <w:rPr>
          <w:rFonts w:ascii="Times New Roman" w:hAnsi="Times New Roman" w:cs="Times New Roman"/>
          <w:sz w:val="28"/>
          <w:szCs w:val="28"/>
          <w:lang w:val="uk-UA"/>
        </w:rPr>
        <w:t>о одержують кортико</w:t>
      </w:r>
      <w:r>
        <w:rPr>
          <w:rFonts w:ascii="Times New Roman" w:hAnsi="Times New Roman" w:cs="Times New Roman"/>
          <w:sz w:val="28"/>
          <w:szCs w:val="28"/>
          <w:lang w:val="uk-UA"/>
        </w:rPr>
        <w:t xml:space="preserve">стероїдну </w:t>
      </w:r>
      <w:r w:rsidRPr="001D4381">
        <w:rPr>
          <w:rFonts w:ascii="Times New Roman" w:hAnsi="Times New Roman" w:cs="Times New Roman"/>
          <w:sz w:val="28"/>
          <w:szCs w:val="28"/>
          <w:lang w:val="uk-UA"/>
        </w:rPr>
        <w:t xml:space="preserve">терапію, зросла смертність від цього захворювання. </w:t>
      </w:r>
      <w:r w:rsidR="004610FB" w:rsidRPr="004610FB">
        <w:rPr>
          <w:rFonts w:ascii="Times New Roman" w:hAnsi="Times New Roman" w:cs="Times New Roman"/>
          <w:sz w:val="28"/>
          <w:szCs w:val="28"/>
          <w:lang w:val="uk-UA"/>
        </w:rPr>
        <w:t xml:space="preserve">В Україні </w:t>
      </w:r>
      <w:r w:rsidR="00637D44">
        <w:rPr>
          <w:rFonts w:ascii="Times New Roman" w:hAnsi="Times New Roman" w:cs="Times New Roman"/>
          <w:sz w:val="28"/>
          <w:szCs w:val="28"/>
          <w:lang w:val="uk-UA"/>
        </w:rPr>
        <w:t>в</w:t>
      </w:r>
      <w:r>
        <w:rPr>
          <w:rFonts w:ascii="Times New Roman" w:hAnsi="Times New Roman" w:cs="Times New Roman"/>
          <w:sz w:val="28"/>
          <w:szCs w:val="28"/>
          <w:lang w:val="uk-UA"/>
        </w:rPr>
        <w:t xml:space="preserve"> останній час</w:t>
      </w:r>
      <w:r w:rsidR="004610FB" w:rsidRPr="004610FB">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спостерігається</w:t>
      </w:r>
      <w:r w:rsidR="004610FB" w:rsidRPr="004610FB">
        <w:rPr>
          <w:rFonts w:ascii="Times New Roman" w:hAnsi="Times New Roman" w:cs="Times New Roman"/>
          <w:sz w:val="28"/>
          <w:szCs w:val="28"/>
          <w:lang w:val="uk-UA"/>
        </w:rPr>
        <w:t xml:space="preserve"> тенденція до збільшення </w:t>
      </w:r>
      <w:r>
        <w:rPr>
          <w:rFonts w:ascii="Times New Roman" w:hAnsi="Times New Roman" w:cs="Times New Roman"/>
          <w:sz w:val="28"/>
          <w:szCs w:val="28"/>
          <w:lang w:val="uk-UA"/>
        </w:rPr>
        <w:t>поширеності атопічних захворювань</w:t>
      </w:r>
      <w:r w:rsidR="004610FB" w:rsidRPr="004610FB">
        <w:rPr>
          <w:rFonts w:ascii="Times New Roman" w:hAnsi="Times New Roman" w:cs="Times New Roman"/>
          <w:sz w:val="28"/>
          <w:szCs w:val="28"/>
          <w:lang w:val="uk-UA"/>
        </w:rPr>
        <w:t xml:space="preserve">, </w:t>
      </w:r>
      <w:r>
        <w:rPr>
          <w:rFonts w:ascii="Times New Roman" w:hAnsi="Times New Roman" w:cs="Times New Roman"/>
          <w:sz w:val="28"/>
          <w:szCs w:val="28"/>
          <w:lang w:val="uk-UA"/>
        </w:rPr>
        <w:t>а саме на бронхіальну астму</w:t>
      </w:r>
      <w:r w:rsidR="00776645">
        <w:rPr>
          <w:rFonts w:ascii="Times New Roman" w:hAnsi="Times New Roman" w:cs="Times New Roman"/>
          <w:sz w:val="28"/>
          <w:szCs w:val="28"/>
          <w:lang w:val="uk-UA"/>
        </w:rPr>
        <w:t xml:space="preserve"> хворіє майже 5% населення</w:t>
      </w:r>
      <w:r w:rsidR="004610FB" w:rsidRPr="004610FB">
        <w:rPr>
          <w:rFonts w:ascii="Times New Roman" w:hAnsi="Times New Roman" w:cs="Times New Roman"/>
          <w:sz w:val="28"/>
          <w:szCs w:val="28"/>
          <w:lang w:val="uk-UA"/>
        </w:rPr>
        <w:t>. Серед дітей м. Києва</w:t>
      </w:r>
      <w:r w:rsidR="00D8093F">
        <w:rPr>
          <w:rFonts w:ascii="Times New Roman" w:hAnsi="Times New Roman" w:cs="Times New Roman"/>
          <w:sz w:val="28"/>
          <w:szCs w:val="28"/>
          <w:lang w:val="uk-UA"/>
        </w:rPr>
        <w:t xml:space="preserve"> в віці 6-7 років поширеність</w:t>
      </w:r>
      <w:r w:rsidR="004610FB" w:rsidRPr="004610FB">
        <w:rPr>
          <w:rFonts w:ascii="Times New Roman" w:hAnsi="Times New Roman" w:cs="Times New Roman"/>
          <w:sz w:val="28"/>
          <w:szCs w:val="28"/>
          <w:lang w:val="uk-UA"/>
        </w:rPr>
        <w:t xml:space="preserve"> </w:t>
      </w:r>
      <w:r w:rsidR="00820771">
        <w:rPr>
          <w:rFonts w:ascii="Times New Roman" w:hAnsi="Times New Roman" w:cs="Times New Roman"/>
          <w:sz w:val="28"/>
          <w:szCs w:val="28"/>
          <w:lang w:val="uk-UA"/>
        </w:rPr>
        <w:t>бронхіальної астми (</w:t>
      </w:r>
      <w:r w:rsidR="004610FB" w:rsidRPr="004610FB">
        <w:rPr>
          <w:rFonts w:ascii="Times New Roman" w:hAnsi="Times New Roman" w:cs="Times New Roman"/>
          <w:sz w:val="28"/>
          <w:szCs w:val="28"/>
          <w:lang w:val="uk-UA"/>
        </w:rPr>
        <w:t>БА</w:t>
      </w:r>
      <w:r w:rsidR="00820771">
        <w:rPr>
          <w:rFonts w:ascii="Times New Roman" w:hAnsi="Times New Roman" w:cs="Times New Roman"/>
          <w:sz w:val="28"/>
          <w:szCs w:val="28"/>
          <w:lang w:val="uk-UA"/>
        </w:rPr>
        <w:t>)</w:t>
      </w:r>
      <w:r w:rsidR="00D8093F">
        <w:rPr>
          <w:rFonts w:ascii="Times New Roman" w:hAnsi="Times New Roman" w:cs="Times New Roman"/>
          <w:sz w:val="28"/>
          <w:szCs w:val="28"/>
          <w:lang w:val="uk-UA"/>
        </w:rPr>
        <w:t xml:space="preserve"> складає 8,1%, алергічного</w:t>
      </w:r>
      <w:r w:rsidR="004610FB" w:rsidRPr="004610FB">
        <w:rPr>
          <w:rFonts w:ascii="Times New Roman" w:hAnsi="Times New Roman" w:cs="Times New Roman"/>
          <w:sz w:val="28"/>
          <w:szCs w:val="28"/>
          <w:lang w:val="uk-UA"/>
        </w:rPr>
        <w:t xml:space="preserve"> риніт</w:t>
      </w:r>
      <w:r w:rsidR="00D8093F">
        <w:rPr>
          <w:rFonts w:ascii="Times New Roman" w:hAnsi="Times New Roman" w:cs="Times New Roman"/>
          <w:sz w:val="28"/>
          <w:szCs w:val="28"/>
          <w:lang w:val="uk-UA"/>
        </w:rPr>
        <w:t>у – 5,5%, атопічного</w:t>
      </w:r>
      <w:r w:rsidR="004610FB" w:rsidRPr="004610FB">
        <w:rPr>
          <w:rFonts w:ascii="Times New Roman" w:hAnsi="Times New Roman" w:cs="Times New Roman"/>
          <w:sz w:val="28"/>
          <w:szCs w:val="28"/>
          <w:lang w:val="uk-UA"/>
        </w:rPr>
        <w:t xml:space="preserve"> дерматит</w:t>
      </w:r>
      <w:r w:rsidR="00D8093F">
        <w:rPr>
          <w:rFonts w:ascii="Times New Roman" w:hAnsi="Times New Roman" w:cs="Times New Roman"/>
          <w:sz w:val="28"/>
          <w:szCs w:val="28"/>
          <w:lang w:val="uk-UA"/>
        </w:rPr>
        <w:t>у</w:t>
      </w:r>
      <w:r w:rsidR="004610FB" w:rsidRPr="004610FB">
        <w:rPr>
          <w:rFonts w:ascii="Times New Roman" w:hAnsi="Times New Roman" w:cs="Times New Roman"/>
          <w:sz w:val="28"/>
          <w:szCs w:val="28"/>
          <w:lang w:val="uk-UA"/>
        </w:rPr>
        <w:t xml:space="preserve"> (АД) – 3,8%, підлітків 13-14 років відповідно – 6,1%</w:t>
      </w:r>
      <w:r w:rsidR="00820771">
        <w:rPr>
          <w:rFonts w:ascii="Times New Roman" w:hAnsi="Times New Roman" w:cs="Times New Roman"/>
          <w:sz w:val="28"/>
          <w:szCs w:val="28"/>
          <w:lang w:val="uk-UA"/>
        </w:rPr>
        <w:t>, 5,6%, 3,9% [16</w:t>
      </w:r>
      <w:r w:rsidR="000E4CA8">
        <w:rPr>
          <w:rFonts w:ascii="Times New Roman" w:hAnsi="Times New Roman" w:cs="Times New Roman"/>
          <w:sz w:val="28"/>
          <w:szCs w:val="28"/>
          <w:lang w:val="uk-UA"/>
        </w:rPr>
        <w:t>, 17</w:t>
      </w:r>
      <w:r w:rsidR="00637D44">
        <w:rPr>
          <w:rFonts w:ascii="Times New Roman" w:hAnsi="Times New Roman" w:cs="Times New Roman"/>
          <w:sz w:val="28"/>
          <w:szCs w:val="28"/>
          <w:lang w:val="uk-UA"/>
        </w:rPr>
        <w:t>]. У</w:t>
      </w:r>
      <w:r w:rsidR="004610FB" w:rsidRPr="004610FB">
        <w:rPr>
          <w:rFonts w:ascii="Times New Roman" w:hAnsi="Times New Roman" w:cs="Times New Roman"/>
          <w:sz w:val="28"/>
          <w:szCs w:val="28"/>
          <w:lang w:val="uk-UA"/>
        </w:rPr>
        <w:t xml:space="preserve"> розвинених країнах майже 15-35 % населення страждають на алергічні захворювання, що являє собою велику соціальну та економічну проблему.</w:t>
      </w:r>
      <w:r>
        <w:rPr>
          <w:rFonts w:ascii="Times New Roman" w:hAnsi="Times New Roman" w:cs="Times New Roman"/>
          <w:sz w:val="28"/>
          <w:szCs w:val="28"/>
          <w:lang w:val="uk-UA"/>
        </w:rPr>
        <w:t xml:space="preserve"> </w:t>
      </w:r>
      <w:r w:rsidRPr="001D4381">
        <w:rPr>
          <w:rFonts w:ascii="Times New Roman" w:hAnsi="Times New Roman" w:cs="Times New Roman"/>
          <w:sz w:val="28"/>
          <w:szCs w:val="28"/>
          <w:lang w:val="uk-UA"/>
        </w:rPr>
        <w:t>Бронхіальна астма далеко вийшла</w:t>
      </w:r>
      <w:r>
        <w:rPr>
          <w:rFonts w:ascii="Times New Roman" w:hAnsi="Times New Roman" w:cs="Times New Roman"/>
          <w:sz w:val="28"/>
          <w:szCs w:val="28"/>
          <w:lang w:val="uk-UA"/>
        </w:rPr>
        <w:t xml:space="preserve"> за рамки медичної проблеми і </w:t>
      </w:r>
      <w:r w:rsidRPr="001D4381">
        <w:rPr>
          <w:rFonts w:ascii="Times New Roman" w:hAnsi="Times New Roman" w:cs="Times New Roman"/>
          <w:sz w:val="28"/>
          <w:szCs w:val="28"/>
          <w:lang w:val="uk-UA"/>
        </w:rPr>
        <w:t>набула соціально-економічно</w:t>
      </w:r>
      <w:r>
        <w:rPr>
          <w:rFonts w:ascii="Times New Roman" w:hAnsi="Times New Roman" w:cs="Times New Roman"/>
          <w:sz w:val="28"/>
          <w:szCs w:val="28"/>
          <w:lang w:val="uk-UA"/>
        </w:rPr>
        <w:t>го значення через те, що уражає</w:t>
      </w:r>
      <w:r w:rsidRPr="001D4381">
        <w:rPr>
          <w:rFonts w:ascii="Times New Roman" w:hAnsi="Times New Roman" w:cs="Times New Roman"/>
          <w:sz w:val="28"/>
          <w:szCs w:val="28"/>
          <w:lang w:val="uk-UA"/>
        </w:rPr>
        <w:t xml:space="preserve"> в основному м</w:t>
      </w:r>
      <w:r>
        <w:rPr>
          <w:rFonts w:ascii="Times New Roman" w:hAnsi="Times New Roman" w:cs="Times New Roman"/>
          <w:sz w:val="28"/>
          <w:szCs w:val="28"/>
          <w:lang w:val="uk-UA"/>
        </w:rPr>
        <w:t xml:space="preserve">олодий вік у найбільш активний </w:t>
      </w:r>
      <w:r w:rsidRPr="001D4381">
        <w:rPr>
          <w:rFonts w:ascii="Times New Roman" w:hAnsi="Times New Roman" w:cs="Times New Roman"/>
          <w:sz w:val="28"/>
          <w:szCs w:val="28"/>
          <w:lang w:val="uk-UA"/>
        </w:rPr>
        <w:t>період життя люди</w:t>
      </w:r>
      <w:r w:rsidR="00637D44">
        <w:rPr>
          <w:rFonts w:ascii="Times New Roman" w:hAnsi="Times New Roman" w:cs="Times New Roman"/>
          <w:sz w:val="28"/>
          <w:szCs w:val="28"/>
          <w:lang w:val="uk-UA"/>
        </w:rPr>
        <w:t xml:space="preserve">ни, призводить до втрати днів </w:t>
      </w:r>
      <w:r w:rsidRPr="001D4381">
        <w:rPr>
          <w:rFonts w:ascii="Times New Roman" w:hAnsi="Times New Roman" w:cs="Times New Roman"/>
          <w:sz w:val="28"/>
          <w:szCs w:val="28"/>
          <w:lang w:val="uk-UA"/>
        </w:rPr>
        <w:t>працездатності, зростає летальність.</w:t>
      </w:r>
      <w:r>
        <w:rPr>
          <w:rFonts w:ascii="Times New Roman" w:hAnsi="Times New Roman" w:cs="Times New Roman"/>
          <w:sz w:val="28"/>
          <w:szCs w:val="28"/>
          <w:lang w:val="uk-UA"/>
        </w:rPr>
        <w:t xml:space="preserve"> </w:t>
      </w:r>
      <w:r w:rsidRPr="001D4381">
        <w:rPr>
          <w:rFonts w:ascii="Times New Roman" w:hAnsi="Times New Roman" w:cs="Times New Roman"/>
          <w:sz w:val="28"/>
          <w:szCs w:val="28"/>
          <w:lang w:val="uk-UA"/>
        </w:rPr>
        <w:t>Згідно з літературними даними</w:t>
      </w:r>
      <w:r w:rsidR="000E4CA8">
        <w:rPr>
          <w:rFonts w:ascii="Times New Roman" w:hAnsi="Times New Roman" w:cs="Times New Roman"/>
          <w:sz w:val="28"/>
          <w:szCs w:val="28"/>
          <w:lang w:val="uk-UA"/>
        </w:rPr>
        <w:t>,</w:t>
      </w:r>
      <w:r w:rsidRPr="001D4381">
        <w:rPr>
          <w:rFonts w:ascii="Times New Roman" w:hAnsi="Times New Roman" w:cs="Times New Roman"/>
          <w:sz w:val="28"/>
          <w:szCs w:val="28"/>
          <w:lang w:val="uk-UA"/>
        </w:rPr>
        <w:t xml:space="preserve"> бронхіальною астмою страждають у різних країн</w:t>
      </w:r>
      <w:r w:rsidR="00637D44">
        <w:rPr>
          <w:rFonts w:ascii="Times New Roman" w:hAnsi="Times New Roman" w:cs="Times New Roman"/>
          <w:sz w:val="28"/>
          <w:szCs w:val="28"/>
          <w:lang w:val="uk-UA"/>
        </w:rPr>
        <w:t>ах світу від 1 до 10% жителів. У</w:t>
      </w:r>
      <w:r w:rsidRPr="001D4381">
        <w:rPr>
          <w:rFonts w:ascii="Times New Roman" w:hAnsi="Times New Roman" w:cs="Times New Roman"/>
          <w:sz w:val="28"/>
          <w:szCs w:val="28"/>
          <w:lang w:val="uk-UA"/>
        </w:rPr>
        <w:t xml:space="preserve"> загальному вважається , що на земній кулі бронхі</w:t>
      </w:r>
      <w:r w:rsidR="000E4CA8">
        <w:rPr>
          <w:rFonts w:ascii="Times New Roman" w:hAnsi="Times New Roman" w:cs="Times New Roman"/>
          <w:sz w:val="28"/>
          <w:szCs w:val="28"/>
          <w:lang w:val="uk-UA"/>
        </w:rPr>
        <w:t>альною астмою хворіють не менше</w:t>
      </w:r>
      <w:r w:rsidRPr="001D4381">
        <w:rPr>
          <w:rFonts w:ascii="Times New Roman" w:hAnsi="Times New Roman" w:cs="Times New Roman"/>
          <w:sz w:val="28"/>
          <w:szCs w:val="28"/>
          <w:lang w:val="uk-UA"/>
        </w:rPr>
        <w:t xml:space="preserve"> 2 % всього населення. В результаті цього захворювання щорічно вмирають біля 2 млн людей. У країнах Євро</w:t>
      </w:r>
      <w:r w:rsidR="00637D44">
        <w:rPr>
          <w:rFonts w:ascii="Times New Roman" w:hAnsi="Times New Roman" w:cs="Times New Roman"/>
          <w:sz w:val="28"/>
          <w:szCs w:val="28"/>
          <w:lang w:val="uk-UA"/>
        </w:rPr>
        <w:t>пи і Америки астма трапляється в</w:t>
      </w:r>
      <w:r w:rsidRPr="001D4381">
        <w:rPr>
          <w:rFonts w:ascii="Times New Roman" w:hAnsi="Times New Roman" w:cs="Times New Roman"/>
          <w:sz w:val="28"/>
          <w:szCs w:val="28"/>
          <w:lang w:val="uk-UA"/>
        </w:rPr>
        <w:t xml:space="preserve"> 2-11 % дорослого населення</w:t>
      </w:r>
      <w:r w:rsidR="00027715">
        <w:rPr>
          <w:rFonts w:ascii="Times New Roman" w:hAnsi="Times New Roman" w:cs="Times New Roman"/>
          <w:sz w:val="28"/>
          <w:szCs w:val="28"/>
          <w:lang w:val="uk-UA"/>
        </w:rPr>
        <w:t xml:space="preserve"> </w:t>
      </w:r>
      <w:r w:rsidR="00027715" w:rsidRPr="00027715">
        <w:rPr>
          <w:rFonts w:ascii="Times New Roman" w:hAnsi="Times New Roman" w:cs="Times New Roman"/>
          <w:sz w:val="28"/>
          <w:szCs w:val="28"/>
          <w:lang w:val="ru-RU"/>
        </w:rPr>
        <w:t>[14]</w:t>
      </w:r>
      <w:r w:rsidR="004610FB" w:rsidRPr="004610FB">
        <w:rPr>
          <w:rFonts w:ascii="Times New Roman" w:hAnsi="Times New Roman" w:cs="Times New Roman"/>
          <w:sz w:val="28"/>
          <w:szCs w:val="28"/>
          <w:lang w:val="uk-UA"/>
        </w:rPr>
        <w:t>.</w:t>
      </w:r>
    </w:p>
    <w:p w14:paraId="62D5C34F" w14:textId="0E121505" w:rsidR="004610FB" w:rsidRPr="004610FB" w:rsidRDefault="000E4CA8" w:rsidP="004610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свідчать дані</w:t>
      </w:r>
      <w:r w:rsidR="00027715" w:rsidRPr="004610FB">
        <w:rPr>
          <w:rFonts w:ascii="Times New Roman" w:hAnsi="Times New Roman" w:cs="Times New Roman"/>
          <w:sz w:val="28"/>
          <w:szCs w:val="28"/>
          <w:lang w:val="uk-UA"/>
        </w:rPr>
        <w:t xml:space="preserve"> </w:t>
      </w:r>
      <w:r w:rsidR="00027715">
        <w:rPr>
          <w:rFonts w:ascii="Times New Roman" w:hAnsi="Times New Roman" w:cs="Times New Roman"/>
          <w:sz w:val="28"/>
          <w:szCs w:val="28"/>
          <w:lang w:val="uk-UA"/>
        </w:rPr>
        <w:t>Балаболкін</w:t>
      </w:r>
      <w:r w:rsidR="00A6417E">
        <w:rPr>
          <w:rFonts w:ascii="Times New Roman" w:hAnsi="Times New Roman" w:cs="Times New Roman"/>
          <w:sz w:val="28"/>
          <w:szCs w:val="28"/>
          <w:lang w:val="uk-UA"/>
        </w:rPr>
        <w:t>а</w:t>
      </w:r>
      <w:r w:rsidR="00027715">
        <w:rPr>
          <w:rFonts w:ascii="Times New Roman" w:hAnsi="Times New Roman" w:cs="Times New Roman"/>
          <w:sz w:val="28"/>
          <w:szCs w:val="28"/>
          <w:lang w:val="uk-UA"/>
        </w:rPr>
        <w:t xml:space="preserve"> І.І.</w:t>
      </w:r>
      <w:r w:rsidR="004610FB" w:rsidRPr="004610FB">
        <w:rPr>
          <w:rFonts w:ascii="Times New Roman" w:hAnsi="Times New Roman" w:cs="Times New Roman"/>
          <w:sz w:val="28"/>
          <w:szCs w:val="28"/>
          <w:lang w:val="uk-UA"/>
        </w:rPr>
        <w:t>, розвиток алергічних захворювань визначається особливостями генетично запрограмованої імунної відповіді на антиген під дією різних провокуючих факторів, які призводять до реалізації захворювання</w:t>
      </w:r>
      <w:r>
        <w:rPr>
          <w:rFonts w:ascii="Times New Roman" w:hAnsi="Times New Roman" w:cs="Times New Roman"/>
          <w:sz w:val="28"/>
          <w:szCs w:val="28"/>
          <w:lang w:val="uk-UA"/>
        </w:rPr>
        <w:t xml:space="preserve"> </w:t>
      </w:r>
      <w:r w:rsidRPr="000E4CA8">
        <w:rPr>
          <w:rFonts w:ascii="Times New Roman" w:hAnsi="Times New Roman" w:cs="Times New Roman"/>
          <w:sz w:val="28"/>
          <w:szCs w:val="28"/>
          <w:lang w:val="uk-UA"/>
        </w:rPr>
        <w:t>[</w:t>
      </w:r>
      <w:r>
        <w:rPr>
          <w:rFonts w:ascii="Times New Roman" w:hAnsi="Times New Roman" w:cs="Times New Roman"/>
          <w:sz w:val="28"/>
          <w:szCs w:val="28"/>
          <w:lang w:val="uk-UA"/>
        </w:rPr>
        <w:t>18</w:t>
      </w:r>
      <w:r w:rsidRPr="000E4CA8">
        <w:rPr>
          <w:rFonts w:ascii="Times New Roman" w:hAnsi="Times New Roman" w:cs="Times New Roman"/>
          <w:sz w:val="28"/>
          <w:szCs w:val="28"/>
          <w:lang w:val="uk-UA"/>
        </w:rPr>
        <w:t>, 19]</w:t>
      </w:r>
      <w:r w:rsidR="00637D44">
        <w:rPr>
          <w:rFonts w:ascii="Times New Roman" w:hAnsi="Times New Roman" w:cs="Times New Roman"/>
          <w:sz w:val="28"/>
          <w:szCs w:val="28"/>
          <w:lang w:val="uk-UA"/>
        </w:rPr>
        <w:t>. Це пов’язано</w:t>
      </w:r>
      <w:r w:rsidR="004610FB" w:rsidRPr="004610FB">
        <w:rPr>
          <w:rFonts w:ascii="Times New Roman" w:hAnsi="Times New Roman" w:cs="Times New Roman"/>
          <w:sz w:val="28"/>
          <w:szCs w:val="28"/>
          <w:lang w:val="uk-UA"/>
        </w:rPr>
        <w:t xml:space="preserve"> з готовністю організму певної категорії дітей до розвитку атопічних реакцій і проявляється особливостями функцій різних систем і органів, зокрема, імунної, нервової, ендокринної, шлунково-кишкового тракту, обміну речовин </w:t>
      </w:r>
      <w:r w:rsidR="00637D44">
        <w:rPr>
          <w:rFonts w:ascii="Times New Roman" w:hAnsi="Times New Roman" w:cs="Times New Roman"/>
          <w:sz w:val="28"/>
          <w:szCs w:val="28"/>
          <w:lang w:val="uk-UA"/>
        </w:rPr>
        <w:t>та ін.. У зв’язку з цим наявна в</w:t>
      </w:r>
      <w:r w:rsidR="004610FB" w:rsidRPr="004610FB">
        <w:rPr>
          <w:rFonts w:ascii="Times New Roman" w:hAnsi="Times New Roman" w:cs="Times New Roman"/>
          <w:sz w:val="28"/>
          <w:szCs w:val="28"/>
          <w:lang w:val="uk-UA"/>
        </w:rPr>
        <w:t xml:space="preserve"> дитини </w:t>
      </w:r>
      <w:r w:rsidR="004610FB" w:rsidRPr="004610FB">
        <w:rPr>
          <w:rFonts w:ascii="Times New Roman" w:hAnsi="Times New Roman" w:cs="Times New Roman"/>
          <w:sz w:val="28"/>
          <w:szCs w:val="28"/>
          <w:lang w:val="uk-UA"/>
        </w:rPr>
        <w:lastRenderedPageBreak/>
        <w:t>спадкова схильність до атопії реалізується у захворювання під впливом тригерних факторів, серед, яких найчастіше є харчові, побутові, епідермальні</w:t>
      </w:r>
      <w:r>
        <w:rPr>
          <w:rFonts w:ascii="Times New Roman" w:hAnsi="Times New Roman" w:cs="Times New Roman"/>
          <w:sz w:val="28"/>
          <w:szCs w:val="28"/>
          <w:lang w:val="uk-UA"/>
        </w:rPr>
        <w:t xml:space="preserve"> </w:t>
      </w:r>
      <w:r w:rsidRPr="000E4CA8">
        <w:rPr>
          <w:rFonts w:ascii="Times New Roman" w:hAnsi="Times New Roman" w:cs="Times New Roman"/>
          <w:sz w:val="28"/>
          <w:szCs w:val="28"/>
          <w:lang w:val="uk-UA"/>
        </w:rPr>
        <w:t>[</w:t>
      </w:r>
      <w:r>
        <w:rPr>
          <w:rFonts w:ascii="Times New Roman" w:hAnsi="Times New Roman" w:cs="Times New Roman"/>
          <w:sz w:val="28"/>
          <w:szCs w:val="28"/>
          <w:lang w:val="uk-UA"/>
        </w:rPr>
        <w:t>20</w:t>
      </w:r>
      <w:r w:rsidRPr="000E4CA8">
        <w:rPr>
          <w:rFonts w:ascii="Times New Roman" w:hAnsi="Times New Roman" w:cs="Times New Roman"/>
          <w:sz w:val="28"/>
          <w:szCs w:val="28"/>
          <w:lang w:val="uk-UA"/>
        </w:rPr>
        <w:t>]</w:t>
      </w:r>
      <w:r w:rsidR="004610FB" w:rsidRPr="004610FB">
        <w:rPr>
          <w:rFonts w:ascii="Times New Roman" w:hAnsi="Times New Roman" w:cs="Times New Roman"/>
          <w:sz w:val="28"/>
          <w:szCs w:val="28"/>
          <w:lang w:val="uk-UA"/>
        </w:rPr>
        <w:t>. Найчастішими алергічними захворюваннями, які розвиваються у дітей на тлі алергічної схильності є АД, БА, алергічний риніт, кропивниця тощо. Аналіз поширеності АД серед дитячого населення України за останні десять років свідчить про щорічне зростання цієї патології на тлі росту всіх захворювань шкіри, особливо в урбанізованих регіонах України поширеність АД серед дітей складає 5-20% [</w:t>
      </w:r>
      <w:r>
        <w:rPr>
          <w:rFonts w:ascii="Times New Roman" w:hAnsi="Times New Roman" w:cs="Times New Roman"/>
          <w:sz w:val="28"/>
          <w:szCs w:val="28"/>
          <w:lang w:val="uk-UA"/>
        </w:rPr>
        <w:t>21, 22</w:t>
      </w:r>
      <w:r w:rsidR="004610FB" w:rsidRPr="004610FB">
        <w:rPr>
          <w:rFonts w:ascii="Times New Roman" w:hAnsi="Times New Roman" w:cs="Times New Roman"/>
          <w:sz w:val="28"/>
          <w:szCs w:val="28"/>
          <w:lang w:val="uk-UA"/>
        </w:rPr>
        <w:t>]. За даними літератури, при наявності схильності до алергії з боку обох батьків алергічні захворювання реалізуються у 81% випадків, а з боку одного із батьків – у 56%</w:t>
      </w:r>
      <w:r w:rsidR="00D72AAA">
        <w:rPr>
          <w:rFonts w:ascii="Times New Roman" w:hAnsi="Times New Roman" w:cs="Times New Roman"/>
          <w:sz w:val="28"/>
          <w:szCs w:val="28"/>
          <w:lang w:val="uk-UA"/>
        </w:rPr>
        <w:t xml:space="preserve"> випадків</w:t>
      </w:r>
      <w:r w:rsidR="004610FB" w:rsidRPr="004610FB">
        <w:rPr>
          <w:rFonts w:ascii="Times New Roman" w:hAnsi="Times New Roman" w:cs="Times New Roman"/>
          <w:sz w:val="28"/>
          <w:szCs w:val="28"/>
          <w:lang w:val="uk-UA"/>
        </w:rPr>
        <w:t>. Ризик розвитку атопії у дитини значно зростає при наявності алергопатології у матері [</w:t>
      </w:r>
      <w:r w:rsidR="00D72AAA">
        <w:rPr>
          <w:rFonts w:ascii="Times New Roman" w:hAnsi="Times New Roman" w:cs="Times New Roman"/>
          <w:sz w:val="28"/>
          <w:szCs w:val="28"/>
          <w:lang w:val="ru-RU"/>
        </w:rPr>
        <w:t>23, 24</w:t>
      </w:r>
      <w:r w:rsidR="004610FB" w:rsidRPr="004610FB">
        <w:rPr>
          <w:rFonts w:ascii="Times New Roman" w:hAnsi="Times New Roman" w:cs="Times New Roman"/>
          <w:sz w:val="28"/>
          <w:szCs w:val="28"/>
          <w:lang w:val="uk-UA"/>
        </w:rPr>
        <w:t>].</w:t>
      </w:r>
    </w:p>
    <w:p w14:paraId="4EC392E9" w14:textId="126F2B3E" w:rsidR="00A82DB7" w:rsidRDefault="00A82DB7" w:rsidP="004610FB">
      <w:pPr>
        <w:spacing w:after="0" w:line="360" w:lineRule="auto"/>
        <w:ind w:firstLine="709"/>
        <w:jc w:val="both"/>
        <w:rPr>
          <w:rFonts w:ascii="Times New Roman" w:hAnsi="Times New Roman" w:cs="Times New Roman"/>
          <w:sz w:val="28"/>
          <w:szCs w:val="28"/>
          <w:lang w:val="uk-UA"/>
        </w:rPr>
      </w:pPr>
      <w:r w:rsidRPr="00A82DB7">
        <w:rPr>
          <w:rFonts w:ascii="Times New Roman" w:hAnsi="Times New Roman" w:cs="Times New Roman"/>
          <w:sz w:val="28"/>
          <w:szCs w:val="28"/>
          <w:lang w:val="uk-UA"/>
        </w:rPr>
        <w:t>Роль спад</w:t>
      </w:r>
      <w:r w:rsidR="00637D44">
        <w:rPr>
          <w:rFonts w:ascii="Times New Roman" w:hAnsi="Times New Roman" w:cs="Times New Roman"/>
          <w:sz w:val="28"/>
          <w:szCs w:val="28"/>
          <w:lang w:val="uk-UA"/>
        </w:rPr>
        <w:t>ковості в</w:t>
      </w:r>
      <w:r w:rsidRPr="00A82DB7">
        <w:rPr>
          <w:rFonts w:ascii="Times New Roman" w:hAnsi="Times New Roman" w:cs="Times New Roman"/>
          <w:sz w:val="28"/>
          <w:szCs w:val="28"/>
          <w:lang w:val="uk-UA"/>
        </w:rPr>
        <w:t xml:space="preserve"> розвитку БА є загальновизнаною. Опубліковані результати досліджень свідчать про те, що висока захворюваність спостерігається у деяких сім’ях. Спадкова схильність до алергічних хворо</w:t>
      </w:r>
      <w:r w:rsidR="00637D44">
        <w:rPr>
          <w:rFonts w:ascii="Times New Roman" w:hAnsi="Times New Roman" w:cs="Times New Roman"/>
          <w:sz w:val="28"/>
          <w:szCs w:val="28"/>
          <w:lang w:val="uk-UA"/>
        </w:rPr>
        <w:t>б виявляється у 20-54% хворих</w:t>
      </w:r>
      <w:r w:rsidRPr="00A82DB7">
        <w:rPr>
          <w:rFonts w:ascii="Times New Roman" w:hAnsi="Times New Roman" w:cs="Times New Roman"/>
          <w:sz w:val="28"/>
          <w:szCs w:val="28"/>
          <w:lang w:val="uk-UA"/>
        </w:rPr>
        <w:t xml:space="preserve"> БА. Насамперед має значення обтяжена спадковість, яку в</w:t>
      </w:r>
      <w:r w:rsidR="00637D44">
        <w:rPr>
          <w:rFonts w:ascii="Times New Roman" w:hAnsi="Times New Roman" w:cs="Times New Roman"/>
          <w:sz w:val="28"/>
          <w:szCs w:val="28"/>
          <w:lang w:val="uk-UA"/>
        </w:rPr>
        <w:t>иявляють у 40-80% хворих</w:t>
      </w:r>
      <w:r w:rsidR="00027715">
        <w:rPr>
          <w:rFonts w:ascii="Times New Roman" w:hAnsi="Times New Roman" w:cs="Times New Roman"/>
          <w:sz w:val="28"/>
          <w:szCs w:val="28"/>
          <w:lang w:val="uk-UA"/>
        </w:rPr>
        <w:t xml:space="preserve"> БА [</w:t>
      </w:r>
      <w:r w:rsidR="00D63F83">
        <w:rPr>
          <w:rFonts w:ascii="Times New Roman" w:hAnsi="Times New Roman" w:cs="Times New Roman"/>
          <w:sz w:val="28"/>
          <w:szCs w:val="28"/>
          <w:lang w:val="ru-RU"/>
        </w:rPr>
        <w:t>25</w:t>
      </w:r>
      <w:r w:rsidR="00027715">
        <w:rPr>
          <w:rFonts w:ascii="Times New Roman" w:hAnsi="Times New Roman" w:cs="Times New Roman"/>
          <w:sz w:val="28"/>
          <w:szCs w:val="28"/>
          <w:lang w:val="uk-UA"/>
        </w:rPr>
        <w:t>]</w:t>
      </w:r>
      <w:r w:rsidRPr="00A82DB7">
        <w:rPr>
          <w:rFonts w:ascii="Times New Roman" w:hAnsi="Times New Roman" w:cs="Times New Roman"/>
          <w:sz w:val="28"/>
          <w:szCs w:val="28"/>
          <w:lang w:val="uk-UA"/>
        </w:rPr>
        <w:t>.</w:t>
      </w:r>
    </w:p>
    <w:p w14:paraId="3DB29194" w14:textId="0DB1D55A" w:rsidR="004610FB" w:rsidRDefault="004610FB" w:rsidP="004610FB">
      <w:pPr>
        <w:spacing w:after="0" w:line="360" w:lineRule="auto"/>
        <w:ind w:firstLine="709"/>
        <w:jc w:val="both"/>
        <w:rPr>
          <w:rFonts w:ascii="Times New Roman" w:hAnsi="Times New Roman" w:cs="Times New Roman"/>
          <w:sz w:val="28"/>
          <w:szCs w:val="28"/>
          <w:lang w:val="uk-UA"/>
        </w:rPr>
      </w:pPr>
      <w:r w:rsidRPr="004610FB">
        <w:rPr>
          <w:rFonts w:ascii="Times New Roman" w:hAnsi="Times New Roman" w:cs="Times New Roman"/>
          <w:sz w:val="28"/>
          <w:szCs w:val="28"/>
          <w:lang w:val="uk-UA"/>
        </w:rPr>
        <w:t>На теперішній час не є достатньо з’ясованими шляхи розвитку алергічних захворювань у дітей з алергічною схильністю. Зокрема, не вивчені особливості мінерального обміну у дітей з алергічною схильністю на до нозологічному етапі та при наявності реалізованого алергічного захворювання, залишаються не до кінця з’ясованими окремі механізми імунної відповіді у дітей з алергічною схильністю. Не встановлена чітка межа між готовністю організму дитини до розвитку атопічних реакцій і реалізацією їх в захворювання, недостатньо з’ясовані особливості функціонування різних органів і систем, зокрема травної, імунної та обміну речовин. Окрім того суттєвим є своєчасне виявлення і елімінація алергенів, як один із шляхів запобігання формування алергічних захворювань у дітей з спадковою алергічною схильністю</w:t>
      </w:r>
      <w:r w:rsidR="00D63F83">
        <w:rPr>
          <w:rFonts w:ascii="Times New Roman" w:hAnsi="Times New Roman" w:cs="Times New Roman"/>
          <w:sz w:val="28"/>
          <w:szCs w:val="28"/>
          <w:lang w:val="uk-UA"/>
        </w:rPr>
        <w:t xml:space="preserve"> </w:t>
      </w:r>
      <w:r w:rsidR="00D63F83" w:rsidRPr="00D63F83">
        <w:rPr>
          <w:rFonts w:ascii="Times New Roman" w:hAnsi="Times New Roman" w:cs="Times New Roman"/>
          <w:sz w:val="28"/>
          <w:szCs w:val="28"/>
          <w:lang w:val="uk-UA"/>
        </w:rPr>
        <w:t>[</w:t>
      </w:r>
      <w:r w:rsidR="00D63F83">
        <w:rPr>
          <w:rFonts w:ascii="Times New Roman" w:hAnsi="Times New Roman" w:cs="Times New Roman"/>
          <w:sz w:val="28"/>
          <w:szCs w:val="28"/>
          <w:lang w:val="uk-UA"/>
        </w:rPr>
        <w:t>26, 27</w:t>
      </w:r>
      <w:r w:rsidR="00D63F83" w:rsidRPr="005A47B1">
        <w:rPr>
          <w:rFonts w:ascii="Times New Roman" w:hAnsi="Times New Roman" w:cs="Times New Roman"/>
          <w:sz w:val="28"/>
          <w:szCs w:val="28"/>
          <w:lang w:val="ru-RU"/>
        </w:rPr>
        <w:t>]</w:t>
      </w:r>
      <w:r w:rsidRPr="004610FB">
        <w:rPr>
          <w:rFonts w:ascii="Times New Roman" w:hAnsi="Times New Roman" w:cs="Times New Roman"/>
          <w:sz w:val="28"/>
          <w:szCs w:val="28"/>
          <w:lang w:val="uk-UA"/>
        </w:rPr>
        <w:t xml:space="preserve">. </w:t>
      </w:r>
    </w:p>
    <w:p w14:paraId="6F2F7633" w14:textId="02E0177B" w:rsidR="00A82DB7" w:rsidRPr="004610FB" w:rsidRDefault="00A82DB7" w:rsidP="004610FB">
      <w:pPr>
        <w:spacing w:after="0" w:line="360" w:lineRule="auto"/>
        <w:ind w:firstLine="709"/>
        <w:jc w:val="both"/>
        <w:rPr>
          <w:rFonts w:ascii="Times New Roman" w:hAnsi="Times New Roman" w:cs="Times New Roman"/>
          <w:sz w:val="28"/>
          <w:szCs w:val="28"/>
          <w:lang w:val="uk-UA"/>
        </w:rPr>
      </w:pPr>
      <w:r w:rsidRPr="00A82DB7">
        <w:rPr>
          <w:rFonts w:ascii="Times New Roman" w:hAnsi="Times New Roman" w:cs="Times New Roman"/>
          <w:sz w:val="28"/>
          <w:szCs w:val="28"/>
          <w:lang w:val="uk-UA"/>
        </w:rPr>
        <w:t>Найбільш частим передвісником а</w:t>
      </w:r>
      <w:r w:rsidR="00D8093F">
        <w:rPr>
          <w:rFonts w:ascii="Times New Roman" w:hAnsi="Times New Roman" w:cs="Times New Roman"/>
          <w:sz w:val="28"/>
          <w:szCs w:val="28"/>
          <w:lang w:val="uk-UA"/>
        </w:rPr>
        <w:t xml:space="preserve">стми у хворих на </w:t>
      </w:r>
      <w:r w:rsidR="00637D44">
        <w:rPr>
          <w:rFonts w:ascii="Times New Roman" w:hAnsi="Times New Roman" w:cs="Times New Roman"/>
          <w:sz w:val="28"/>
          <w:szCs w:val="28"/>
          <w:lang w:val="uk-UA"/>
        </w:rPr>
        <w:t xml:space="preserve">її </w:t>
      </w:r>
      <w:r w:rsidR="00D8093F">
        <w:rPr>
          <w:rFonts w:ascii="Times New Roman" w:hAnsi="Times New Roman" w:cs="Times New Roman"/>
          <w:sz w:val="28"/>
          <w:szCs w:val="28"/>
          <w:lang w:val="uk-UA"/>
        </w:rPr>
        <w:t>різні форми є</w:t>
      </w:r>
      <w:r w:rsidRPr="00A82DB7">
        <w:rPr>
          <w:rFonts w:ascii="Times New Roman" w:hAnsi="Times New Roman" w:cs="Times New Roman"/>
          <w:sz w:val="28"/>
          <w:szCs w:val="28"/>
          <w:lang w:val="uk-UA"/>
        </w:rPr>
        <w:t xml:space="preserve"> бронх</w:t>
      </w:r>
      <w:r w:rsidR="00D8093F">
        <w:rPr>
          <w:rFonts w:ascii="Times New Roman" w:hAnsi="Times New Roman" w:cs="Times New Roman"/>
          <w:sz w:val="28"/>
          <w:szCs w:val="28"/>
          <w:lang w:val="uk-UA"/>
        </w:rPr>
        <w:t>іт</w:t>
      </w:r>
      <w:r w:rsidR="00637D44">
        <w:rPr>
          <w:rFonts w:ascii="Times New Roman" w:hAnsi="Times New Roman" w:cs="Times New Roman"/>
          <w:sz w:val="28"/>
          <w:szCs w:val="28"/>
          <w:lang w:val="uk-UA"/>
        </w:rPr>
        <w:t>,</w:t>
      </w:r>
      <w:r w:rsidR="00D8093F">
        <w:rPr>
          <w:rFonts w:ascii="Times New Roman" w:hAnsi="Times New Roman" w:cs="Times New Roman"/>
          <w:sz w:val="28"/>
          <w:szCs w:val="28"/>
          <w:lang w:val="uk-UA"/>
        </w:rPr>
        <w:t xml:space="preserve"> як гостра, так і хронічна </w:t>
      </w:r>
      <w:r w:rsidR="00637D44">
        <w:rPr>
          <w:rFonts w:ascii="Times New Roman" w:hAnsi="Times New Roman" w:cs="Times New Roman"/>
          <w:sz w:val="28"/>
          <w:szCs w:val="28"/>
          <w:lang w:val="uk-UA"/>
        </w:rPr>
        <w:t xml:space="preserve">його </w:t>
      </w:r>
      <w:r w:rsidR="00D8093F">
        <w:rPr>
          <w:rFonts w:ascii="Times New Roman" w:hAnsi="Times New Roman" w:cs="Times New Roman"/>
          <w:sz w:val="28"/>
          <w:szCs w:val="28"/>
          <w:lang w:val="uk-UA"/>
        </w:rPr>
        <w:t>форми</w:t>
      </w:r>
      <w:r w:rsidRPr="00A82DB7">
        <w:rPr>
          <w:rFonts w:ascii="Times New Roman" w:hAnsi="Times New Roman" w:cs="Times New Roman"/>
          <w:sz w:val="28"/>
          <w:szCs w:val="28"/>
          <w:lang w:val="uk-UA"/>
        </w:rPr>
        <w:t xml:space="preserve">. </w:t>
      </w:r>
      <w:r w:rsidR="000342D8">
        <w:rPr>
          <w:rFonts w:ascii="Times New Roman" w:hAnsi="Times New Roman" w:cs="Times New Roman"/>
          <w:sz w:val="28"/>
          <w:szCs w:val="28"/>
          <w:lang w:val="uk-UA"/>
        </w:rPr>
        <w:t>За даними, представленими у дослідженнях, у</w:t>
      </w:r>
      <w:r w:rsidRPr="00A82DB7">
        <w:rPr>
          <w:rFonts w:ascii="Times New Roman" w:hAnsi="Times New Roman" w:cs="Times New Roman"/>
          <w:sz w:val="28"/>
          <w:szCs w:val="28"/>
          <w:lang w:val="uk-UA"/>
        </w:rPr>
        <w:t xml:space="preserve"> 36,7% хворих на інфекційну</w:t>
      </w:r>
      <w:r w:rsidR="00637D44">
        <w:rPr>
          <w:rFonts w:ascii="Times New Roman" w:hAnsi="Times New Roman" w:cs="Times New Roman"/>
          <w:sz w:val="28"/>
          <w:szCs w:val="28"/>
          <w:lang w:val="uk-UA"/>
        </w:rPr>
        <w:t xml:space="preserve"> БА</w:t>
      </w:r>
      <w:r w:rsidRPr="00A82DB7">
        <w:rPr>
          <w:rFonts w:ascii="Times New Roman" w:hAnsi="Times New Roman" w:cs="Times New Roman"/>
          <w:sz w:val="28"/>
          <w:szCs w:val="28"/>
          <w:lang w:val="uk-UA"/>
        </w:rPr>
        <w:t xml:space="preserve"> і 26% пацієнтів </w:t>
      </w:r>
      <w:r w:rsidR="00637D44">
        <w:rPr>
          <w:rFonts w:ascii="Times New Roman" w:hAnsi="Times New Roman" w:cs="Times New Roman"/>
          <w:sz w:val="28"/>
          <w:szCs w:val="28"/>
          <w:lang w:val="uk-UA"/>
        </w:rPr>
        <w:t>з атопічною</w:t>
      </w:r>
      <w:r w:rsidRPr="00A82DB7">
        <w:rPr>
          <w:rFonts w:ascii="Times New Roman" w:hAnsi="Times New Roman" w:cs="Times New Roman"/>
          <w:sz w:val="28"/>
          <w:szCs w:val="28"/>
          <w:lang w:val="uk-UA"/>
        </w:rPr>
        <w:t xml:space="preserve"> БА </w:t>
      </w:r>
      <w:r w:rsidRPr="00A82DB7">
        <w:rPr>
          <w:rFonts w:ascii="Times New Roman" w:hAnsi="Times New Roman" w:cs="Times New Roman"/>
          <w:sz w:val="28"/>
          <w:szCs w:val="28"/>
          <w:lang w:val="uk-UA"/>
        </w:rPr>
        <w:lastRenderedPageBreak/>
        <w:t>і лише у 3,8% хворих</w:t>
      </w:r>
      <w:r w:rsidR="00637D44">
        <w:rPr>
          <w:rFonts w:ascii="Times New Roman" w:hAnsi="Times New Roman" w:cs="Times New Roman"/>
          <w:sz w:val="28"/>
          <w:szCs w:val="28"/>
          <w:lang w:val="uk-UA"/>
        </w:rPr>
        <w:t xml:space="preserve"> на хімічну астму</w:t>
      </w:r>
      <w:r w:rsidRPr="00A82DB7">
        <w:rPr>
          <w:rFonts w:ascii="Times New Roman" w:hAnsi="Times New Roman" w:cs="Times New Roman"/>
          <w:sz w:val="28"/>
          <w:szCs w:val="28"/>
          <w:lang w:val="uk-UA"/>
        </w:rPr>
        <w:t xml:space="preserve"> напади ядухи виникали після пневмонії. Нападам ядухи у хворих на атопічну БА відносно часто </w:t>
      </w:r>
      <w:r w:rsidR="00027715">
        <w:rPr>
          <w:rFonts w:ascii="Times New Roman" w:hAnsi="Times New Roman" w:cs="Times New Roman"/>
          <w:sz w:val="28"/>
          <w:szCs w:val="28"/>
          <w:lang w:val="uk-UA"/>
        </w:rPr>
        <w:t>передував алергічний риніт [</w:t>
      </w:r>
      <w:r w:rsidR="00D63F83">
        <w:rPr>
          <w:rFonts w:ascii="Times New Roman" w:hAnsi="Times New Roman" w:cs="Times New Roman"/>
          <w:sz w:val="28"/>
          <w:szCs w:val="28"/>
          <w:lang w:val="ru-RU"/>
        </w:rPr>
        <w:t>28</w:t>
      </w:r>
      <w:r w:rsidR="00027715">
        <w:rPr>
          <w:rFonts w:ascii="Times New Roman" w:hAnsi="Times New Roman" w:cs="Times New Roman"/>
          <w:sz w:val="28"/>
          <w:szCs w:val="28"/>
          <w:lang w:val="uk-UA"/>
        </w:rPr>
        <w:t>]</w:t>
      </w:r>
      <w:r w:rsidRPr="00A82DB7">
        <w:rPr>
          <w:rFonts w:ascii="Times New Roman" w:hAnsi="Times New Roman" w:cs="Times New Roman"/>
          <w:sz w:val="28"/>
          <w:szCs w:val="28"/>
          <w:lang w:val="uk-UA"/>
        </w:rPr>
        <w:t>.</w:t>
      </w:r>
    </w:p>
    <w:p w14:paraId="1FE34794" w14:textId="6F15989F" w:rsidR="004610FB" w:rsidRDefault="004610FB" w:rsidP="00027715">
      <w:pPr>
        <w:spacing w:after="0" w:line="360" w:lineRule="auto"/>
        <w:ind w:firstLine="709"/>
        <w:jc w:val="both"/>
        <w:rPr>
          <w:rFonts w:ascii="Times New Roman" w:hAnsi="Times New Roman" w:cs="Times New Roman"/>
          <w:sz w:val="28"/>
          <w:szCs w:val="28"/>
          <w:lang w:val="uk-UA"/>
        </w:rPr>
      </w:pPr>
      <w:r w:rsidRPr="004610FB">
        <w:rPr>
          <w:rFonts w:ascii="Times New Roman" w:hAnsi="Times New Roman" w:cs="Times New Roman"/>
          <w:sz w:val="28"/>
          <w:szCs w:val="28"/>
          <w:lang w:val="uk-UA"/>
        </w:rPr>
        <w:t>Очевидним є те, що для попередження трансформації алергічної схильності в захворювання необхідна розробка реабілітаційних комплексів для корекції порушених функцій вищеназваних систем, які безпосередньо беруть участь у розвитку алергічних захворювань</w:t>
      </w:r>
      <w:r w:rsidR="00D63F83" w:rsidRPr="00D63F83">
        <w:rPr>
          <w:rFonts w:ascii="Times New Roman" w:hAnsi="Times New Roman" w:cs="Times New Roman"/>
          <w:sz w:val="28"/>
          <w:szCs w:val="28"/>
          <w:lang w:val="uk-UA"/>
        </w:rPr>
        <w:t xml:space="preserve"> [29</w:t>
      </w:r>
      <w:r w:rsidR="005A66B5">
        <w:rPr>
          <w:rFonts w:ascii="Times New Roman" w:hAnsi="Times New Roman" w:cs="Times New Roman"/>
          <w:sz w:val="28"/>
          <w:szCs w:val="28"/>
          <w:lang w:val="uk-UA"/>
        </w:rPr>
        <w:t>, 30</w:t>
      </w:r>
      <w:r w:rsidR="00D63F83" w:rsidRPr="00D63F83">
        <w:rPr>
          <w:rFonts w:ascii="Times New Roman" w:hAnsi="Times New Roman" w:cs="Times New Roman"/>
          <w:sz w:val="28"/>
          <w:szCs w:val="28"/>
          <w:lang w:val="uk-UA"/>
        </w:rPr>
        <w:t>]</w:t>
      </w:r>
      <w:r w:rsidRPr="004610FB">
        <w:rPr>
          <w:rFonts w:ascii="Times New Roman" w:hAnsi="Times New Roman" w:cs="Times New Roman"/>
          <w:sz w:val="28"/>
          <w:szCs w:val="28"/>
          <w:lang w:val="uk-UA"/>
        </w:rPr>
        <w:t>.</w:t>
      </w:r>
    </w:p>
    <w:p w14:paraId="6D3DAC77" w14:textId="032D9B0D" w:rsidR="00333286" w:rsidRPr="004C1D78" w:rsidRDefault="005A66B5" w:rsidP="004C1D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бронхіальної астми</w:t>
      </w:r>
      <w:r w:rsidR="00333286" w:rsidRPr="004C1D78">
        <w:rPr>
          <w:rFonts w:ascii="Times New Roman" w:hAnsi="Times New Roman" w:cs="Times New Roman"/>
          <w:sz w:val="28"/>
          <w:szCs w:val="28"/>
          <w:lang w:val="uk-UA"/>
        </w:rPr>
        <w:t xml:space="preserve"> є однією із актуальних в сучасній клінічній медицині в зв’язку з її ростом і розповсюдженістю, тяжким перебігом у дитячому віці, труднощами у діагностиці, складністю вибору адекватної індивідуальної тер</w:t>
      </w:r>
      <w:r w:rsidR="004C1D78">
        <w:rPr>
          <w:rFonts w:ascii="Times New Roman" w:hAnsi="Times New Roman" w:cs="Times New Roman"/>
          <w:sz w:val="28"/>
          <w:szCs w:val="28"/>
          <w:lang w:val="uk-UA"/>
        </w:rPr>
        <w:t>апії і підвищенням летальності</w:t>
      </w:r>
      <w:r>
        <w:rPr>
          <w:rFonts w:ascii="Times New Roman" w:hAnsi="Times New Roman" w:cs="Times New Roman"/>
          <w:noProof/>
          <w:sz w:val="28"/>
          <w:szCs w:val="28"/>
          <w:lang w:val="uk-UA"/>
        </w:rPr>
        <w:t xml:space="preserve"> [31</w:t>
      </w:r>
      <w:r w:rsidR="00027715" w:rsidRPr="000953B6">
        <w:rPr>
          <w:rFonts w:ascii="Times New Roman" w:hAnsi="Times New Roman" w:cs="Times New Roman"/>
          <w:noProof/>
          <w:sz w:val="28"/>
          <w:szCs w:val="28"/>
          <w:lang w:val="uk-UA"/>
        </w:rPr>
        <w:t>]</w:t>
      </w:r>
      <w:r w:rsidR="00333286" w:rsidRPr="004C1D78">
        <w:rPr>
          <w:rFonts w:ascii="Times New Roman" w:hAnsi="Times New Roman" w:cs="Times New Roman"/>
          <w:sz w:val="28"/>
          <w:szCs w:val="28"/>
          <w:lang w:val="uk-UA"/>
        </w:rPr>
        <w:t>.</w:t>
      </w:r>
    </w:p>
    <w:p w14:paraId="267FCD4D" w14:textId="3F48842A" w:rsidR="00333286" w:rsidRPr="00333286" w:rsidRDefault="00333286" w:rsidP="005A66B5">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За даними ВООЗ</w:t>
      </w:r>
      <w:r w:rsidR="00637D44">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розповсюдженість БА у світі коливається в середньому від 4 до 8%, серед дитячого населення складає від 2 до 15%. За даними епідеміологічного дослідження, проведеного в Києві в рамках міжнародного прогнозування ISAAC 1999-2000 рр., по</w:t>
      </w:r>
      <w:r w:rsidR="004C1D78">
        <w:rPr>
          <w:rFonts w:ascii="Times New Roman" w:hAnsi="Times New Roman" w:cs="Times New Roman"/>
          <w:sz w:val="28"/>
          <w:szCs w:val="28"/>
          <w:lang w:val="uk-UA"/>
        </w:rPr>
        <w:t xml:space="preserve">ширеність БА склала 6,1-8,1% </w:t>
      </w:r>
      <w:r w:rsidR="005A66B5">
        <w:rPr>
          <w:rFonts w:ascii="Times New Roman" w:hAnsi="Times New Roman" w:cs="Times New Roman"/>
          <w:noProof/>
          <w:sz w:val="28"/>
          <w:szCs w:val="28"/>
          <w:lang w:val="uk-UA"/>
        </w:rPr>
        <w:t>[16</w:t>
      </w:r>
      <w:r w:rsidR="005A66B5" w:rsidRPr="000953B6">
        <w:rPr>
          <w:rFonts w:ascii="Times New Roman" w:hAnsi="Times New Roman" w:cs="Times New Roman"/>
          <w:noProof/>
          <w:sz w:val="28"/>
          <w:szCs w:val="28"/>
          <w:lang w:val="uk-UA"/>
        </w:rPr>
        <w:t>]</w:t>
      </w:r>
      <w:r w:rsidR="005A66B5">
        <w:rPr>
          <w:rFonts w:ascii="Times New Roman" w:hAnsi="Times New Roman" w:cs="Times New Roman"/>
          <w:sz w:val="28"/>
          <w:szCs w:val="28"/>
          <w:lang w:val="uk-UA"/>
        </w:rPr>
        <w:t>.</w:t>
      </w:r>
      <w:r w:rsidR="005A66B5" w:rsidRPr="005A66B5">
        <w:rPr>
          <w:rFonts w:ascii="Times New Roman" w:hAnsi="Times New Roman" w:cs="Times New Roman"/>
          <w:sz w:val="28"/>
          <w:szCs w:val="28"/>
          <w:lang w:val="ru-RU"/>
        </w:rPr>
        <w:t xml:space="preserve"> </w:t>
      </w:r>
      <w:r w:rsidRPr="00333286">
        <w:rPr>
          <w:rFonts w:ascii="Times New Roman" w:hAnsi="Times New Roman" w:cs="Times New Roman"/>
          <w:sz w:val="28"/>
          <w:szCs w:val="28"/>
          <w:lang w:val="uk-UA"/>
        </w:rPr>
        <w:t xml:space="preserve">Перші прояви захворювання за результатами </w:t>
      </w:r>
      <w:r w:rsidR="000342D8">
        <w:rPr>
          <w:rFonts w:ascii="Times New Roman" w:hAnsi="Times New Roman" w:cs="Times New Roman"/>
          <w:sz w:val="28"/>
          <w:szCs w:val="28"/>
          <w:lang w:val="uk-UA"/>
        </w:rPr>
        <w:t>дослідження</w:t>
      </w:r>
      <w:r w:rsidRPr="00333286">
        <w:rPr>
          <w:rFonts w:ascii="Times New Roman" w:hAnsi="Times New Roman" w:cs="Times New Roman"/>
          <w:sz w:val="28"/>
          <w:szCs w:val="28"/>
          <w:lang w:val="uk-UA"/>
        </w:rPr>
        <w:t xml:space="preserve"> відмічалися у 54,1% хворих у ранньому віці, а у 14,3 % з них – на першому році життя. Рання діагностика відмічена лише у 9,5% випадків. Таким чином, безперечним є факт пізньої діагностики хвороби</w:t>
      </w:r>
      <w:r w:rsidR="005A66B5">
        <w:rPr>
          <w:rFonts w:ascii="Times New Roman" w:hAnsi="Times New Roman" w:cs="Times New Roman"/>
          <w:sz w:val="28"/>
          <w:szCs w:val="28"/>
          <w:lang w:val="uk-UA"/>
        </w:rPr>
        <w:t xml:space="preserve"> </w:t>
      </w:r>
      <w:r w:rsidR="005A66B5" w:rsidRPr="005A66B5">
        <w:rPr>
          <w:rFonts w:ascii="Times New Roman" w:hAnsi="Times New Roman" w:cs="Times New Roman"/>
          <w:sz w:val="28"/>
          <w:szCs w:val="28"/>
          <w:lang w:val="ru-RU"/>
        </w:rPr>
        <w:t>[32]</w:t>
      </w:r>
      <w:r w:rsidRPr="00333286">
        <w:rPr>
          <w:rFonts w:ascii="Times New Roman" w:hAnsi="Times New Roman" w:cs="Times New Roman"/>
          <w:sz w:val="28"/>
          <w:szCs w:val="28"/>
          <w:lang w:val="uk-UA"/>
        </w:rPr>
        <w:t>.</w:t>
      </w:r>
    </w:p>
    <w:p w14:paraId="0FF3D95E" w14:textId="7ECC2E8D"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В Україні цей відсоток в дитя</w:t>
      </w:r>
      <w:r w:rsidR="005A66B5">
        <w:rPr>
          <w:rFonts w:ascii="Times New Roman" w:hAnsi="Times New Roman" w:cs="Times New Roman"/>
          <w:sz w:val="28"/>
          <w:szCs w:val="28"/>
          <w:lang w:val="uk-UA"/>
        </w:rPr>
        <w:t>чій популяції складає 5-10 %</w:t>
      </w:r>
      <w:r w:rsidRPr="00333286">
        <w:rPr>
          <w:rFonts w:ascii="Times New Roman" w:hAnsi="Times New Roman" w:cs="Times New Roman"/>
          <w:sz w:val="28"/>
          <w:szCs w:val="28"/>
          <w:lang w:val="uk-UA"/>
        </w:rPr>
        <w:t>. За даними МОЗ України інвалідизація дітей внаслідок хвороб органів дихання становить 5,3% від загального рівня і зумовлена, головним чином, бронхіальною астмою. Порівняно з 1992 роком інвалідизація дітей бронхіальною астмою збільшилася в 3 рази. Розповсюдженість БА в місті Києві на 1000 дітей складає 8,75 в 2002 році і 9,32 в 2003 році та 9,43 в 2004 році. На сьогодні за даними дитя</w:t>
      </w:r>
      <w:r w:rsidR="000342D8">
        <w:rPr>
          <w:rFonts w:ascii="Times New Roman" w:hAnsi="Times New Roman" w:cs="Times New Roman"/>
          <w:sz w:val="28"/>
          <w:szCs w:val="28"/>
          <w:lang w:val="uk-UA"/>
        </w:rPr>
        <w:t>чого алерголога м.Києва, 4317 дітей</w:t>
      </w:r>
      <w:r w:rsidRPr="00333286">
        <w:rPr>
          <w:rFonts w:ascii="Times New Roman" w:hAnsi="Times New Roman" w:cs="Times New Roman"/>
          <w:sz w:val="28"/>
          <w:szCs w:val="28"/>
          <w:lang w:val="uk-UA"/>
        </w:rPr>
        <w:t xml:space="preserve"> страждають на БА </w:t>
      </w:r>
      <w:r w:rsidR="00E86679">
        <w:rPr>
          <w:rFonts w:ascii="Times New Roman" w:hAnsi="Times New Roman" w:cs="Times New Roman"/>
          <w:sz w:val="28"/>
          <w:szCs w:val="28"/>
          <w:lang w:val="ru-RU"/>
        </w:rPr>
        <w:t>[33, 34</w:t>
      </w:r>
      <w:r w:rsidR="00027715" w:rsidRPr="00027715">
        <w:rPr>
          <w:rFonts w:ascii="Times New Roman" w:hAnsi="Times New Roman" w:cs="Times New Roman"/>
          <w:sz w:val="28"/>
          <w:szCs w:val="28"/>
          <w:lang w:val="ru-RU"/>
        </w:rPr>
        <w:t>]</w:t>
      </w:r>
      <w:r w:rsidRPr="00333286">
        <w:rPr>
          <w:rFonts w:ascii="Times New Roman" w:hAnsi="Times New Roman" w:cs="Times New Roman"/>
          <w:sz w:val="28"/>
          <w:szCs w:val="28"/>
          <w:lang w:val="uk-UA"/>
        </w:rPr>
        <w:t>.</w:t>
      </w:r>
    </w:p>
    <w:p w14:paraId="18E6AF30" w14:textId="5C0318CC" w:rsidR="00333286" w:rsidRPr="00333286" w:rsidRDefault="000342D8"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 сумніву</w:t>
      </w:r>
      <w:r w:rsidR="00637D44">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xml:space="preserve"> зміни навколишнього середовища, </w:t>
      </w:r>
      <w:r w:rsidR="004C1D78" w:rsidRPr="00333286">
        <w:rPr>
          <w:rFonts w:ascii="Times New Roman" w:hAnsi="Times New Roman" w:cs="Times New Roman"/>
          <w:sz w:val="28"/>
          <w:szCs w:val="28"/>
          <w:lang w:val="uk-UA"/>
        </w:rPr>
        <w:t>пов’язані</w:t>
      </w:r>
      <w:r w:rsidR="00333286" w:rsidRPr="00333286">
        <w:rPr>
          <w:rFonts w:ascii="Times New Roman" w:hAnsi="Times New Roman" w:cs="Times New Roman"/>
          <w:sz w:val="28"/>
          <w:szCs w:val="28"/>
          <w:lang w:val="uk-UA"/>
        </w:rPr>
        <w:t xml:space="preserve"> з виробничою діяльністю людини і урбанізацією, також викликають за собою ріст алергічного наванта</w:t>
      </w:r>
      <w:r w:rsidR="00E86679">
        <w:rPr>
          <w:rFonts w:ascii="Times New Roman" w:hAnsi="Times New Roman" w:cs="Times New Roman"/>
          <w:sz w:val="28"/>
          <w:szCs w:val="28"/>
          <w:lang w:val="uk-UA"/>
        </w:rPr>
        <w:t xml:space="preserve">ження </w:t>
      </w:r>
      <w:r w:rsidR="00333286" w:rsidRPr="00333286">
        <w:rPr>
          <w:rFonts w:ascii="Times New Roman" w:hAnsi="Times New Roman" w:cs="Times New Roman"/>
          <w:sz w:val="28"/>
          <w:szCs w:val="28"/>
          <w:lang w:val="uk-UA"/>
        </w:rPr>
        <w:t xml:space="preserve">або знижують поріг чутливості популяції до алергенів. Разом з тим, не дивлячись на несприятливі епідеміологічні дані та зростання </w:t>
      </w:r>
      <w:r w:rsidR="00333286" w:rsidRPr="00333286">
        <w:rPr>
          <w:rFonts w:ascii="Times New Roman" w:hAnsi="Times New Roman" w:cs="Times New Roman"/>
          <w:sz w:val="28"/>
          <w:szCs w:val="28"/>
          <w:lang w:val="uk-UA"/>
        </w:rPr>
        <w:lastRenderedPageBreak/>
        <w:t>захворюваності на хронічну патологію на т</w:t>
      </w:r>
      <w:r>
        <w:rPr>
          <w:rFonts w:ascii="Times New Roman" w:hAnsi="Times New Roman" w:cs="Times New Roman"/>
          <w:sz w:val="28"/>
          <w:szCs w:val="28"/>
          <w:lang w:val="uk-UA"/>
        </w:rPr>
        <w:t>лі рецидивуючого захворювання</w:t>
      </w:r>
      <w:r w:rsidR="00333286" w:rsidRPr="00333286">
        <w:rPr>
          <w:rFonts w:ascii="Times New Roman" w:hAnsi="Times New Roman" w:cs="Times New Roman"/>
          <w:sz w:val="28"/>
          <w:szCs w:val="28"/>
          <w:lang w:val="uk-UA"/>
        </w:rPr>
        <w:t>, її лікування обмежується зняттям гострих проявів і фактично обривається з моменту виписки дитини із стаціонару</w:t>
      </w:r>
      <w:r w:rsidR="00E86679">
        <w:rPr>
          <w:rFonts w:ascii="Times New Roman" w:hAnsi="Times New Roman" w:cs="Times New Roman"/>
          <w:sz w:val="28"/>
          <w:szCs w:val="28"/>
          <w:lang w:val="uk-UA"/>
        </w:rPr>
        <w:t xml:space="preserve"> </w:t>
      </w:r>
      <w:r w:rsidR="00E86679" w:rsidRPr="00E86679">
        <w:rPr>
          <w:rFonts w:ascii="Times New Roman" w:hAnsi="Times New Roman" w:cs="Times New Roman"/>
          <w:sz w:val="28"/>
          <w:szCs w:val="28"/>
          <w:lang w:val="uk-UA"/>
        </w:rPr>
        <w:t>[</w:t>
      </w:r>
      <w:r w:rsidR="00E86679">
        <w:rPr>
          <w:rFonts w:ascii="Times New Roman" w:hAnsi="Times New Roman" w:cs="Times New Roman"/>
          <w:sz w:val="28"/>
          <w:szCs w:val="28"/>
          <w:lang w:val="uk-UA"/>
        </w:rPr>
        <w:t>35,</w:t>
      </w:r>
      <w:r w:rsidR="00E86679" w:rsidRPr="00E86679">
        <w:rPr>
          <w:rFonts w:ascii="Times New Roman" w:hAnsi="Times New Roman" w:cs="Times New Roman"/>
          <w:sz w:val="28"/>
          <w:szCs w:val="28"/>
          <w:lang w:val="uk-UA"/>
        </w:rPr>
        <w:t xml:space="preserve"> 36]</w:t>
      </w:r>
      <w:r w:rsidR="00333286" w:rsidRPr="00333286">
        <w:rPr>
          <w:rFonts w:ascii="Times New Roman" w:hAnsi="Times New Roman" w:cs="Times New Roman"/>
          <w:sz w:val="28"/>
          <w:szCs w:val="28"/>
          <w:lang w:val="uk-UA"/>
        </w:rPr>
        <w:t>.</w:t>
      </w:r>
    </w:p>
    <w:p w14:paraId="64DB7537" w14:textId="77777777"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 xml:space="preserve">Практично ігнорується принцип первинної профілактики хронізації гострих захворювань нижніх дихальних шляхів у дітей із груп ризику. </w:t>
      </w:r>
    </w:p>
    <w:p w14:paraId="522CA256" w14:textId="025FF74B" w:rsidR="00333286" w:rsidRPr="00333286" w:rsidRDefault="00E86679"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свідчать дані педіатрів та алергологів, в </w:t>
      </w:r>
      <w:r w:rsidR="00333286" w:rsidRPr="00333286">
        <w:rPr>
          <w:rFonts w:ascii="Times New Roman" w:hAnsi="Times New Roman" w:cs="Times New Roman"/>
          <w:sz w:val="28"/>
          <w:szCs w:val="28"/>
          <w:lang w:val="uk-UA"/>
        </w:rPr>
        <w:t>нашій країні проведена значна робота по вдосконаленню допомоги хворим БА, результатом якої стала розробка та прийняття Національного Консенсусу щодо</w:t>
      </w:r>
      <w:r w:rsidR="000B5BA9">
        <w:rPr>
          <w:rFonts w:ascii="Times New Roman" w:hAnsi="Times New Roman" w:cs="Times New Roman"/>
          <w:sz w:val="28"/>
          <w:szCs w:val="28"/>
          <w:lang w:val="uk-UA"/>
        </w:rPr>
        <w:t xml:space="preserve"> діагностики та лікування БА</w:t>
      </w:r>
      <w:r w:rsidR="00333286" w:rsidRPr="00333286">
        <w:rPr>
          <w:rFonts w:ascii="Times New Roman" w:hAnsi="Times New Roman" w:cs="Times New Roman"/>
          <w:sz w:val="28"/>
          <w:szCs w:val="28"/>
          <w:lang w:val="uk-UA"/>
        </w:rPr>
        <w:t xml:space="preserve">, який передбачає чіткий ступеневий підхід до терапії цього захворювання. Але, незважаючи на досягнуті успіхи, деякі аспекти лікування БА не знайшли відображення в прийнятих документах. </w:t>
      </w:r>
      <w:r w:rsidR="00EF3622">
        <w:rPr>
          <w:rFonts w:ascii="Times New Roman" w:hAnsi="Times New Roman" w:cs="Times New Roman"/>
          <w:sz w:val="28"/>
          <w:szCs w:val="28"/>
          <w:lang w:val="uk-UA"/>
        </w:rPr>
        <w:t xml:space="preserve">Відкритим залишається </w:t>
      </w:r>
      <w:r w:rsidR="00333286" w:rsidRPr="00333286">
        <w:rPr>
          <w:rFonts w:ascii="Times New Roman" w:hAnsi="Times New Roman" w:cs="Times New Roman"/>
          <w:sz w:val="28"/>
          <w:szCs w:val="28"/>
          <w:lang w:val="uk-UA"/>
        </w:rPr>
        <w:t>питання п</w:t>
      </w:r>
      <w:r w:rsidR="00EF3622">
        <w:rPr>
          <w:rFonts w:ascii="Times New Roman" w:hAnsi="Times New Roman" w:cs="Times New Roman"/>
          <w:sz w:val="28"/>
          <w:szCs w:val="28"/>
          <w:lang w:val="uk-UA"/>
        </w:rPr>
        <w:t>ро застосування імунокоректорів та антиоксидантів у комплексній терапії</w:t>
      </w:r>
      <w:r>
        <w:rPr>
          <w:rFonts w:ascii="Times New Roman" w:hAnsi="Times New Roman" w:cs="Times New Roman"/>
          <w:sz w:val="28"/>
          <w:szCs w:val="28"/>
          <w:lang w:val="uk-UA"/>
        </w:rPr>
        <w:t xml:space="preserve"> </w:t>
      </w:r>
      <w:r w:rsidRPr="00E86679">
        <w:rPr>
          <w:rFonts w:ascii="Times New Roman" w:hAnsi="Times New Roman" w:cs="Times New Roman"/>
          <w:sz w:val="28"/>
          <w:szCs w:val="28"/>
          <w:lang w:val="ru-RU"/>
        </w:rPr>
        <w:t>[37]</w:t>
      </w:r>
      <w:r w:rsidR="00333286" w:rsidRPr="00333286">
        <w:rPr>
          <w:rFonts w:ascii="Times New Roman" w:hAnsi="Times New Roman" w:cs="Times New Roman"/>
          <w:sz w:val="28"/>
          <w:szCs w:val="28"/>
          <w:lang w:val="uk-UA"/>
        </w:rPr>
        <w:t>.</w:t>
      </w:r>
    </w:p>
    <w:p w14:paraId="155C918A" w14:textId="7F14BAC0" w:rsidR="00333286" w:rsidRPr="00333286" w:rsidRDefault="00EF3622"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наявності</w:t>
      </w:r>
      <w:r w:rsidR="00637D44">
        <w:rPr>
          <w:rFonts w:ascii="Times New Roman" w:hAnsi="Times New Roman" w:cs="Times New Roman"/>
          <w:sz w:val="28"/>
          <w:szCs w:val="28"/>
          <w:lang w:val="uk-UA"/>
        </w:rPr>
        <w:t xml:space="preserve"> БА</w:t>
      </w:r>
      <w:r w:rsidR="00333286" w:rsidRPr="00333286">
        <w:rPr>
          <w:rFonts w:ascii="Times New Roman" w:hAnsi="Times New Roman" w:cs="Times New Roman"/>
          <w:sz w:val="28"/>
          <w:szCs w:val="28"/>
          <w:lang w:val="uk-UA"/>
        </w:rPr>
        <w:t xml:space="preserve"> виявляються ознаки порушення імунного гомеостазу і харак</w:t>
      </w:r>
      <w:r>
        <w:rPr>
          <w:rFonts w:ascii="Times New Roman" w:hAnsi="Times New Roman" w:cs="Times New Roman"/>
          <w:sz w:val="28"/>
          <w:szCs w:val="28"/>
          <w:lang w:val="uk-UA"/>
        </w:rPr>
        <w:t>терні риси аутоімунного процесу не без участі мікробного фактору</w:t>
      </w:r>
      <w:r w:rsidR="00333286" w:rsidRPr="00333286">
        <w:rPr>
          <w:rFonts w:ascii="Times New Roman" w:hAnsi="Times New Roman" w:cs="Times New Roman"/>
          <w:sz w:val="28"/>
          <w:szCs w:val="28"/>
          <w:lang w:val="uk-UA"/>
        </w:rPr>
        <w:t xml:space="preserve">. Імунодефіцітні стани </w:t>
      </w:r>
      <w:r w:rsidR="00637D44">
        <w:rPr>
          <w:rFonts w:ascii="Times New Roman" w:hAnsi="Times New Roman" w:cs="Times New Roman"/>
          <w:sz w:val="28"/>
          <w:szCs w:val="28"/>
          <w:lang w:val="uk-UA"/>
        </w:rPr>
        <w:t>створюють умови, при котрих</w:t>
      </w:r>
      <w:r w:rsidR="00333286" w:rsidRPr="00333286">
        <w:rPr>
          <w:rFonts w:ascii="Times New Roman" w:hAnsi="Times New Roman" w:cs="Times New Roman"/>
          <w:sz w:val="28"/>
          <w:szCs w:val="28"/>
          <w:lang w:val="uk-UA"/>
        </w:rPr>
        <w:t xml:space="preserve"> організм не може відповісти повноцінною імунною реакцією на антигени, що полегшує </w:t>
      </w:r>
      <w:r>
        <w:rPr>
          <w:rFonts w:ascii="Times New Roman" w:hAnsi="Times New Roman" w:cs="Times New Roman"/>
          <w:sz w:val="28"/>
          <w:szCs w:val="28"/>
          <w:lang w:val="uk-UA"/>
        </w:rPr>
        <w:t xml:space="preserve">додаткове </w:t>
      </w:r>
      <w:r w:rsidR="00333286" w:rsidRPr="00333286">
        <w:rPr>
          <w:rFonts w:ascii="Times New Roman" w:hAnsi="Times New Roman" w:cs="Times New Roman"/>
          <w:sz w:val="28"/>
          <w:szCs w:val="28"/>
          <w:lang w:val="uk-UA"/>
        </w:rPr>
        <w:t>інфікування. Досить часто тр</w:t>
      </w:r>
      <w:r w:rsidR="000342D8">
        <w:rPr>
          <w:rFonts w:ascii="Times New Roman" w:hAnsi="Times New Roman" w:cs="Times New Roman"/>
          <w:sz w:val="28"/>
          <w:szCs w:val="28"/>
          <w:lang w:val="uk-UA"/>
        </w:rPr>
        <w:t>адиційне лікування кортикостерої</w:t>
      </w:r>
      <w:r w:rsidR="00333286" w:rsidRPr="00333286">
        <w:rPr>
          <w:rFonts w:ascii="Times New Roman" w:hAnsi="Times New Roman" w:cs="Times New Roman"/>
          <w:sz w:val="28"/>
          <w:szCs w:val="28"/>
          <w:lang w:val="uk-UA"/>
        </w:rPr>
        <w:t>дами, антибіотиками і сульфаніламідами широкого спектру дії, антигістамінними препаратами і, особливо, їх комбінацією не покращує, а посилює імунологічну недостатн</w:t>
      </w:r>
      <w:r>
        <w:rPr>
          <w:rFonts w:ascii="Times New Roman" w:hAnsi="Times New Roman" w:cs="Times New Roman"/>
          <w:sz w:val="28"/>
          <w:szCs w:val="28"/>
          <w:lang w:val="uk-UA"/>
        </w:rPr>
        <w:t>ість, порушує “колонієрезистент</w:t>
      </w:r>
      <w:r w:rsidR="00333286" w:rsidRPr="00333286">
        <w:rPr>
          <w:rFonts w:ascii="Times New Roman" w:hAnsi="Times New Roman" w:cs="Times New Roman"/>
          <w:sz w:val="28"/>
          <w:szCs w:val="28"/>
          <w:lang w:val="uk-UA"/>
        </w:rPr>
        <w:t>ність”, переводить хв</w:t>
      </w:r>
      <w:r w:rsidR="000B5BA9">
        <w:rPr>
          <w:rFonts w:ascii="Times New Roman" w:hAnsi="Times New Roman" w:cs="Times New Roman"/>
          <w:sz w:val="28"/>
          <w:szCs w:val="28"/>
          <w:lang w:val="uk-UA"/>
        </w:rPr>
        <w:t xml:space="preserve">орих в стан “компрометуючих” </w:t>
      </w:r>
      <w:r w:rsidR="00E86679">
        <w:rPr>
          <w:rFonts w:ascii="Times New Roman" w:hAnsi="Times New Roman" w:cs="Times New Roman"/>
          <w:noProof/>
          <w:sz w:val="28"/>
          <w:szCs w:val="28"/>
          <w:lang w:val="uk-UA"/>
        </w:rPr>
        <w:t>[38</w:t>
      </w:r>
      <w:r w:rsidR="00027715" w:rsidRPr="000953B6">
        <w:rPr>
          <w:rFonts w:ascii="Times New Roman" w:hAnsi="Times New Roman" w:cs="Times New Roman"/>
          <w:noProof/>
          <w:sz w:val="28"/>
          <w:szCs w:val="28"/>
          <w:lang w:val="uk-UA"/>
        </w:rPr>
        <w:t>]</w:t>
      </w:r>
      <w:r w:rsidR="00333286" w:rsidRPr="00333286">
        <w:rPr>
          <w:rFonts w:ascii="Times New Roman" w:hAnsi="Times New Roman" w:cs="Times New Roman"/>
          <w:sz w:val="28"/>
          <w:szCs w:val="28"/>
          <w:lang w:val="uk-UA"/>
        </w:rPr>
        <w:t>.</w:t>
      </w:r>
    </w:p>
    <w:p w14:paraId="38621174" w14:textId="0576715D" w:rsidR="00333286" w:rsidRPr="00333286" w:rsidRDefault="00EF3622" w:rsidP="00EF36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погіршенням екології</w:t>
      </w:r>
      <w:r w:rsidR="00333286" w:rsidRPr="00333286">
        <w:rPr>
          <w:rFonts w:ascii="Times New Roman" w:hAnsi="Times New Roman" w:cs="Times New Roman"/>
          <w:sz w:val="28"/>
          <w:szCs w:val="28"/>
          <w:lang w:val="uk-UA"/>
        </w:rPr>
        <w:t xml:space="preserve"> зростає кількість людей, в яких виявляються вторинні імунодефіцити, коли в результаті наявності соматичних та інших хвороб та дії інших факторів відбуваються порушення в тій чи іншій </w:t>
      </w:r>
      <w:r>
        <w:rPr>
          <w:rFonts w:ascii="Times New Roman" w:hAnsi="Times New Roman" w:cs="Times New Roman"/>
          <w:sz w:val="28"/>
          <w:szCs w:val="28"/>
          <w:lang w:val="uk-UA"/>
        </w:rPr>
        <w:t xml:space="preserve">ланці імунітету, що </w:t>
      </w:r>
      <w:r w:rsidR="00637D44">
        <w:rPr>
          <w:rFonts w:ascii="Times New Roman" w:hAnsi="Times New Roman" w:cs="Times New Roman"/>
          <w:sz w:val="28"/>
          <w:szCs w:val="28"/>
          <w:lang w:val="uk-UA"/>
        </w:rPr>
        <w:t xml:space="preserve">може негативно вплинути на </w:t>
      </w:r>
      <w:r>
        <w:rPr>
          <w:rFonts w:ascii="Times New Roman" w:hAnsi="Times New Roman" w:cs="Times New Roman"/>
          <w:sz w:val="28"/>
          <w:szCs w:val="28"/>
          <w:lang w:val="uk-UA"/>
        </w:rPr>
        <w:t xml:space="preserve">органи та системи. </w:t>
      </w:r>
      <w:r w:rsidR="00333286" w:rsidRPr="00333286">
        <w:rPr>
          <w:rFonts w:ascii="Times New Roman" w:hAnsi="Times New Roman" w:cs="Times New Roman"/>
          <w:sz w:val="28"/>
          <w:szCs w:val="28"/>
          <w:lang w:val="uk-UA"/>
        </w:rPr>
        <w:t xml:space="preserve">Також може бути дефіцит в системі комплемента і комплексне порушення у всіх складових імунної системи, що призводить до зниження кількості імунокомпетентних клітин та їх функції. Особливо чутлива до дії негативних факторів імунна система дітей, коли відбувається її становлення. </w:t>
      </w:r>
    </w:p>
    <w:p w14:paraId="25446802" w14:textId="34DBFBBA" w:rsidR="00333286" w:rsidRPr="00333286"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lastRenderedPageBreak/>
        <w:t xml:space="preserve">Поряд із вивченням клітинного та гуморального імунітету надзвичайно важливим також є дослідження стану місцевого, локального імунітету слизових оболонок респіраторного тракту, інтегральним показником якого є рівень секреторного </w:t>
      </w:r>
      <w:r w:rsidR="000342D8">
        <w:rPr>
          <w:rFonts w:ascii="Times New Roman" w:hAnsi="Times New Roman" w:cs="Times New Roman"/>
          <w:sz w:val="28"/>
          <w:szCs w:val="28"/>
          <w:lang w:val="uk-UA"/>
        </w:rPr>
        <w:t>імуноглобуліну А (</w:t>
      </w:r>
      <w:r w:rsidR="000342D8">
        <w:rPr>
          <w:rFonts w:ascii="Times New Roman" w:hAnsi="Times New Roman" w:cs="Times New Roman"/>
          <w:sz w:val="28"/>
          <w:szCs w:val="28"/>
        </w:rPr>
        <w:t>s</w:t>
      </w:r>
      <w:r w:rsidRPr="00333286">
        <w:rPr>
          <w:rFonts w:ascii="Times New Roman" w:hAnsi="Times New Roman" w:cs="Times New Roman"/>
          <w:sz w:val="28"/>
          <w:szCs w:val="28"/>
          <w:lang w:val="uk-UA"/>
        </w:rPr>
        <w:t>IgA</w:t>
      </w:r>
      <w:r w:rsidR="000342D8">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в слині.</w:t>
      </w:r>
    </w:p>
    <w:p w14:paraId="22884DDE" w14:textId="6AB5E4A2" w:rsidR="00333286" w:rsidRPr="00333286" w:rsidRDefault="009952F3" w:rsidP="00BC4F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Загальновідо</w:t>
      </w:r>
      <w:r w:rsidR="000342D8">
        <w:rPr>
          <w:rFonts w:ascii="Times New Roman" w:hAnsi="Times New Roman" w:cs="Times New Roman"/>
          <w:sz w:val="28"/>
          <w:szCs w:val="28"/>
          <w:lang w:val="uk-UA"/>
        </w:rPr>
        <w:t>мо</w:t>
      </w:r>
      <w:r>
        <w:rPr>
          <w:rFonts w:ascii="Times New Roman" w:hAnsi="Times New Roman" w:cs="Times New Roman"/>
          <w:sz w:val="28"/>
          <w:szCs w:val="28"/>
          <w:lang w:val="uk-UA"/>
        </w:rPr>
        <w:t>ю є участь</w:t>
      </w:r>
      <w:r w:rsidR="00D62DD4">
        <w:rPr>
          <w:rFonts w:ascii="Times New Roman" w:hAnsi="Times New Roman" w:cs="Times New Roman"/>
          <w:sz w:val="28"/>
          <w:szCs w:val="28"/>
          <w:lang w:val="uk-UA"/>
        </w:rPr>
        <w:t xml:space="preserve"> </w:t>
      </w:r>
      <w:r w:rsidR="00D62DD4">
        <w:rPr>
          <w:rFonts w:ascii="Times New Roman" w:hAnsi="Times New Roman" w:cs="Times New Roman"/>
          <w:sz w:val="28"/>
          <w:szCs w:val="28"/>
        </w:rPr>
        <w:t>s</w:t>
      </w:r>
      <w:r w:rsidR="00333286" w:rsidRPr="00333286">
        <w:rPr>
          <w:rFonts w:ascii="Times New Roman" w:hAnsi="Times New Roman" w:cs="Times New Roman"/>
          <w:sz w:val="28"/>
          <w:szCs w:val="28"/>
          <w:lang w:val="uk-UA"/>
        </w:rPr>
        <w:t xml:space="preserve">ІgA </w:t>
      </w:r>
      <w:r>
        <w:rPr>
          <w:rFonts w:ascii="Times New Roman" w:hAnsi="Times New Roman" w:cs="Times New Roman"/>
          <w:sz w:val="28"/>
          <w:szCs w:val="28"/>
          <w:lang w:val="uk-UA"/>
        </w:rPr>
        <w:t>у протиантигенному захисті</w:t>
      </w:r>
      <w:r w:rsidR="00333286" w:rsidRPr="00333286">
        <w:rPr>
          <w:rFonts w:ascii="Times New Roman" w:hAnsi="Times New Roman" w:cs="Times New Roman"/>
          <w:sz w:val="28"/>
          <w:szCs w:val="28"/>
          <w:lang w:val="uk-UA"/>
        </w:rPr>
        <w:t xml:space="preserve"> слизових оболонок. </w:t>
      </w:r>
      <w:r>
        <w:rPr>
          <w:rFonts w:ascii="Times New Roman" w:hAnsi="Times New Roman" w:cs="Times New Roman"/>
          <w:sz w:val="28"/>
          <w:szCs w:val="28"/>
          <w:lang w:val="uk-UA"/>
        </w:rPr>
        <w:t>Необхідний рівень даного імуноглобуліну</w:t>
      </w:r>
      <w:r w:rsidR="00333286" w:rsidRPr="00333286">
        <w:rPr>
          <w:rFonts w:ascii="Times New Roman" w:hAnsi="Times New Roman" w:cs="Times New Roman"/>
          <w:sz w:val="28"/>
          <w:szCs w:val="28"/>
          <w:lang w:val="uk-UA"/>
        </w:rPr>
        <w:t xml:space="preserve"> забезпечує резистентність слизових оболонок до бактеріальних т</w:t>
      </w:r>
      <w:r w:rsidR="000B5BA9">
        <w:rPr>
          <w:rFonts w:ascii="Times New Roman" w:hAnsi="Times New Roman" w:cs="Times New Roman"/>
          <w:sz w:val="28"/>
          <w:szCs w:val="28"/>
          <w:lang w:val="uk-UA"/>
        </w:rPr>
        <w:t>а вірусних антигенів</w:t>
      </w:r>
      <w:r w:rsidR="00333286" w:rsidRPr="00333286">
        <w:rPr>
          <w:rFonts w:ascii="Times New Roman" w:hAnsi="Times New Roman" w:cs="Times New Roman"/>
          <w:sz w:val="28"/>
          <w:szCs w:val="28"/>
          <w:lang w:val="uk-UA"/>
        </w:rPr>
        <w:t>.</w:t>
      </w:r>
      <w:r w:rsidR="00BC4F65">
        <w:rPr>
          <w:rFonts w:ascii="Times New Roman" w:hAnsi="Times New Roman" w:cs="Times New Roman"/>
          <w:sz w:val="28"/>
          <w:szCs w:val="28"/>
          <w:lang w:val="uk-UA"/>
        </w:rPr>
        <w:t xml:space="preserve"> Секреторний </w:t>
      </w:r>
      <w:r w:rsidR="00BC4F65">
        <w:rPr>
          <w:rFonts w:ascii="Times New Roman" w:hAnsi="Times New Roman" w:cs="Times New Roman"/>
          <w:sz w:val="28"/>
          <w:szCs w:val="28"/>
        </w:rPr>
        <w:t>IgA</w:t>
      </w:r>
      <w:r w:rsidR="00333286" w:rsidRPr="00333286">
        <w:rPr>
          <w:rFonts w:ascii="Times New Roman" w:hAnsi="Times New Roman" w:cs="Times New Roman"/>
          <w:sz w:val="28"/>
          <w:szCs w:val="28"/>
          <w:lang w:val="uk-UA"/>
        </w:rPr>
        <w:t xml:space="preserve"> </w:t>
      </w:r>
      <w:r w:rsidR="00BC4F65">
        <w:rPr>
          <w:rFonts w:ascii="Times New Roman" w:hAnsi="Times New Roman" w:cs="Times New Roman"/>
          <w:sz w:val="28"/>
          <w:szCs w:val="28"/>
          <w:lang w:val="uk-UA"/>
        </w:rPr>
        <w:t>попереджує</w:t>
      </w:r>
      <w:r w:rsidR="00333286" w:rsidRPr="00333286">
        <w:rPr>
          <w:rFonts w:ascii="Times New Roman" w:hAnsi="Times New Roman" w:cs="Times New Roman"/>
          <w:sz w:val="28"/>
          <w:szCs w:val="28"/>
          <w:lang w:val="uk-UA"/>
        </w:rPr>
        <w:t xml:space="preserve"> адгезію вірусів до епітеліальних клітин слизових оболонок , а при внутрішньоклітинному розпізнаванні вірусів —</w:t>
      </w:r>
      <w:r w:rsidR="000342D8">
        <w:rPr>
          <w:rFonts w:ascii="Times New Roman" w:hAnsi="Times New Roman" w:cs="Times New Roman"/>
          <w:sz w:val="28"/>
          <w:szCs w:val="28"/>
          <w:lang w:val="uk-UA"/>
        </w:rPr>
        <w:t xml:space="preserve"> </w:t>
      </w:r>
      <w:r w:rsidR="00333286" w:rsidRPr="00333286">
        <w:rPr>
          <w:rFonts w:ascii="Times New Roman" w:hAnsi="Times New Roman" w:cs="Times New Roman"/>
          <w:sz w:val="28"/>
          <w:szCs w:val="28"/>
          <w:lang w:val="uk-UA"/>
        </w:rPr>
        <w:t>можуть блокувати процеси транскрипц</w:t>
      </w:r>
      <w:r w:rsidR="000342D8">
        <w:rPr>
          <w:rFonts w:ascii="Times New Roman" w:hAnsi="Times New Roman" w:cs="Times New Roman"/>
          <w:sz w:val="28"/>
          <w:szCs w:val="28"/>
          <w:lang w:val="uk-UA"/>
        </w:rPr>
        <w:t>ії вірусного геному. За схожим</w:t>
      </w:r>
      <w:r w:rsidR="00333286" w:rsidRPr="00333286">
        <w:rPr>
          <w:rFonts w:ascii="Times New Roman" w:hAnsi="Times New Roman" w:cs="Times New Roman"/>
          <w:sz w:val="28"/>
          <w:szCs w:val="28"/>
          <w:lang w:val="uk-UA"/>
        </w:rPr>
        <w:t xml:space="preserve"> механізмом секреторні ІgA бло</w:t>
      </w:r>
      <w:r w:rsidR="00BC4F65">
        <w:rPr>
          <w:rFonts w:ascii="Times New Roman" w:hAnsi="Times New Roman" w:cs="Times New Roman"/>
          <w:sz w:val="28"/>
          <w:szCs w:val="28"/>
          <w:lang w:val="uk-UA"/>
        </w:rPr>
        <w:t xml:space="preserve">кують і адгезію мікроорганізмів, що є надзвичайно важливим в умовах ротової порожнини. </w:t>
      </w:r>
      <w:r w:rsidR="00333286" w:rsidRPr="00333286">
        <w:rPr>
          <w:rFonts w:ascii="Times New Roman" w:hAnsi="Times New Roman" w:cs="Times New Roman"/>
          <w:sz w:val="28"/>
          <w:szCs w:val="28"/>
          <w:lang w:val="uk-UA"/>
        </w:rPr>
        <w:t xml:space="preserve">SІgA здатні посилювати активність фагоцитуючих клітин та регулювати клітинноопосередковану антитілозалежну цитотоксичність лімфоцитів слизових оболонок </w:t>
      </w:r>
      <w:r w:rsidR="00BC4F65">
        <w:rPr>
          <w:rFonts w:ascii="Times New Roman" w:hAnsi="Times New Roman" w:cs="Times New Roman"/>
          <w:noProof/>
          <w:sz w:val="28"/>
          <w:szCs w:val="28"/>
          <w:lang w:val="uk-UA"/>
        </w:rPr>
        <w:t>[39, 40</w:t>
      </w:r>
      <w:r w:rsidR="00BC4F65" w:rsidRPr="000953B6">
        <w:rPr>
          <w:rFonts w:ascii="Times New Roman" w:hAnsi="Times New Roman" w:cs="Times New Roman"/>
          <w:noProof/>
          <w:sz w:val="28"/>
          <w:szCs w:val="28"/>
          <w:lang w:val="uk-UA"/>
        </w:rPr>
        <w:t>]</w:t>
      </w:r>
      <w:r w:rsidR="00333286" w:rsidRPr="00333286">
        <w:rPr>
          <w:rFonts w:ascii="Times New Roman" w:hAnsi="Times New Roman" w:cs="Times New Roman"/>
          <w:sz w:val="28"/>
          <w:szCs w:val="28"/>
          <w:lang w:val="uk-UA"/>
        </w:rPr>
        <w:t>.</w:t>
      </w:r>
    </w:p>
    <w:p w14:paraId="622010D1" w14:textId="2BE7A267" w:rsidR="00333286" w:rsidRPr="00333286" w:rsidRDefault="00BC4F65"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w:t>
      </w:r>
      <w:r w:rsidRPr="00BC4F65">
        <w:rPr>
          <w:rFonts w:ascii="Times New Roman" w:hAnsi="Times New Roman" w:cs="Times New Roman"/>
          <w:sz w:val="28"/>
          <w:szCs w:val="28"/>
          <w:lang w:val="uk-UA"/>
        </w:rPr>
        <w:t xml:space="preserve"> </w:t>
      </w:r>
      <w:r>
        <w:rPr>
          <w:rFonts w:ascii="Times New Roman" w:hAnsi="Times New Roman" w:cs="Times New Roman"/>
          <w:sz w:val="28"/>
          <w:szCs w:val="28"/>
          <w:lang w:val="uk-UA"/>
        </w:rPr>
        <w:t>s</w:t>
      </w:r>
      <w:r w:rsidR="00333286" w:rsidRPr="00333286">
        <w:rPr>
          <w:rFonts w:ascii="Times New Roman" w:hAnsi="Times New Roman" w:cs="Times New Roman"/>
          <w:sz w:val="28"/>
          <w:szCs w:val="28"/>
          <w:lang w:val="uk-UA"/>
        </w:rPr>
        <w:t xml:space="preserve">ІgA, </w:t>
      </w:r>
      <w:r>
        <w:rPr>
          <w:rFonts w:ascii="Times New Roman" w:hAnsi="Times New Roman" w:cs="Times New Roman"/>
          <w:sz w:val="28"/>
          <w:szCs w:val="28"/>
          <w:lang w:val="uk-UA"/>
        </w:rPr>
        <w:t xml:space="preserve">у ротовій рідині присутні </w:t>
      </w:r>
      <w:r w:rsidR="000342D8">
        <w:rPr>
          <w:rFonts w:ascii="Times New Roman" w:hAnsi="Times New Roman" w:cs="Times New Roman"/>
          <w:sz w:val="28"/>
          <w:szCs w:val="28"/>
          <w:lang w:val="uk-UA"/>
        </w:rPr>
        <w:t xml:space="preserve">імуноглобуліни </w:t>
      </w:r>
      <w:r w:rsidR="000342D8">
        <w:rPr>
          <w:rFonts w:ascii="Times New Roman" w:hAnsi="Times New Roman" w:cs="Times New Roman"/>
          <w:sz w:val="28"/>
          <w:szCs w:val="28"/>
        </w:rPr>
        <w:t>G</w:t>
      </w:r>
      <w:r w:rsidR="000342D8" w:rsidRPr="00333286">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IgG</w:t>
      </w:r>
      <w:r w:rsidR="00A5786F">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xml:space="preserve"> та мономерна форма</w:t>
      </w:r>
      <w:r w:rsidR="000342D8">
        <w:rPr>
          <w:rFonts w:ascii="Times New Roman" w:hAnsi="Times New Roman" w:cs="Times New Roman"/>
          <w:sz w:val="28"/>
          <w:szCs w:val="28"/>
          <w:lang w:val="uk-UA"/>
        </w:rPr>
        <w:t xml:space="preserve"> імуноглобуліну А</w:t>
      </w:r>
      <w:r w:rsidR="00333286" w:rsidRPr="00333286">
        <w:rPr>
          <w:rFonts w:ascii="Times New Roman" w:hAnsi="Times New Roman" w:cs="Times New Roman"/>
          <w:sz w:val="28"/>
          <w:szCs w:val="28"/>
          <w:lang w:val="uk-UA"/>
        </w:rPr>
        <w:t xml:space="preserve"> </w:t>
      </w:r>
      <w:r w:rsidR="000342D8">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ІgA</w:t>
      </w:r>
      <w:r w:rsidR="000342D8">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 проте на поверхню епітеліального шару слизових оболонок вони можуть проходити лише при</w:t>
      </w:r>
      <w:r>
        <w:rPr>
          <w:rFonts w:ascii="Times New Roman" w:hAnsi="Times New Roman" w:cs="Times New Roman"/>
          <w:sz w:val="28"/>
          <w:szCs w:val="28"/>
          <w:lang w:val="uk-UA"/>
        </w:rPr>
        <w:t xml:space="preserve"> певних патологчних станах та дефіциті секреторного </w:t>
      </w:r>
      <w:r w:rsidR="00333286" w:rsidRPr="00333286">
        <w:rPr>
          <w:rFonts w:ascii="Times New Roman" w:hAnsi="Times New Roman" w:cs="Times New Roman"/>
          <w:sz w:val="28"/>
          <w:szCs w:val="28"/>
          <w:lang w:val="uk-UA"/>
        </w:rPr>
        <w:t>ІgA. Зокрема, такими факторами можуть бути загострення хронічних запальних проц</w:t>
      </w:r>
      <w:r>
        <w:rPr>
          <w:rFonts w:ascii="Times New Roman" w:hAnsi="Times New Roman" w:cs="Times New Roman"/>
          <w:sz w:val="28"/>
          <w:szCs w:val="28"/>
          <w:lang w:val="uk-UA"/>
        </w:rPr>
        <w:t xml:space="preserve">есів в верхніх дихальних шляхах та порушеннях функціонування систем організму </w:t>
      </w:r>
      <w:r w:rsidRPr="00BC4F65">
        <w:rPr>
          <w:rFonts w:ascii="Times New Roman" w:hAnsi="Times New Roman" w:cs="Times New Roman"/>
          <w:sz w:val="28"/>
          <w:szCs w:val="28"/>
          <w:lang w:val="ru-RU"/>
        </w:rPr>
        <w:t>[41, 42]</w:t>
      </w:r>
      <w:r w:rsidR="00333286" w:rsidRPr="00333286">
        <w:rPr>
          <w:rFonts w:ascii="Times New Roman" w:hAnsi="Times New Roman" w:cs="Times New Roman"/>
          <w:sz w:val="28"/>
          <w:szCs w:val="28"/>
          <w:lang w:val="uk-UA"/>
        </w:rPr>
        <w:t xml:space="preserve">. </w:t>
      </w:r>
    </w:p>
    <w:p w14:paraId="03321399" w14:textId="3DC7B734" w:rsidR="00333286" w:rsidRPr="00333286" w:rsidRDefault="00BC4F65" w:rsidP="00333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показано у дослідженнях, </w:t>
      </w:r>
      <w:r w:rsidR="00333286" w:rsidRPr="00333286">
        <w:rPr>
          <w:rFonts w:ascii="Times New Roman" w:hAnsi="Times New Roman" w:cs="Times New Roman"/>
          <w:sz w:val="28"/>
          <w:szCs w:val="28"/>
          <w:lang w:val="uk-UA"/>
        </w:rPr>
        <w:t>підвищення рівня IgG</w:t>
      </w:r>
      <w:r>
        <w:rPr>
          <w:rFonts w:ascii="Times New Roman" w:hAnsi="Times New Roman" w:cs="Times New Roman"/>
          <w:sz w:val="28"/>
          <w:szCs w:val="28"/>
          <w:lang w:val="uk-UA"/>
        </w:rPr>
        <w:t xml:space="preserve"> у ротовій рідині</w:t>
      </w:r>
      <w:r w:rsidR="00333286" w:rsidRPr="00333286">
        <w:rPr>
          <w:rFonts w:ascii="Times New Roman" w:hAnsi="Times New Roman" w:cs="Times New Roman"/>
          <w:sz w:val="28"/>
          <w:szCs w:val="28"/>
          <w:lang w:val="uk-UA"/>
        </w:rPr>
        <w:t xml:space="preserve"> виявляється при наявності запальних процесів в слиз</w:t>
      </w:r>
      <w:r>
        <w:rPr>
          <w:rFonts w:ascii="Times New Roman" w:hAnsi="Times New Roman" w:cs="Times New Roman"/>
          <w:sz w:val="28"/>
          <w:szCs w:val="28"/>
          <w:lang w:val="uk-UA"/>
        </w:rPr>
        <w:t>ових оболонках, оскільки IgG є другою лінією гуморального захисту та</w:t>
      </w:r>
      <w:r w:rsidR="00ED24A3">
        <w:rPr>
          <w:rFonts w:ascii="Times New Roman" w:hAnsi="Times New Roman" w:cs="Times New Roman"/>
          <w:sz w:val="28"/>
          <w:szCs w:val="28"/>
          <w:lang w:val="uk-UA"/>
        </w:rPr>
        <w:t xml:space="preserve"> сприяє</w:t>
      </w:r>
      <w:r w:rsidR="00333286" w:rsidRPr="00333286">
        <w:rPr>
          <w:rFonts w:ascii="Times New Roman" w:hAnsi="Times New Roman" w:cs="Times New Roman"/>
          <w:sz w:val="28"/>
          <w:szCs w:val="28"/>
          <w:lang w:val="uk-UA"/>
        </w:rPr>
        <w:t xml:space="preserve"> формуванню імунних комплексів з</w:t>
      </w:r>
      <w:r w:rsidR="00ED24A3">
        <w:rPr>
          <w:rFonts w:ascii="Times New Roman" w:hAnsi="Times New Roman" w:cs="Times New Roman"/>
          <w:sz w:val="28"/>
          <w:szCs w:val="28"/>
          <w:lang w:val="uk-UA"/>
        </w:rPr>
        <w:t xml:space="preserve"> антигенами мікроорганізмів, що</w:t>
      </w:r>
      <w:r w:rsidR="00333286" w:rsidRPr="00333286">
        <w:rPr>
          <w:rFonts w:ascii="Times New Roman" w:hAnsi="Times New Roman" w:cs="Times New Roman"/>
          <w:sz w:val="28"/>
          <w:szCs w:val="28"/>
          <w:lang w:val="uk-UA"/>
        </w:rPr>
        <w:t xml:space="preserve"> фіксують комплемент, тому вони </w:t>
      </w:r>
      <w:r w:rsidR="00B463CB">
        <w:rPr>
          <w:rFonts w:ascii="Times New Roman" w:hAnsi="Times New Roman" w:cs="Times New Roman"/>
          <w:sz w:val="28"/>
          <w:szCs w:val="28"/>
          <w:lang w:val="uk-UA"/>
        </w:rPr>
        <w:t>показниками протизапальної направленості</w:t>
      </w:r>
      <w:r w:rsidR="00333286" w:rsidRPr="00333286">
        <w:rPr>
          <w:rFonts w:ascii="Times New Roman" w:hAnsi="Times New Roman" w:cs="Times New Roman"/>
          <w:sz w:val="28"/>
          <w:szCs w:val="28"/>
          <w:lang w:val="uk-UA"/>
        </w:rPr>
        <w:t xml:space="preserve">, </w:t>
      </w:r>
      <w:r w:rsidR="00ED24A3">
        <w:rPr>
          <w:rFonts w:ascii="Times New Roman" w:hAnsi="Times New Roman" w:cs="Times New Roman"/>
          <w:sz w:val="28"/>
          <w:szCs w:val="28"/>
          <w:lang w:val="uk-UA"/>
        </w:rPr>
        <w:t>які забезпечують</w:t>
      </w:r>
      <w:r w:rsidR="00333286" w:rsidRPr="00333286">
        <w:rPr>
          <w:rFonts w:ascii="Times New Roman" w:hAnsi="Times New Roman" w:cs="Times New Roman"/>
          <w:sz w:val="28"/>
          <w:szCs w:val="28"/>
          <w:lang w:val="uk-UA"/>
        </w:rPr>
        <w:t xml:space="preserve"> затримку та елімінацію чужорідних антигенів механізмами запалення</w:t>
      </w:r>
      <w:r w:rsidR="00B463CB">
        <w:rPr>
          <w:rFonts w:ascii="Times New Roman" w:hAnsi="Times New Roman" w:cs="Times New Roman"/>
          <w:sz w:val="28"/>
          <w:szCs w:val="28"/>
          <w:lang w:val="uk-UA"/>
        </w:rPr>
        <w:t xml:space="preserve"> </w:t>
      </w:r>
      <w:r w:rsidR="00B463CB" w:rsidRPr="00B463CB">
        <w:rPr>
          <w:rFonts w:ascii="Times New Roman" w:hAnsi="Times New Roman" w:cs="Times New Roman"/>
          <w:sz w:val="28"/>
          <w:szCs w:val="28"/>
          <w:lang w:val="uk-UA"/>
        </w:rPr>
        <w:t>[</w:t>
      </w:r>
      <w:r w:rsidR="00B463CB">
        <w:rPr>
          <w:rFonts w:ascii="Times New Roman" w:hAnsi="Times New Roman" w:cs="Times New Roman"/>
          <w:sz w:val="28"/>
          <w:szCs w:val="28"/>
          <w:lang w:val="uk-UA"/>
        </w:rPr>
        <w:t>43, 44</w:t>
      </w:r>
      <w:r w:rsidR="00B463CB" w:rsidRPr="00B463CB">
        <w:rPr>
          <w:rFonts w:ascii="Times New Roman" w:hAnsi="Times New Roman" w:cs="Times New Roman"/>
          <w:sz w:val="28"/>
          <w:szCs w:val="28"/>
          <w:lang w:val="uk-UA"/>
        </w:rPr>
        <w:t>]</w:t>
      </w:r>
      <w:r w:rsidR="00333286" w:rsidRPr="00333286">
        <w:rPr>
          <w:rFonts w:ascii="Times New Roman" w:hAnsi="Times New Roman" w:cs="Times New Roman"/>
          <w:sz w:val="28"/>
          <w:szCs w:val="28"/>
          <w:lang w:val="uk-UA"/>
        </w:rPr>
        <w:t>.</w:t>
      </w:r>
    </w:p>
    <w:p w14:paraId="23AB4297" w14:textId="21D08A67" w:rsidR="009952F3" w:rsidRDefault="00333286" w:rsidP="00B46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333286">
        <w:rPr>
          <w:rFonts w:ascii="Times New Roman" w:hAnsi="Times New Roman" w:cs="Times New Roman"/>
          <w:sz w:val="28"/>
          <w:szCs w:val="28"/>
          <w:lang w:val="uk-UA"/>
        </w:rPr>
        <w:t>’язку із вищезазначеним</w:t>
      </w:r>
      <w:r w:rsidR="00ED24A3">
        <w:rPr>
          <w:rFonts w:ascii="Times New Roman" w:hAnsi="Times New Roman" w:cs="Times New Roman"/>
          <w:sz w:val="28"/>
          <w:szCs w:val="28"/>
          <w:lang w:val="uk-UA"/>
        </w:rPr>
        <w:t>,</w:t>
      </w:r>
      <w:r w:rsidRPr="00333286">
        <w:rPr>
          <w:rFonts w:ascii="Times New Roman" w:hAnsi="Times New Roman" w:cs="Times New Roman"/>
          <w:sz w:val="28"/>
          <w:szCs w:val="28"/>
          <w:lang w:val="uk-UA"/>
        </w:rPr>
        <w:t xml:space="preserve"> вивчення стану імунної системи у дітей з алергологічним анамнезом є надзвичайно актуальним, тому що порушення імунного гомеостазу є одн</w:t>
      </w:r>
      <w:r>
        <w:rPr>
          <w:rFonts w:ascii="Times New Roman" w:hAnsi="Times New Roman" w:cs="Times New Roman"/>
          <w:sz w:val="28"/>
          <w:szCs w:val="28"/>
          <w:lang w:val="uk-UA"/>
        </w:rPr>
        <w:t>и</w:t>
      </w:r>
      <w:r w:rsidRPr="00333286">
        <w:rPr>
          <w:rFonts w:ascii="Times New Roman" w:hAnsi="Times New Roman" w:cs="Times New Roman"/>
          <w:sz w:val="28"/>
          <w:szCs w:val="28"/>
          <w:lang w:val="uk-UA"/>
        </w:rPr>
        <w:t>м із ланцюгів патогенетичного механізму виникнення бронхіальної астми.</w:t>
      </w:r>
    </w:p>
    <w:p w14:paraId="74D1868E" w14:textId="777604EE" w:rsidR="009952F3" w:rsidRDefault="009952F3" w:rsidP="00B463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даними дослідників, бронхіальна астма </w:t>
      </w:r>
      <w:r w:rsidR="00B463CB">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00B463CB">
        <w:rPr>
          <w:rFonts w:ascii="Times New Roman" w:hAnsi="Times New Roman" w:cs="Times New Roman"/>
          <w:sz w:val="28"/>
          <w:szCs w:val="28"/>
          <w:lang w:val="uk-UA"/>
        </w:rPr>
        <w:t xml:space="preserve"> глобальна</w:t>
      </w:r>
      <w:r>
        <w:rPr>
          <w:rFonts w:ascii="Times New Roman" w:hAnsi="Times New Roman" w:cs="Times New Roman"/>
          <w:sz w:val="28"/>
          <w:szCs w:val="28"/>
          <w:lang w:val="uk-UA"/>
        </w:rPr>
        <w:t xml:space="preserve"> проблема</w:t>
      </w:r>
      <w:r w:rsidRPr="009952F3">
        <w:rPr>
          <w:rFonts w:ascii="Times New Roman" w:hAnsi="Times New Roman" w:cs="Times New Roman"/>
          <w:sz w:val="28"/>
          <w:szCs w:val="28"/>
          <w:lang w:val="uk-UA"/>
        </w:rPr>
        <w:t xml:space="preserve"> охорон</w:t>
      </w:r>
      <w:r w:rsidR="00ED24A3">
        <w:rPr>
          <w:rFonts w:ascii="Times New Roman" w:hAnsi="Times New Roman" w:cs="Times New Roman"/>
          <w:sz w:val="28"/>
          <w:szCs w:val="28"/>
          <w:lang w:val="uk-UA"/>
        </w:rPr>
        <w:t>и здоров'я, яка охоплює</w:t>
      </w:r>
      <w:r w:rsidRPr="009952F3">
        <w:rPr>
          <w:rFonts w:ascii="Times New Roman" w:hAnsi="Times New Roman" w:cs="Times New Roman"/>
          <w:sz w:val="28"/>
          <w:szCs w:val="28"/>
          <w:lang w:val="uk-UA"/>
        </w:rPr>
        <w:t xml:space="preserve"> понад 300 мільйонів людей по всьому світу. За оцінками</w:t>
      </w:r>
      <w:r>
        <w:rPr>
          <w:rFonts w:ascii="Times New Roman" w:hAnsi="Times New Roman" w:cs="Times New Roman"/>
          <w:sz w:val="28"/>
          <w:szCs w:val="28"/>
          <w:lang w:val="uk-UA"/>
        </w:rPr>
        <w:t xml:space="preserve"> експертів</w:t>
      </w:r>
      <w:r w:rsidRPr="009952F3">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додатково у</w:t>
      </w:r>
      <w:r w:rsidRPr="009952F3">
        <w:rPr>
          <w:rFonts w:ascii="Times New Roman" w:hAnsi="Times New Roman" w:cs="Times New Roman"/>
          <w:sz w:val="28"/>
          <w:szCs w:val="28"/>
          <w:lang w:val="uk-UA"/>
        </w:rPr>
        <w:t xml:space="preserve"> 100 мільйонів людей може бути ді</w:t>
      </w:r>
      <w:r>
        <w:rPr>
          <w:rFonts w:ascii="Times New Roman" w:hAnsi="Times New Roman" w:cs="Times New Roman"/>
          <w:sz w:val="28"/>
          <w:szCs w:val="28"/>
          <w:lang w:val="uk-UA"/>
        </w:rPr>
        <w:t xml:space="preserve">агностовано астму до 2025 року </w:t>
      </w:r>
      <w:r w:rsidRPr="009952F3">
        <w:rPr>
          <w:rFonts w:ascii="Times New Roman" w:hAnsi="Times New Roman" w:cs="Times New Roman"/>
          <w:sz w:val="28"/>
          <w:szCs w:val="28"/>
          <w:lang w:val="ru-RU"/>
        </w:rPr>
        <w:t>[</w:t>
      </w:r>
      <w:r w:rsidR="00B463CB" w:rsidRPr="00B463CB">
        <w:rPr>
          <w:rFonts w:ascii="Times New Roman" w:hAnsi="Times New Roman" w:cs="Times New Roman"/>
          <w:sz w:val="28"/>
          <w:szCs w:val="28"/>
          <w:lang w:val="ru-RU"/>
        </w:rPr>
        <w:t>45</w:t>
      </w:r>
      <w:r w:rsidRPr="009952F3">
        <w:rPr>
          <w:rFonts w:ascii="Times New Roman" w:hAnsi="Times New Roman" w:cs="Times New Roman"/>
          <w:sz w:val="28"/>
          <w:szCs w:val="28"/>
          <w:lang w:val="ru-RU"/>
        </w:rPr>
        <w:t>]</w:t>
      </w:r>
      <w:r>
        <w:rPr>
          <w:rFonts w:ascii="Times New Roman" w:hAnsi="Times New Roman" w:cs="Times New Roman"/>
          <w:sz w:val="28"/>
          <w:szCs w:val="28"/>
          <w:lang w:val="uk-UA"/>
        </w:rPr>
        <w:t>.</w:t>
      </w:r>
      <w:r w:rsidRPr="009952F3">
        <w:rPr>
          <w:rFonts w:ascii="Times New Roman" w:hAnsi="Times New Roman" w:cs="Times New Roman"/>
          <w:sz w:val="28"/>
          <w:szCs w:val="28"/>
          <w:lang w:val="uk-UA"/>
        </w:rPr>
        <w:t xml:space="preserve"> Астма характеризується хронічним запаленням дихальних шляхів та підвищеною гіперреактивністю дихальних шляхів, що призводить </w:t>
      </w:r>
      <w:r w:rsidR="00B463CB">
        <w:rPr>
          <w:rFonts w:ascii="Times New Roman" w:hAnsi="Times New Roman" w:cs="Times New Roman"/>
          <w:sz w:val="28"/>
          <w:szCs w:val="28"/>
          <w:lang w:val="uk-UA"/>
        </w:rPr>
        <w:t xml:space="preserve">до таких симптомів, як </w:t>
      </w:r>
      <w:r w:rsidRPr="009952F3">
        <w:rPr>
          <w:rFonts w:ascii="Times New Roman" w:hAnsi="Times New Roman" w:cs="Times New Roman"/>
          <w:sz w:val="28"/>
          <w:szCs w:val="28"/>
          <w:lang w:val="uk-UA"/>
        </w:rPr>
        <w:t xml:space="preserve">кашель, сухість і задишка. </w:t>
      </w:r>
      <w:r w:rsidR="00B463CB">
        <w:rPr>
          <w:rFonts w:ascii="Times New Roman" w:hAnsi="Times New Roman" w:cs="Times New Roman"/>
          <w:sz w:val="28"/>
          <w:szCs w:val="28"/>
          <w:lang w:val="ru-RU"/>
        </w:rPr>
        <w:t>Це захворювання</w:t>
      </w:r>
      <w:r w:rsidRPr="009952F3">
        <w:rPr>
          <w:rFonts w:ascii="Times New Roman" w:hAnsi="Times New Roman" w:cs="Times New Roman"/>
          <w:sz w:val="28"/>
          <w:szCs w:val="28"/>
          <w:lang w:val="uk-UA"/>
        </w:rPr>
        <w:t xml:space="preserve"> характеризується обст</w:t>
      </w:r>
      <w:r w:rsidR="00B463CB">
        <w:rPr>
          <w:rFonts w:ascii="Times New Roman" w:hAnsi="Times New Roman" w:cs="Times New Roman"/>
          <w:sz w:val="28"/>
          <w:szCs w:val="28"/>
          <w:lang w:val="uk-UA"/>
        </w:rPr>
        <w:t>рукцією повітряного потоку, яка</w:t>
      </w:r>
      <w:r w:rsidRPr="009952F3">
        <w:rPr>
          <w:rFonts w:ascii="Times New Roman" w:hAnsi="Times New Roman" w:cs="Times New Roman"/>
          <w:sz w:val="28"/>
          <w:szCs w:val="28"/>
          <w:lang w:val="uk-UA"/>
        </w:rPr>
        <w:t xml:space="preserve"> </w:t>
      </w:r>
      <w:r w:rsidR="00B463CB">
        <w:rPr>
          <w:rFonts w:ascii="Times New Roman" w:hAnsi="Times New Roman" w:cs="Times New Roman"/>
          <w:sz w:val="28"/>
          <w:szCs w:val="28"/>
          <w:lang w:val="uk-UA"/>
        </w:rPr>
        <w:t>відбувається</w:t>
      </w:r>
      <w:r w:rsidRPr="009952F3">
        <w:rPr>
          <w:rFonts w:ascii="Times New Roman" w:hAnsi="Times New Roman" w:cs="Times New Roman"/>
          <w:sz w:val="28"/>
          <w:szCs w:val="28"/>
          <w:lang w:val="uk-UA"/>
        </w:rPr>
        <w:t xml:space="preserve"> протягом корот</w:t>
      </w:r>
      <w:r w:rsidR="00ED24A3">
        <w:rPr>
          <w:rFonts w:ascii="Times New Roman" w:hAnsi="Times New Roman" w:cs="Times New Roman"/>
          <w:sz w:val="28"/>
          <w:szCs w:val="28"/>
          <w:lang w:val="uk-UA"/>
        </w:rPr>
        <w:t>кого періоду часу і є оборотною</w:t>
      </w:r>
      <w:r w:rsidRPr="009952F3">
        <w:rPr>
          <w:rFonts w:ascii="Times New Roman" w:hAnsi="Times New Roman" w:cs="Times New Roman"/>
          <w:sz w:val="28"/>
          <w:szCs w:val="28"/>
          <w:lang w:val="uk-UA"/>
        </w:rPr>
        <w:t>.</w:t>
      </w:r>
      <w:r w:rsidR="00B463CB">
        <w:rPr>
          <w:rFonts w:ascii="Times New Roman" w:hAnsi="Times New Roman" w:cs="Times New Roman"/>
          <w:sz w:val="28"/>
          <w:szCs w:val="28"/>
          <w:lang w:val="uk-UA"/>
        </w:rPr>
        <w:t xml:space="preserve"> </w:t>
      </w:r>
    </w:p>
    <w:p w14:paraId="0AF6D966" w14:textId="65051111" w:rsidR="00B463CB" w:rsidRPr="00771627" w:rsidRDefault="00B463CB" w:rsidP="00771627">
      <w:pPr>
        <w:spacing w:after="0" w:line="360" w:lineRule="auto"/>
        <w:ind w:firstLine="709"/>
        <w:jc w:val="both"/>
        <w:rPr>
          <w:rFonts w:ascii="Times New Roman" w:hAnsi="Times New Roman" w:cs="Times New Roman"/>
          <w:sz w:val="28"/>
          <w:szCs w:val="28"/>
          <w:lang w:val="uk-UA"/>
        </w:rPr>
      </w:pPr>
      <w:r w:rsidRPr="00B463CB">
        <w:rPr>
          <w:rFonts w:ascii="Times New Roman" w:hAnsi="Times New Roman" w:cs="Times New Roman"/>
          <w:sz w:val="28"/>
          <w:szCs w:val="28"/>
          <w:lang w:val="uk-UA"/>
        </w:rPr>
        <w:t>Лікування астми має дві основні цілі: контролювати, а також зменш</w:t>
      </w:r>
      <w:r w:rsidR="00ED24A3">
        <w:rPr>
          <w:rFonts w:ascii="Times New Roman" w:hAnsi="Times New Roman" w:cs="Times New Roman"/>
          <w:sz w:val="28"/>
          <w:szCs w:val="28"/>
          <w:lang w:val="uk-UA"/>
        </w:rPr>
        <w:t>ити запалення дихальних шляхів</w:t>
      </w:r>
      <w:r w:rsidRPr="00B463CB">
        <w:rPr>
          <w:rFonts w:ascii="Times New Roman" w:hAnsi="Times New Roman" w:cs="Times New Roman"/>
          <w:sz w:val="28"/>
          <w:szCs w:val="28"/>
          <w:lang w:val="uk-UA"/>
        </w:rPr>
        <w:t xml:space="preserve"> </w:t>
      </w:r>
      <w:r w:rsidR="00ED24A3">
        <w:rPr>
          <w:rFonts w:ascii="Times New Roman" w:hAnsi="Times New Roman" w:cs="Times New Roman"/>
          <w:sz w:val="28"/>
          <w:szCs w:val="28"/>
          <w:lang w:val="uk-UA"/>
        </w:rPr>
        <w:t>та відновлювати їх функцію</w:t>
      </w:r>
      <w:r w:rsidRPr="00B463CB">
        <w:rPr>
          <w:rFonts w:ascii="Times New Roman" w:hAnsi="Times New Roman" w:cs="Times New Roman"/>
          <w:sz w:val="28"/>
          <w:szCs w:val="28"/>
          <w:lang w:val="uk-UA"/>
        </w:rPr>
        <w:t xml:space="preserve">. </w:t>
      </w:r>
      <w:r w:rsidRPr="00B463CB">
        <w:rPr>
          <w:rFonts w:ascii="Times New Roman" w:hAnsi="Times New Roman" w:cs="Times New Roman"/>
          <w:sz w:val="28"/>
          <w:szCs w:val="28"/>
          <w:lang w:val="ru-RU"/>
        </w:rPr>
        <w:t xml:space="preserve">Препарати, що досягають першої мети, </w:t>
      </w:r>
      <w:r w:rsidR="00A5786F">
        <w:rPr>
          <w:rFonts w:ascii="Times New Roman" w:hAnsi="Times New Roman" w:cs="Times New Roman"/>
          <w:sz w:val="28"/>
          <w:szCs w:val="28"/>
          <w:lang w:val="ru-RU"/>
        </w:rPr>
        <w:t>є</w:t>
      </w:r>
      <w:r w:rsidRPr="00B463CB">
        <w:rPr>
          <w:rFonts w:ascii="Times New Roman" w:hAnsi="Times New Roman" w:cs="Times New Roman"/>
          <w:sz w:val="28"/>
          <w:szCs w:val="28"/>
          <w:lang w:val="ru-RU"/>
        </w:rPr>
        <w:t xml:space="preserve"> протизапальними агентами, а ті, як</w:t>
      </w:r>
      <w:r w:rsidR="00A5786F">
        <w:rPr>
          <w:rFonts w:ascii="Times New Roman" w:hAnsi="Times New Roman" w:cs="Times New Roman"/>
          <w:sz w:val="28"/>
          <w:szCs w:val="28"/>
          <w:lang w:val="ru-RU"/>
        </w:rPr>
        <w:t>і досягають другого, є</w:t>
      </w:r>
      <w:r w:rsidRPr="00B463CB">
        <w:rPr>
          <w:rFonts w:ascii="Times New Roman" w:hAnsi="Times New Roman" w:cs="Times New Roman"/>
          <w:sz w:val="28"/>
          <w:szCs w:val="28"/>
          <w:lang w:val="ru-RU"/>
        </w:rPr>
        <w:t xml:space="preserve"> бронходилататорами. Ліки від астми потрапляють у дві катег</w:t>
      </w:r>
      <w:r w:rsidR="009D753A">
        <w:rPr>
          <w:rFonts w:ascii="Times New Roman" w:hAnsi="Times New Roman" w:cs="Times New Roman"/>
          <w:sz w:val="28"/>
          <w:szCs w:val="28"/>
          <w:lang w:val="ru-RU"/>
        </w:rPr>
        <w:t>орії: препарати швидкого полегшення</w:t>
      </w:r>
      <w:r w:rsidRPr="00B463CB">
        <w:rPr>
          <w:rFonts w:ascii="Times New Roman" w:hAnsi="Times New Roman" w:cs="Times New Roman"/>
          <w:sz w:val="28"/>
          <w:szCs w:val="28"/>
          <w:lang w:val="ru-RU"/>
        </w:rPr>
        <w:t xml:space="preserve"> та довготрив</w:t>
      </w:r>
      <w:r w:rsidR="009D753A">
        <w:rPr>
          <w:rFonts w:ascii="Times New Roman" w:hAnsi="Times New Roman" w:cs="Times New Roman"/>
          <w:sz w:val="28"/>
          <w:szCs w:val="28"/>
          <w:lang w:val="ru-RU"/>
        </w:rPr>
        <w:t>але лікування. Препарат швидкої</w:t>
      </w:r>
      <w:r w:rsidRPr="00B463CB">
        <w:rPr>
          <w:rFonts w:ascii="Times New Roman" w:hAnsi="Times New Roman" w:cs="Times New Roman"/>
          <w:sz w:val="28"/>
          <w:szCs w:val="28"/>
          <w:lang w:val="ru-RU"/>
        </w:rPr>
        <w:t xml:space="preserve"> допомоги містить бронходилататори короткої дії, системні кортикостероїди та антихолінергічні препарати. Довготривалі лікарські засоби контролю включають протизапальні агенти, бронходилататори тривалого дії та модифікатори лейкотрієну</w:t>
      </w:r>
      <w:r w:rsidR="00771627">
        <w:rPr>
          <w:rFonts w:ascii="Times New Roman" w:hAnsi="Times New Roman" w:cs="Times New Roman"/>
          <w:sz w:val="28"/>
          <w:szCs w:val="28"/>
          <w:lang w:val="uk-UA"/>
        </w:rPr>
        <w:t xml:space="preserve">. </w:t>
      </w:r>
      <w:r w:rsidR="00771627" w:rsidRPr="00771627">
        <w:rPr>
          <w:rFonts w:ascii="Times New Roman" w:hAnsi="Times New Roman" w:cs="Times New Roman"/>
          <w:sz w:val="28"/>
          <w:szCs w:val="28"/>
          <w:lang w:val="uk-UA"/>
        </w:rPr>
        <w:t>Більшість препаратів для лікування астми вводять за допомогою різних форм інгаляторів або небулайзерів. Пацієнти повинні бути ретельно навчені використовувати інгалятори</w:t>
      </w:r>
      <w:r w:rsidR="00A5786F">
        <w:rPr>
          <w:rFonts w:ascii="Times New Roman" w:hAnsi="Times New Roman" w:cs="Times New Roman"/>
          <w:sz w:val="28"/>
          <w:szCs w:val="28"/>
          <w:lang w:val="uk-UA"/>
        </w:rPr>
        <w:t xml:space="preserve"> так</w:t>
      </w:r>
      <w:r w:rsidR="00771627" w:rsidRPr="00771627">
        <w:rPr>
          <w:rFonts w:ascii="Times New Roman" w:hAnsi="Times New Roman" w:cs="Times New Roman"/>
          <w:sz w:val="28"/>
          <w:szCs w:val="28"/>
          <w:lang w:val="uk-UA"/>
        </w:rPr>
        <w:t>, щоб вони були ефективними. Пацієнтам також слід доручити регулярно використовувати</w:t>
      </w:r>
      <w:r w:rsidR="00771627">
        <w:rPr>
          <w:rFonts w:ascii="Times New Roman" w:hAnsi="Times New Roman" w:cs="Times New Roman"/>
          <w:sz w:val="28"/>
          <w:szCs w:val="28"/>
          <w:lang w:val="uk-UA"/>
        </w:rPr>
        <w:t xml:space="preserve"> інгалятори, як це передбачено. </w:t>
      </w:r>
      <w:r w:rsidR="00771627" w:rsidRPr="00771627">
        <w:rPr>
          <w:rFonts w:ascii="Times New Roman" w:hAnsi="Times New Roman" w:cs="Times New Roman"/>
          <w:sz w:val="28"/>
          <w:szCs w:val="28"/>
          <w:lang w:val="uk-UA"/>
        </w:rPr>
        <w:t>Інга</w:t>
      </w:r>
      <w:r w:rsidR="00771627">
        <w:rPr>
          <w:rFonts w:ascii="Times New Roman" w:hAnsi="Times New Roman" w:cs="Times New Roman"/>
          <w:sz w:val="28"/>
          <w:szCs w:val="28"/>
          <w:lang w:val="uk-UA"/>
        </w:rPr>
        <w:t>лятори</w:t>
      </w:r>
      <w:r w:rsidR="00771627" w:rsidRPr="00771627">
        <w:rPr>
          <w:rFonts w:ascii="Times New Roman" w:hAnsi="Times New Roman" w:cs="Times New Roman"/>
          <w:sz w:val="28"/>
          <w:szCs w:val="28"/>
          <w:lang w:val="uk-UA"/>
        </w:rPr>
        <w:t xml:space="preserve"> можуть використовуватися до чотирьох разів на день протягом тривалого періоду часу. Оскільки поширеність астми зростає, проблеми, спричинені медикаментозним лікуванням астми, можуть п</w:t>
      </w:r>
      <w:r w:rsidR="00A5786F">
        <w:rPr>
          <w:rFonts w:ascii="Times New Roman" w:hAnsi="Times New Roman" w:cs="Times New Roman"/>
          <w:sz w:val="28"/>
          <w:szCs w:val="28"/>
          <w:lang w:val="uk-UA"/>
        </w:rPr>
        <w:t>ризвести до значних проблем у стоматологічному здоров'ї. Тому необхідним є уважне вивчення</w:t>
      </w:r>
      <w:r w:rsidR="00771627" w:rsidRPr="00771627">
        <w:rPr>
          <w:rFonts w:ascii="Times New Roman" w:hAnsi="Times New Roman" w:cs="Times New Roman"/>
          <w:sz w:val="28"/>
          <w:szCs w:val="28"/>
          <w:lang w:val="uk-UA"/>
        </w:rPr>
        <w:t xml:space="preserve"> вплив</w:t>
      </w:r>
      <w:r w:rsidR="00A5786F">
        <w:rPr>
          <w:rFonts w:ascii="Times New Roman" w:hAnsi="Times New Roman" w:cs="Times New Roman"/>
          <w:sz w:val="28"/>
          <w:szCs w:val="28"/>
          <w:lang w:val="uk-UA"/>
        </w:rPr>
        <w:t>у</w:t>
      </w:r>
      <w:r w:rsidR="00ED24A3">
        <w:rPr>
          <w:rFonts w:ascii="Times New Roman" w:hAnsi="Times New Roman" w:cs="Times New Roman"/>
          <w:sz w:val="28"/>
          <w:szCs w:val="28"/>
          <w:lang w:val="uk-UA"/>
        </w:rPr>
        <w:t xml:space="preserve"> астми та її</w:t>
      </w:r>
      <w:r w:rsidR="00771627" w:rsidRPr="00771627">
        <w:rPr>
          <w:rFonts w:ascii="Times New Roman" w:hAnsi="Times New Roman" w:cs="Times New Roman"/>
          <w:sz w:val="28"/>
          <w:szCs w:val="28"/>
          <w:lang w:val="uk-UA"/>
        </w:rPr>
        <w:t xml:space="preserve"> ліків на стан здоров'я ротової порожнини</w:t>
      </w:r>
      <w:r w:rsidR="00543849">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та його</w:t>
      </w:r>
      <w:r w:rsidR="00ED24A3">
        <w:rPr>
          <w:rFonts w:ascii="Times New Roman" w:hAnsi="Times New Roman" w:cs="Times New Roman"/>
          <w:sz w:val="28"/>
          <w:szCs w:val="28"/>
          <w:lang w:val="uk-UA"/>
        </w:rPr>
        <w:t xml:space="preserve"> </w:t>
      </w:r>
      <w:r w:rsidR="00A5786F">
        <w:rPr>
          <w:rFonts w:ascii="Times New Roman" w:hAnsi="Times New Roman" w:cs="Times New Roman"/>
          <w:sz w:val="28"/>
          <w:szCs w:val="28"/>
          <w:lang w:val="uk-UA"/>
        </w:rPr>
        <w:t>змін у відповідь на системне застосування ліків</w:t>
      </w:r>
      <w:r w:rsidR="00543849" w:rsidRPr="00543849">
        <w:rPr>
          <w:rFonts w:ascii="Times New Roman" w:hAnsi="Times New Roman" w:cs="Times New Roman"/>
          <w:sz w:val="28"/>
          <w:szCs w:val="28"/>
          <w:lang w:val="ru-RU"/>
        </w:rPr>
        <w:t>[45]</w:t>
      </w:r>
      <w:r w:rsidR="00771627" w:rsidRPr="00771627">
        <w:rPr>
          <w:rFonts w:ascii="Times New Roman" w:hAnsi="Times New Roman" w:cs="Times New Roman"/>
          <w:sz w:val="28"/>
          <w:szCs w:val="28"/>
          <w:lang w:val="uk-UA"/>
        </w:rPr>
        <w:t>.</w:t>
      </w:r>
      <w:r w:rsidR="00771627">
        <w:rPr>
          <w:rFonts w:ascii="Times New Roman" w:hAnsi="Times New Roman" w:cs="Times New Roman"/>
          <w:sz w:val="28"/>
          <w:szCs w:val="28"/>
          <w:lang w:val="uk-UA"/>
        </w:rPr>
        <w:t xml:space="preserve"> </w:t>
      </w:r>
    </w:p>
    <w:p w14:paraId="2523F5CA" w14:textId="1DDB2F70" w:rsidR="009952F3" w:rsidRPr="00771627" w:rsidRDefault="00771627" w:rsidP="00333286">
      <w:pPr>
        <w:spacing w:after="0" w:line="360" w:lineRule="auto"/>
        <w:ind w:firstLine="709"/>
        <w:jc w:val="both"/>
        <w:rPr>
          <w:rFonts w:ascii="Times New Roman" w:hAnsi="Times New Roman" w:cs="Times New Roman"/>
          <w:sz w:val="28"/>
          <w:szCs w:val="28"/>
          <w:lang w:val="ru-RU"/>
        </w:rPr>
      </w:pPr>
      <w:r w:rsidRPr="00771627">
        <w:rPr>
          <w:rFonts w:ascii="Times New Roman" w:hAnsi="Times New Roman" w:cs="Times New Roman"/>
          <w:sz w:val="28"/>
          <w:szCs w:val="28"/>
          <w:lang w:val="ru-RU"/>
        </w:rPr>
        <w:t>Дослідження показують, що тривале застосування а</w:t>
      </w:r>
      <w:r>
        <w:rPr>
          <w:rFonts w:ascii="Times New Roman" w:hAnsi="Times New Roman" w:cs="Times New Roman"/>
          <w:sz w:val="28"/>
          <w:szCs w:val="28"/>
          <w:lang w:val="uk-UA"/>
        </w:rPr>
        <w:t>нта</w:t>
      </w:r>
      <w:r w:rsidR="00A5786F">
        <w:rPr>
          <w:rFonts w:ascii="Times New Roman" w:hAnsi="Times New Roman" w:cs="Times New Roman"/>
          <w:sz w:val="28"/>
          <w:szCs w:val="28"/>
          <w:lang w:val="ru-RU"/>
        </w:rPr>
        <w:t>гоністів</w:t>
      </w:r>
      <w:r w:rsidRPr="00771627">
        <w:rPr>
          <w:rFonts w:ascii="Times New Roman" w:hAnsi="Times New Roman" w:cs="Times New Roman"/>
          <w:sz w:val="28"/>
          <w:szCs w:val="28"/>
          <w:lang w:val="ru-RU"/>
        </w:rPr>
        <w:t xml:space="preserve"> бета-2 може зменшити </w:t>
      </w:r>
      <w:r>
        <w:rPr>
          <w:rFonts w:ascii="Times New Roman" w:hAnsi="Times New Roman" w:cs="Times New Roman"/>
          <w:sz w:val="28"/>
          <w:szCs w:val="28"/>
          <w:lang w:val="ru-RU"/>
        </w:rPr>
        <w:t>швидкість слиновиділення</w:t>
      </w:r>
      <w:r w:rsidRPr="00771627">
        <w:rPr>
          <w:rFonts w:ascii="Times New Roman" w:hAnsi="Times New Roman" w:cs="Times New Roman"/>
          <w:sz w:val="28"/>
          <w:szCs w:val="28"/>
          <w:lang w:val="ru-RU"/>
        </w:rPr>
        <w:t xml:space="preserve"> [</w:t>
      </w:r>
      <w:r w:rsidR="00543849">
        <w:rPr>
          <w:rFonts w:ascii="Times New Roman" w:hAnsi="Times New Roman" w:cs="Times New Roman"/>
          <w:sz w:val="28"/>
          <w:szCs w:val="28"/>
          <w:lang w:val="ru-RU"/>
        </w:rPr>
        <w:t>46, 47</w:t>
      </w:r>
      <w:r w:rsidRPr="00771627">
        <w:rPr>
          <w:rFonts w:ascii="Times New Roman" w:hAnsi="Times New Roman" w:cs="Times New Roman"/>
          <w:sz w:val="28"/>
          <w:szCs w:val="28"/>
          <w:lang w:val="ru-RU"/>
        </w:rPr>
        <w:t>]</w:t>
      </w:r>
      <w:r w:rsidR="00543849">
        <w:rPr>
          <w:rFonts w:ascii="Times New Roman" w:hAnsi="Times New Roman" w:cs="Times New Roman"/>
          <w:sz w:val="28"/>
          <w:szCs w:val="28"/>
          <w:lang w:val="ru-RU"/>
        </w:rPr>
        <w:t>. Автори</w:t>
      </w:r>
      <w:r w:rsidRPr="00771627">
        <w:rPr>
          <w:rFonts w:ascii="Times New Roman" w:hAnsi="Times New Roman" w:cs="Times New Roman"/>
          <w:sz w:val="28"/>
          <w:szCs w:val="28"/>
          <w:lang w:val="ru-RU"/>
        </w:rPr>
        <w:t xml:space="preserve"> зазначили, що рівень секреції слини </w:t>
      </w:r>
      <w:r>
        <w:rPr>
          <w:rFonts w:ascii="Times New Roman" w:hAnsi="Times New Roman" w:cs="Times New Roman"/>
          <w:sz w:val="28"/>
          <w:szCs w:val="28"/>
          <w:lang w:val="ru-RU"/>
        </w:rPr>
        <w:t>знизився на 26%-</w:t>
      </w:r>
      <w:r w:rsidRPr="00771627">
        <w:rPr>
          <w:rFonts w:ascii="Times New Roman" w:hAnsi="Times New Roman" w:cs="Times New Roman"/>
          <w:sz w:val="28"/>
          <w:szCs w:val="28"/>
          <w:lang w:val="ru-RU"/>
        </w:rPr>
        <w:t>36% у астматичних</w:t>
      </w:r>
      <w:r w:rsidR="00543849">
        <w:rPr>
          <w:rFonts w:ascii="Times New Roman" w:hAnsi="Times New Roman" w:cs="Times New Roman"/>
          <w:sz w:val="28"/>
          <w:szCs w:val="28"/>
          <w:lang w:val="ru-RU"/>
        </w:rPr>
        <w:t xml:space="preserve"> пацієнтів на </w:t>
      </w:r>
      <w:r w:rsidR="00543849" w:rsidRPr="00771627">
        <w:rPr>
          <w:rFonts w:ascii="Times New Roman" w:hAnsi="Times New Roman" w:cs="Times New Roman"/>
          <w:sz w:val="28"/>
          <w:szCs w:val="28"/>
          <w:lang w:val="ru-RU"/>
        </w:rPr>
        <w:t>лікувальних</w:t>
      </w:r>
      <w:r w:rsidRPr="00771627">
        <w:rPr>
          <w:rFonts w:ascii="Times New Roman" w:hAnsi="Times New Roman" w:cs="Times New Roman"/>
          <w:sz w:val="28"/>
          <w:szCs w:val="28"/>
          <w:lang w:val="ru-RU"/>
        </w:rPr>
        <w:t xml:space="preserve"> препар</w:t>
      </w:r>
      <w:r w:rsidR="00543849">
        <w:rPr>
          <w:rFonts w:ascii="Times New Roman" w:hAnsi="Times New Roman" w:cs="Times New Roman"/>
          <w:sz w:val="28"/>
          <w:szCs w:val="28"/>
          <w:lang w:val="ru-RU"/>
        </w:rPr>
        <w:t>атах у порівнянні з неастматичною контрольною групою</w:t>
      </w:r>
      <w:r w:rsidRPr="00771627">
        <w:rPr>
          <w:rFonts w:ascii="Times New Roman" w:hAnsi="Times New Roman" w:cs="Times New Roman"/>
          <w:sz w:val="28"/>
          <w:szCs w:val="28"/>
          <w:lang w:val="ru-RU"/>
        </w:rPr>
        <w:t xml:space="preserve">. Астматичні </w:t>
      </w:r>
      <w:r w:rsidR="00543849">
        <w:rPr>
          <w:rFonts w:ascii="Times New Roman" w:hAnsi="Times New Roman" w:cs="Times New Roman"/>
          <w:sz w:val="28"/>
          <w:szCs w:val="28"/>
          <w:lang w:val="ru-RU"/>
        </w:rPr>
        <w:lastRenderedPageBreak/>
        <w:t>пацієнти</w:t>
      </w:r>
      <w:r w:rsidRPr="00771627">
        <w:rPr>
          <w:rFonts w:ascii="Times New Roman" w:hAnsi="Times New Roman" w:cs="Times New Roman"/>
          <w:sz w:val="28"/>
          <w:szCs w:val="28"/>
          <w:lang w:val="ru-RU"/>
        </w:rPr>
        <w:t xml:space="preserve"> також показали зменшення </w:t>
      </w:r>
      <w:r w:rsidR="00543849">
        <w:rPr>
          <w:rFonts w:ascii="Times New Roman" w:hAnsi="Times New Roman" w:cs="Times New Roman"/>
          <w:sz w:val="28"/>
          <w:szCs w:val="28"/>
          <w:lang w:val="ru-RU"/>
        </w:rPr>
        <w:t>об</w:t>
      </w:r>
      <w:r w:rsidR="00543849" w:rsidRPr="00543849">
        <w:rPr>
          <w:rFonts w:ascii="Times New Roman" w:hAnsi="Times New Roman" w:cs="Times New Roman"/>
          <w:sz w:val="28"/>
          <w:szCs w:val="28"/>
          <w:lang w:val="ru-RU"/>
        </w:rPr>
        <w:t>’</w:t>
      </w:r>
      <w:r w:rsidR="00543849">
        <w:rPr>
          <w:rFonts w:ascii="Times New Roman" w:hAnsi="Times New Roman" w:cs="Times New Roman"/>
          <w:sz w:val="28"/>
          <w:szCs w:val="28"/>
          <w:lang w:val="uk-UA"/>
        </w:rPr>
        <w:t>ємів</w:t>
      </w:r>
      <w:r w:rsidR="00543849">
        <w:rPr>
          <w:rFonts w:ascii="Times New Roman" w:hAnsi="Times New Roman" w:cs="Times New Roman"/>
          <w:sz w:val="28"/>
          <w:szCs w:val="28"/>
          <w:lang w:val="ru-RU"/>
        </w:rPr>
        <w:t xml:space="preserve"> протеїнів</w:t>
      </w:r>
      <w:r w:rsidRPr="00771627">
        <w:rPr>
          <w:rFonts w:ascii="Times New Roman" w:hAnsi="Times New Roman" w:cs="Times New Roman"/>
          <w:sz w:val="28"/>
          <w:szCs w:val="28"/>
          <w:lang w:val="ru-RU"/>
        </w:rPr>
        <w:t xml:space="preserve">, амілази, гексозаміну, лізоциму та секреторного IgA в </w:t>
      </w:r>
      <w:r w:rsidR="00543849">
        <w:rPr>
          <w:rFonts w:ascii="Times New Roman" w:hAnsi="Times New Roman" w:cs="Times New Roman"/>
          <w:sz w:val="28"/>
          <w:szCs w:val="28"/>
          <w:lang w:val="ru-RU"/>
        </w:rPr>
        <w:t xml:space="preserve">стимульованій слині </w:t>
      </w:r>
      <w:r w:rsidR="00543849" w:rsidRPr="00543849">
        <w:rPr>
          <w:rFonts w:ascii="Times New Roman" w:hAnsi="Times New Roman" w:cs="Times New Roman"/>
          <w:sz w:val="28"/>
          <w:szCs w:val="28"/>
          <w:lang w:val="ru-RU"/>
        </w:rPr>
        <w:t>[</w:t>
      </w:r>
      <w:r w:rsidRPr="00771627">
        <w:rPr>
          <w:rFonts w:ascii="Times New Roman" w:hAnsi="Times New Roman" w:cs="Times New Roman"/>
          <w:sz w:val="28"/>
          <w:szCs w:val="28"/>
          <w:lang w:val="ru-RU"/>
        </w:rPr>
        <w:t>4</w:t>
      </w:r>
      <w:r w:rsidR="00543849" w:rsidRPr="00543849">
        <w:rPr>
          <w:rFonts w:ascii="Times New Roman" w:hAnsi="Times New Roman" w:cs="Times New Roman"/>
          <w:sz w:val="28"/>
          <w:szCs w:val="28"/>
          <w:lang w:val="ru-RU"/>
        </w:rPr>
        <w:t>8]</w:t>
      </w:r>
      <w:r w:rsidR="00543849">
        <w:rPr>
          <w:rFonts w:ascii="Times New Roman" w:hAnsi="Times New Roman" w:cs="Times New Roman"/>
          <w:sz w:val="28"/>
          <w:szCs w:val="28"/>
          <w:lang w:val="uk-UA"/>
        </w:rPr>
        <w:t>.</w:t>
      </w:r>
      <w:r w:rsidRPr="00771627">
        <w:rPr>
          <w:rFonts w:ascii="Times New Roman" w:hAnsi="Times New Roman" w:cs="Times New Roman"/>
          <w:sz w:val="28"/>
          <w:szCs w:val="28"/>
          <w:lang w:val="ru-RU"/>
        </w:rPr>
        <w:t xml:space="preserve"> Будь-який фактор, який знижує якість і кількість слини, може негативно</w:t>
      </w:r>
      <w:r w:rsidR="00543849">
        <w:rPr>
          <w:rFonts w:ascii="Times New Roman" w:hAnsi="Times New Roman" w:cs="Times New Roman"/>
          <w:sz w:val="28"/>
          <w:szCs w:val="28"/>
          <w:lang w:val="ru-RU"/>
        </w:rPr>
        <w:t xml:space="preserve"> впливати на стан здоров'я ротової порожнини</w:t>
      </w:r>
      <w:r w:rsidRPr="00771627">
        <w:rPr>
          <w:rFonts w:ascii="Times New Roman" w:hAnsi="Times New Roman" w:cs="Times New Roman"/>
          <w:sz w:val="28"/>
          <w:szCs w:val="28"/>
          <w:lang w:val="ru-RU"/>
        </w:rPr>
        <w:t xml:space="preserve">, оскільки </w:t>
      </w:r>
      <w:r w:rsidR="00A5786F">
        <w:rPr>
          <w:rFonts w:ascii="Times New Roman" w:hAnsi="Times New Roman" w:cs="Times New Roman"/>
          <w:sz w:val="28"/>
          <w:szCs w:val="28"/>
          <w:lang w:val="ru-RU"/>
        </w:rPr>
        <w:t>ротова рідина</w:t>
      </w:r>
      <w:r w:rsidR="00ED24A3">
        <w:rPr>
          <w:rFonts w:ascii="Times New Roman" w:hAnsi="Times New Roman" w:cs="Times New Roman"/>
          <w:sz w:val="28"/>
          <w:szCs w:val="28"/>
          <w:lang w:val="ru-RU"/>
        </w:rPr>
        <w:t xml:space="preserve"> відіграє важливу</w:t>
      </w:r>
      <w:r w:rsidRPr="00771627">
        <w:rPr>
          <w:rFonts w:ascii="Times New Roman" w:hAnsi="Times New Roman" w:cs="Times New Roman"/>
          <w:sz w:val="28"/>
          <w:szCs w:val="28"/>
          <w:lang w:val="ru-RU"/>
        </w:rPr>
        <w:t xml:space="preserve"> роль у її збереженні</w:t>
      </w:r>
      <w:r w:rsidR="00A5786F">
        <w:rPr>
          <w:rFonts w:ascii="Times New Roman" w:hAnsi="Times New Roman" w:cs="Times New Roman"/>
          <w:sz w:val="28"/>
          <w:szCs w:val="28"/>
          <w:lang w:val="ru-RU"/>
        </w:rPr>
        <w:t>.</w:t>
      </w:r>
    </w:p>
    <w:p w14:paraId="1784A808" w14:textId="59BCAA00" w:rsidR="00543849" w:rsidRPr="00333286" w:rsidRDefault="00C12653" w:rsidP="006311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даними, наведеними у публікаціях авторів, наявність атопічних захворювань безумовно впливає на стан тканин порожнини рота. Відповідно до основного захворювання, відбуваються певні зміни стоматологічного статусу, а саме: зниження захисних властивостей ротової рідини</w:t>
      </w:r>
      <w:r w:rsidRPr="00C12653">
        <w:rPr>
          <w:rFonts w:ascii="Times New Roman" w:hAnsi="Times New Roman" w:cs="Times New Roman"/>
          <w:sz w:val="28"/>
          <w:szCs w:val="28"/>
          <w:lang w:val="uk-UA"/>
        </w:rPr>
        <w:t xml:space="preserve"> через зменшення </w:t>
      </w:r>
      <w:r>
        <w:rPr>
          <w:rFonts w:ascii="Times New Roman" w:hAnsi="Times New Roman" w:cs="Times New Roman"/>
          <w:sz w:val="28"/>
          <w:szCs w:val="28"/>
          <w:lang w:val="uk-UA"/>
        </w:rPr>
        <w:t xml:space="preserve">швидкості слиновиділення, ксеростомію </w:t>
      </w:r>
      <w:r w:rsidRPr="00C12653">
        <w:rPr>
          <w:rFonts w:ascii="Times New Roman" w:hAnsi="Times New Roman" w:cs="Times New Roman"/>
          <w:sz w:val="28"/>
          <w:szCs w:val="28"/>
          <w:lang w:val="uk-UA"/>
        </w:rPr>
        <w:t xml:space="preserve">та </w:t>
      </w:r>
      <w:r>
        <w:rPr>
          <w:rFonts w:ascii="Times New Roman" w:hAnsi="Times New Roman" w:cs="Times New Roman"/>
          <w:sz w:val="28"/>
          <w:szCs w:val="28"/>
          <w:lang w:val="uk-UA"/>
        </w:rPr>
        <w:t>зменшення концентрації</w:t>
      </w:r>
      <w:r w:rsidRPr="00C12653">
        <w:rPr>
          <w:rFonts w:ascii="Times New Roman" w:hAnsi="Times New Roman" w:cs="Times New Roman"/>
          <w:sz w:val="28"/>
          <w:szCs w:val="28"/>
          <w:lang w:val="uk-UA"/>
        </w:rPr>
        <w:t xml:space="preserve"> секреторного IgA</w:t>
      </w:r>
      <w:r>
        <w:rPr>
          <w:rFonts w:ascii="Times New Roman" w:hAnsi="Times New Roman" w:cs="Times New Roman"/>
          <w:sz w:val="28"/>
          <w:szCs w:val="28"/>
          <w:lang w:val="uk-UA"/>
        </w:rPr>
        <w:t>; з</w:t>
      </w:r>
      <w:r w:rsidRPr="00C12653">
        <w:rPr>
          <w:rFonts w:ascii="Times New Roman" w:hAnsi="Times New Roman" w:cs="Times New Roman"/>
          <w:sz w:val="28"/>
          <w:szCs w:val="28"/>
          <w:lang w:val="uk-UA"/>
        </w:rPr>
        <w:t xml:space="preserve">неводнення слизової оболонки через </w:t>
      </w:r>
      <w:r>
        <w:rPr>
          <w:rFonts w:ascii="Times New Roman" w:hAnsi="Times New Roman" w:cs="Times New Roman"/>
          <w:sz w:val="28"/>
          <w:szCs w:val="28"/>
          <w:lang w:val="uk-UA"/>
        </w:rPr>
        <w:t>ротовое дихання у астматиків; з</w:t>
      </w:r>
      <w:r w:rsidRPr="00C12653">
        <w:rPr>
          <w:rFonts w:ascii="Times New Roman" w:hAnsi="Times New Roman" w:cs="Times New Roman"/>
          <w:sz w:val="28"/>
          <w:szCs w:val="28"/>
          <w:lang w:val="uk-UA"/>
        </w:rPr>
        <w:t>міна імунної відповіді та підвищення к</w:t>
      </w:r>
      <w:r>
        <w:rPr>
          <w:rFonts w:ascii="Times New Roman" w:hAnsi="Times New Roman" w:cs="Times New Roman"/>
          <w:sz w:val="28"/>
          <w:szCs w:val="28"/>
          <w:lang w:val="uk-UA"/>
        </w:rPr>
        <w:t>онцентрації IgE в тканинах ясен; б</w:t>
      </w:r>
      <w:r w:rsidRPr="00C12653">
        <w:rPr>
          <w:rFonts w:ascii="Times New Roman" w:hAnsi="Times New Roman" w:cs="Times New Roman"/>
          <w:sz w:val="28"/>
          <w:szCs w:val="28"/>
          <w:lang w:val="uk-UA"/>
        </w:rPr>
        <w:t xml:space="preserve">ільша </w:t>
      </w:r>
      <w:r>
        <w:rPr>
          <w:rFonts w:ascii="Times New Roman" w:hAnsi="Times New Roman" w:cs="Times New Roman"/>
          <w:sz w:val="28"/>
          <w:szCs w:val="28"/>
          <w:lang w:val="uk-UA"/>
        </w:rPr>
        <w:t>кількість зубних відкладень</w:t>
      </w:r>
      <w:r w:rsidRPr="00C12653">
        <w:rPr>
          <w:rFonts w:ascii="Times New Roman" w:hAnsi="Times New Roman" w:cs="Times New Roman"/>
          <w:sz w:val="28"/>
          <w:szCs w:val="28"/>
          <w:lang w:val="uk-UA"/>
        </w:rPr>
        <w:t xml:space="preserve"> через збільшення вм</w:t>
      </w:r>
      <w:r>
        <w:rPr>
          <w:rFonts w:ascii="Times New Roman" w:hAnsi="Times New Roman" w:cs="Times New Roman"/>
          <w:sz w:val="28"/>
          <w:szCs w:val="28"/>
          <w:lang w:val="uk-UA"/>
        </w:rPr>
        <w:t>істу кальцію та фосфору в слині; з</w:t>
      </w:r>
      <w:r w:rsidRPr="00C12653">
        <w:rPr>
          <w:rFonts w:ascii="Times New Roman" w:hAnsi="Times New Roman" w:cs="Times New Roman"/>
          <w:sz w:val="28"/>
          <w:szCs w:val="28"/>
          <w:lang w:val="uk-UA"/>
        </w:rPr>
        <w:t>меншення мінеральної щільності кісткової тканини, пов'язаної з інгаляційними кортикостероїдами</w:t>
      </w:r>
      <w:r w:rsidR="0063119B" w:rsidRPr="0063119B">
        <w:rPr>
          <w:rFonts w:ascii="Times New Roman" w:hAnsi="Times New Roman" w:cs="Times New Roman"/>
          <w:sz w:val="28"/>
          <w:szCs w:val="28"/>
          <w:lang w:val="uk-UA"/>
        </w:rPr>
        <w:t xml:space="preserve"> [49, 50</w:t>
      </w:r>
      <w:r w:rsidR="00CF16BB" w:rsidRPr="00CF16BB">
        <w:rPr>
          <w:rFonts w:ascii="Times New Roman" w:hAnsi="Times New Roman" w:cs="Times New Roman"/>
          <w:sz w:val="28"/>
          <w:szCs w:val="28"/>
          <w:lang w:val="uk-UA"/>
        </w:rPr>
        <w:t>, 51, 52, 53</w:t>
      </w:r>
      <w:r w:rsidR="0063119B" w:rsidRPr="0063119B">
        <w:rPr>
          <w:rFonts w:ascii="Times New Roman" w:hAnsi="Times New Roman" w:cs="Times New Roman"/>
          <w:sz w:val="28"/>
          <w:szCs w:val="28"/>
          <w:lang w:val="uk-UA"/>
        </w:rPr>
        <w:t>]</w:t>
      </w:r>
      <w:r>
        <w:rPr>
          <w:rFonts w:ascii="Times New Roman" w:hAnsi="Times New Roman" w:cs="Times New Roman"/>
          <w:sz w:val="28"/>
          <w:szCs w:val="28"/>
          <w:lang w:val="uk-UA"/>
        </w:rPr>
        <w:t>.</w:t>
      </w:r>
    </w:p>
    <w:p w14:paraId="65A676FF" w14:textId="530B508C" w:rsidR="002A243C" w:rsidRDefault="00333286" w:rsidP="00333286">
      <w:pPr>
        <w:spacing w:after="0" w:line="360" w:lineRule="auto"/>
        <w:ind w:firstLine="709"/>
        <w:jc w:val="both"/>
        <w:rPr>
          <w:rFonts w:ascii="Times New Roman" w:hAnsi="Times New Roman" w:cs="Times New Roman"/>
          <w:sz w:val="28"/>
          <w:szCs w:val="28"/>
          <w:lang w:val="uk-UA"/>
        </w:rPr>
      </w:pPr>
      <w:r w:rsidRPr="00333286">
        <w:rPr>
          <w:rFonts w:ascii="Times New Roman" w:hAnsi="Times New Roman" w:cs="Times New Roman"/>
          <w:sz w:val="28"/>
          <w:szCs w:val="28"/>
          <w:lang w:val="uk-UA"/>
        </w:rPr>
        <w:t>Роботи, в яких би повністю висвітлювались питання комплексної оцінки стану іму</w:t>
      </w:r>
      <w:r w:rsidR="0063119B">
        <w:rPr>
          <w:rFonts w:ascii="Times New Roman" w:hAnsi="Times New Roman" w:cs="Times New Roman"/>
          <w:sz w:val="28"/>
          <w:szCs w:val="28"/>
          <w:lang w:val="uk-UA"/>
        </w:rPr>
        <w:t>нної системи дітей, хворих на атопічні захворювання</w:t>
      </w:r>
      <w:r w:rsidRPr="00333286">
        <w:rPr>
          <w:rFonts w:ascii="Times New Roman" w:hAnsi="Times New Roman" w:cs="Times New Roman"/>
          <w:sz w:val="28"/>
          <w:szCs w:val="28"/>
          <w:lang w:val="uk-UA"/>
        </w:rPr>
        <w:t>, із врахуванням даних її клітинної та гумора</w:t>
      </w:r>
      <w:r w:rsidR="0063119B">
        <w:rPr>
          <w:rFonts w:ascii="Times New Roman" w:hAnsi="Times New Roman" w:cs="Times New Roman"/>
          <w:sz w:val="28"/>
          <w:szCs w:val="28"/>
          <w:lang w:val="uk-UA"/>
        </w:rPr>
        <w:t>льної ланки, мукозального імунітету</w:t>
      </w:r>
      <w:r w:rsidRPr="00333286">
        <w:rPr>
          <w:rFonts w:ascii="Times New Roman" w:hAnsi="Times New Roman" w:cs="Times New Roman"/>
          <w:sz w:val="28"/>
          <w:szCs w:val="28"/>
          <w:lang w:val="uk-UA"/>
        </w:rPr>
        <w:t xml:space="preserve">, </w:t>
      </w:r>
      <w:r w:rsidR="0063119B">
        <w:rPr>
          <w:rFonts w:ascii="Times New Roman" w:hAnsi="Times New Roman" w:cs="Times New Roman"/>
          <w:sz w:val="28"/>
          <w:szCs w:val="28"/>
          <w:lang w:val="uk-UA"/>
        </w:rPr>
        <w:t>рівнів</w:t>
      </w:r>
      <w:r w:rsidR="00027715">
        <w:rPr>
          <w:rFonts w:ascii="Times New Roman" w:hAnsi="Times New Roman" w:cs="Times New Roman"/>
          <w:sz w:val="28"/>
          <w:szCs w:val="28"/>
          <w:lang w:val="uk-UA"/>
        </w:rPr>
        <w:t xml:space="preserve"> s</w:t>
      </w:r>
      <w:r w:rsidRPr="00333286">
        <w:rPr>
          <w:rFonts w:ascii="Times New Roman" w:hAnsi="Times New Roman" w:cs="Times New Roman"/>
          <w:sz w:val="28"/>
          <w:szCs w:val="28"/>
          <w:lang w:val="uk-UA"/>
        </w:rPr>
        <w:t xml:space="preserve">ІgA і IgE на слизових, </w:t>
      </w:r>
      <w:r w:rsidR="0063119B">
        <w:rPr>
          <w:rFonts w:ascii="Times New Roman" w:hAnsi="Times New Roman" w:cs="Times New Roman"/>
          <w:sz w:val="28"/>
          <w:szCs w:val="28"/>
          <w:lang w:val="uk-UA"/>
        </w:rPr>
        <w:t xml:space="preserve">з дослідженням динаміки змін даних параметрів </w:t>
      </w:r>
      <w:r w:rsidRPr="00333286">
        <w:rPr>
          <w:rFonts w:ascii="Times New Roman" w:hAnsi="Times New Roman" w:cs="Times New Roman"/>
          <w:sz w:val="28"/>
          <w:szCs w:val="28"/>
          <w:lang w:val="uk-UA"/>
        </w:rPr>
        <w:t>як в процесі захворювання, так і під впливом лікування, практично відсутні</w:t>
      </w:r>
      <w:r w:rsidR="00CF16BB" w:rsidRPr="00CF16BB">
        <w:rPr>
          <w:rFonts w:ascii="Times New Roman" w:hAnsi="Times New Roman" w:cs="Times New Roman"/>
          <w:sz w:val="28"/>
          <w:szCs w:val="28"/>
          <w:lang w:val="uk-UA"/>
        </w:rPr>
        <w:t xml:space="preserve"> [54, 55, 56]</w:t>
      </w:r>
      <w:r w:rsidR="000B5BA9">
        <w:rPr>
          <w:rFonts w:ascii="Times New Roman" w:hAnsi="Times New Roman" w:cs="Times New Roman"/>
          <w:sz w:val="28"/>
          <w:szCs w:val="28"/>
          <w:lang w:val="uk-UA"/>
        </w:rPr>
        <w:t>.</w:t>
      </w:r>
    </w:p>
    <w:p w14:paraId="18361224" w14:textId="10E085C1" w:rsidR="000B5BA9" w:rsidRPr="000B5BA9" w:rsidRDefault="000B5BA9" w:rsidP="000B5BA9">
      <w:pPr>
        <w:spacing w:after="0" w:line="360" w:lineRule="auto"/>
        <w:ind w:firstLine="709"/>
        <w:jc w:val="both"/>
        <w:rPr>
          <w:rFonts w:ascii="Times New Roman" w:hAnsi="Times New Roman" w:cs="Times New Roman"/>
          <w:sz w:val="28"/>
          <w:szCs w:val="28"/>
          <w:lang w:val="uk-UA"/>
        </w:rPr>
      </w:pPr>
      <w:r w:rsidRPr="000B5BA9">
        <w:rPr>
          <w:rFonts w:ascii="Times New Roman" w:hAnsi="Times New Roman" w:cs="Times New Roman"/>
          <w:sz w:val="28"/>
          <w:szCs w:val="28"/>
          <w:lang w:val="uk-UA"/>
        </w:rPr>
        <w:t xml:space="preserve">Частота </w:t>
      </w:r>
      <w:r w:rsidR="0063119B">
        <w:rPr>
          <w:rFonts w:ascii="Times New Roman" w:hAnsi="Times New Roman" w:cs="Times New Roman"/>
          <w:sz w:val="28"/>
          <w:szCs w:val="28"/>
          <w:lang w:val="uk-UA"/>
        </w:rPr>
        <w:t>асоціації бронхіальної астми з алергічним ринітом</w:t>
      </w:r>
      <w:r w:rsidRPr="000B5BA9">
        <w:rPr>
          <w:rFonts w:ascii="Times New Roman" w:hAnsi="Times New Roman" w:cs="Times New Roman"/>
          <w:sz w:val="28"/>
          <w:szCs w:val="28"/>
          <w:lang w:val="uk-UA"/>
        </w:rPr>
        <w:t xml:space="preserve"> становить 70-90% в залежності від регіону, і спостерігається значний </w:t>
      </w:r>
      <w:r w:rsidR="0063119B">
        <w:rPr>
          <w:rFonts w:ascii="Times New Roman" w:hAnsi="Times New Roman" w:cs="Times New Roman"/>
          <w:sz w:val="28"/>
          <w:szCs w:val="28"/>
          <w:lang w:val="uk-UA"/>
        </w:rPr>
        <w:t>при</w:t>
      </w:r>
      <w:r w:rsidRPr="000B5BA9">
        <w:rPr>
          <w:rFonts w:ascii="Times New Roman" w:hAnsi="Times New Roman" w:cs="Times New Roman"/>
          <w:sz w:val="28"/>
          <w:szCs w:val="28"/>
          <w:lang w:val="uk-UA"/>
        </w:rPr>
        <w:t xml:space="preserve">ріст цих захворювань. Патогенез </w:t>
      </w:r>
      <w:r w:rsidR="0063119B">
        <w:rPr>
          <w:rFonts w:ascii="Times New Roman" w:hAnsi="Times New Roman" w:cs="Times New Roman"/>
          <w:sz w:val="28"/>
          <w:szCs w:val="28"/>
          <w:lang w:val="uk-UA"/>
        </w:rPr>
        <w:t>даних захворювань</w:t>
      </w:r>
      <w:r w:rsidRPr="000B5BA9">
        <w:rPr>
          <w:rFonts w:ascii="Times New Roman" w:hAnsi="Times New Roman" w:cs="Times New Roman"/>
          <w:sz w:val="28"/>
          <w:szCs w:val="28"/>
          <w:lang w:val="uk-UA"/>
        </w:rPr>
        <w:t xml:space="preserve"> складний, та </w:t>
      </w:r>
      <w:r w:rsidR="0063119B">
        <w:rPr>
          <w:rFonts w:ascii="Times New Roman" w:hAnsi="Times New Roman" w:cs="Times New Roman"/>
          <w:sz w:val="28"/>
          <w:szCs w:val="28"/>
          <w:lang w:val="uk-UA"/>
        </w:rPr>
        <w:t>головна роль належить імунометаболічним</w:t>
      </w:r>
      <w:r w:rsidRPr="000B5BA9">
        <w:rPr>
          <w:rFonts w:ascii="Times New Roman" w:hAnsi="Times New Roman" w:cs="Times New Roman"/>
          <w:sz w:val="28"/>
          <w:szCs w:val="28"/>
          <w:lang w:val="uk-UA"/>
        </w:rPr>
        <w:t xml:space="preserve"> </w:t>
      </w:r>
      <w:r w:rsidR="0063119B">
        <w:rPr>
          <w:rFonts w:ascii="Times New Roman" w:hAnsi="Times New Roman" w:cs="Times New Roman"/>
          <w:sz w:val="28"/>
          <w:szCs w:val="28"/>
          <w:lang w:val="uk-UA"/>
        </w:rPr>
        <w:t>процесам</w:t>
      </w:r>
      <w:r w:rsidRPr="000B5BA9">
        <w:rPr>
          <w:rFonts w:ascii="Times New Roman" w:hAnsi="Times New Roman" w:cs="Times New Roman"/>
          <w:sz w:val="28"/>
          <w:szCs w:val="28"/>
          <w:lang w:val="uk-UA"/>
        </w:rPr>
        <w:t>. Розвиток</w:t>
      </w:r>
      <w:r w:rsidR="0063119B">
        <w:rPr>
          <w:rFonts w:ascii="Times New Roman" w:hAnsi="Times New Roman" w:cs="Times New Roman"/>
          <w:sz w:val="28"/>
          <w:szCs w:val="28"/>
          <w:lang w:val="uk-UA"/>
        </w:rPr>
        <w:t xml:space="preserve"> імунних порушень може бути пов</w:t>
      </w:r>
      <w:r w:rsidR="0063119B" w:rsidRPr="0063119B">
        <w:rPr>
          <w:rFonts w:ascii="Times New Roman" w:hAnsi="Times New Roman" w:cs="Times New Roman"/>
          <w:sz w:val="28"/>
          <w:szCs w:val="28"/>
          <w:lang w:val="ru-RU"/>
        </w:rPr>
        <w:t>’</w:t>
      </w:r>
      <w:r w:rsidRPr="000B5BA9">
        <w:rPr>
          <w:rFonts w:ascii="Times New Roman" w:hAnsi="Times New Roman" w:cs="Times New Roman"/>
          <w:sz w:val="28"/>
          <w:szCs w:val="28"/>
          <w:lang w:val="uk-UA"/>
        </w:rPr>
        <w:t>язаний з дією патогенни</w:t>
      </w:r>
      <w:r w:rsidR="0063119B">
        <w:rPr>
          <w:rFonts w:ascii="Times New Roman" w:hAnsi="Times New Roman" w:cs="Times New Roman"/>
          <w:sz w:val="28"/>
          <w:szCs w:val="28"/>
          <w:lang w:val="uk-UA"/>
        </w:rPr>
        <w:t xml:space="preserve">х збудників на організм </w:t>
      </w:r>
      <w:r w:rsidR="00CF16BB">
        <w:rPr>
          <w:rFonts w:ascii="Times New Roman" w:hAnsi="Times New Roman" w:cs="Times New Roman"/>
          <w:noProof/>
          <w:sz w:val="28"/>
          <w:szCs w:val="28"/>
          <w:lang w:val="uk-UA"/>
        </w:rPr>
        <w:t>[40</w:t>
      </w:r>
      <w:r w:rsidR="00CF16BB" w:rsidRPr="000953B6">
        <w:rPr>
          <w:rFonts w:ascii="Times New Roman" w:hAnsi="Times New Roman" w:cs="Times New Roman"/>
          <w:noProof/>
          <w:sz w:val="28"/>
          <w:szCs w:val="28"/>
          <w:lang w:val="uk-UA"/>
        </w:rPr>
        <w:t>]</w:t>
      </w:r>
      <w:r w:rsidRPr="000B5BA9">
        <w:rPr>
          <w:rFonts w:ascii="Times New Roman" w:hAnsi="Times New Roman" w:cs="Times New Roman"/>
          <w:sz w:val="28"/>
          <w:szCs w:val="28"/>
          <w:lang w:val="uk-UA"/>
        </w:rPr>
        <w:t>.</w:t>
      </w:r>
    </w:p>
    <w:p w14:paraId="00166451" w14:textId="0F8102A9" w:rsidR="000B5BA9" w:rsidRPr="000B5BA9" w:rsidRDefault="000B5BA9" w:rsidP="000B5BA9">
      <w:pPr>
        <w:spacing w:after="0" w:line="360" w:lineRule="auto"/>
        <w:ind w:firstLine="709"/>
        <w:jc w:val="both"/>
        <w:rPr>
          <w:rFonts w:ascii="Times New Roman" w:hAnsi="Times New Roman" w:cs="Times New Roman"/>
          <w:sz w:val="28"/>
          <w:szCs w:val="28"/>
          <w:lang w:val="uk-UA"/>
        </w:rPr>
      </w:pPr>
      <w:r w:rsidRPr="000B5BA9">
        <w:rPr>
          <w:rFonts w:ascii="Times New Roman" w:hAnsi="Times New Roman" w:cs="Times New Roman"/>
          <w:sz w:val="28"/>
          <w:szCs w:val="28"/>
          <w:lang w:val="uk-UA"/>
        </w:rPr>
        <w:t xml:space="preserve">Загострення бронхіальної астми завжди супроводжується явищами інтоксикації. Інтоксикація, зумовлена всмоктуванням продуктів розпаду при </w:t>
      </w:r>
      <w:r w:rsidR="00CF16BB">
        <w:rPr>
          <w:rFonts w:ascii="Times New Roman" w:hAnsi="Times New Roman" w:cs="Times New Roman"/>
          <w:sz w:val="28"/>
          <w:szCs w:val="28"/>
          <w:lang w:val="uk-UA"/>
        </w:rPr>
        <w:t>бронхіальній астмі</w:t>
      </w:r>
      <w:r w:rsidRPr="000B5BA9">
        <w:rPr>
          <w:rFonts w:ascii="Times New Roman" w:hAnsi="Times New Roman" w:cs="Times New Roman"/>
          <w:sz w:val="28"/>
          <w:szCs w:val="28"/>
          <w:lang w:val="uk-UA"/>
        </w:rPr>
        <w:t xml:space="preserve"> та алергізацією організму до бактеріальних алергенів, порушує скоо</w:t>
      </w:r>
      <w:r w:rsidR="00242C11">
        <w:rPr>
          <w:rFonts w:ascii="Times New Roman" w:hAnsi="Times New Roman" w:cs="Times New Roman"/>
          <w:sz w:val="28"/>
          <w:szCs w:val="28"/>
          <w:lang w:val="uk-UA"/>
        </w:rPr>
        <w:t>рдиновану діяльність органів</w:t>
      </w:r>
      <w:r w:rsidR="00CF16BB">
        <w:rPr>
          <w:rFonts w:ascii="Times New Roman" w:hAnsi="Times New Roman" w:cs="Times New Roman"/>
          <w:noProof/>
          <w:sz w:val="28"/>
          <w:szCs w:val="28"/>
          <w:lang w:val="uk-UA"/>
        </w:rPr>
        <w:t xml:space="preserve"> [57</w:t>
      </w:r>
      <w:r w:rsidR="00CF16BB" w:rsidRPr="000953B6">
        <w:rPr>
          <w:rFonts w:ascii="Times New Roman" w:hAnsi="Times New Roman" w:cs="Times New Roman"/>
          <w:noProof/>
          <w:sz w:val="28"/>
          <w:szCs w:val="28"/>
          <w:lang w:val="uk-UA"/>
        </w:rPr>
        <w:t>]</w:t>
      </w:r>
      <w:r w:rsidRPr="000B5BA9">
        <w:rPr>
          <w:rFonts w:ascii="Times New Roman" w:hAnsi="Times New Roman" w:cs="Times New Roman"/>
          <w:sz w:val="28"/>
          <w:szCs w:val="28"/>
          <w:lang w:val="uk-UA"/>
        </w:rPr>
        <w:t>.</w:t>
      </w:r>
    </w:p>
    <w:p w14:paraId="76132AC0" w14:textId="2B94120F" w:rsidR="00AC338D" w:rsidRDefault="00CF16BB" w:rsidP="000B5B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Особливістю бронхіальної астми</w:t>
      </w:r>
      <w:r w:rsidR="000B5BA9" w:rsidRPr="000B5BA9">
        <w:rPr>
          <w:rFonts w:ascii="Times New Roman" w:hAnsi="Times New Roman" w:cs="Times New Roman"/>
          <w:sz w:val="28"/>
          <w:szCs w:val="28"/>
          <w:lang w:val="uk-UA"/>
        </w:rPr>
        <w:t xml:space="preserve"> у дітей, особли</w:t>
      </w:r>
      <w:r>
        <w:rPr>
          <w:rFonts w:ascii="Times New Roman" w:hAnsi="Times New Roman" w:cs="Times New Roman"/>
          <w:sz w:val="28"/>
          <w:szCs w:val="28"/>
          <w:lang w:val="uk-UA"/>
        </w:rPr>
        <w:t>во перших 3-х років життя, часто є те, що вона</w:t>
      </w:r>
      <w:r w:rsidR="000B5BA9" w:rsidRPr="000B5BA9">
        <w:rPr>
          <w:rFonts w:ascii="Times New Roman" w:hAnsi="Times New Roman" w:cs="Times New Roman"/>
          <w:sz w:val="28"/>
          <w:szCs w:val="28"/>
          <w:lang w:val="uk-UA"/>
        </w:rPr>
        <w:t xml:space="preserve"> залишає</w:t>
      </w:r>
      <w:r w:rsidR="00ED24A3">
        <w:rPr>
          <w:rFonts w:ascii="Times New Roman" w:hAnsi="Times New Roman" w:cs="Times New Roman"/>
          <w:sz w:val="28"/>
          <w:szCs w:val="28"/>
          <w:lang w:val="uk-UA"/>
        </w:rPr>
        <w:t>ться невпізнаною і маскується під</w:t>
      </w:r>
      <w:r w:rsidR="000B5BA9" w:rsidRPr="000B5BA9">
        <w:rPr>
          <w:rFonts w:ascii="Times New Roman" w:hAnsi="Times New Roman" w:cs="Times New Roman"/>
          <w:sz w:val="28"/>
          <w:szCs w:val="28"/>
          <w:lang w:val="uk-UA"/>
        </w:rPr>
        <w:t xml:space="preserve"> іншими діагнозами (обструктивний бронхіт, бронхообструктивний синдром, дерматореспіраторний </w:t>
      </w:r>
      <w:r w:rsidR="00700B4C">
        <w:rPr>
          <w:rFonts w:ascii="Times New Roman" w:hAnsi="Times New Roman" w:cs="Times New Roman"/>
          <w:sz w:val="28"/>
          <w:szCs w:val="28"/>
          <w:lang w:val="uk-UA"/>
        </w:rPr>
        <w:t>синдром). Рівень інвалідності в</w:t>
      </w:r>
      <w:r w:rsidR="000B5BA9" w:rsidRPr="000B5BA9">
        <w:rPr>
          <w:rFonts w:ascii="Times New Roman" w:hAnsi="Times New Roman" w:cs="Times New Roman"/>
          <w:sz w:val="28"/>
          <w:szCs w:val="28"/>
          <w:lang w:val="uk-UA"/>
        </w:rPr>
        <w:t xml:space="preserve"> Україні</w:t>
      </w:r>
      <w:r>
        <w:rPr>
          <w:rFonts w:ascii="Times New Roman" w:hAnsi="Times New Roman" w:cs="Times New Roman"/>
          <w:sz w:val="28"/>
          <w:szCs w:val="28"/>
          <w:lang w:val="uk-UA"/>
        </w:rPr>
        <w:t xml:space="preserve"> за бронхіальною астмою продовжує зростати, при ретроспективному погляді станом на 2005 рік</w:t>
      </w:r>
      <w:r w:rsidR="000B5BA9" w:rsidRPr="000B5BA9">
        <w:rPr>
          <w:rFonts w:ascii="Times New Roman" w:hAnsi="Times New Roman" w:cs="Times New Roman"/>
          <w:sz w:val="28"/>
          <w:szCs w:val="28"/>
          <w:lang w:val="uk-UA"/>
        </w:rPr>
        <w:t xml:space="preserve"> склав 7,4 на 10000 хво</w:t>
      </w:r>
      <w:r w:rsidR="00242C11">
        <w:rPr>
          <w:rFonts w:ascii="Times New Roman" w:hAnsi="Times New Roman" w:cs="Times New Roman"/>
          <w:sz w:val="28"/>
          <w:szCs w:val="28"/>
          <w:lang w:val="uk-UA"/>
        </w:rPr>
        <w:t>рих</w:t>
      </w:r>
      <w:r>
        <w:rPr>
          <w:rFonts w:ascii="Times New Roman" w:hAnsi="Times New Roman" w:cs="Times New Roman"/>
          <w:noProof/>
          <w:sz w:val="28"/>
          <w:szCs w:val="28"/>
          <w:lang w:val="uk-UA"/>
        </w:rPr>
        <w:t xml:space="preserve"> [41</w:t>
      </w:r>
      <w:r w:rsidRPr="000953B6">
        <w:rPr>
          <w:rFonts w:ascii="Times New Roman" w:hAnsi="Times New Roman" w:cs="Times New Roman"/>
          <w:noProof/>
          <w:sz w:val="28"/>
          <w:szCs w:val="28"/>
          <w:lang w:val="uk-UA"/>
        </w:rPr>
        <w:t>]</w:t>
      </w:r>
      <w:r w:rsidR="00AC338D">
        <w:rPr>
          <w:rFonts w:ascii="Times New Roman" w:hAnsi="Times New Roman" w:cs="Times New Roman"/>
          <w:sz w:val="28"/>
          <w:szCs w:val="28"/>
          <w:lang w:val="uk-UA"/>
        </w:rPr>
        <w:t>.</w:t>
      </w:r>
    </w:p>
    <w:p w14:paraId="585BF1D9" w14:textId="7C036FCA" w:rsidR="00437A27" w:rsidRPr="00027715" w:rsidRDefault="00437A27" w:rsidP="00437A27">
      <w:pPr>
        <w:spacing w:after="0" w:line="360" w:lineRule="auto"/>
        <w:ind w:firstLine="709"/>
        <w:jc w:val="both"/>
        <w:rPr>
          <w:rFonts w:ascii="Times New Roman" w:hAnsi="Times New Roman"/>
          <w:sz w:val="28"/>
          <w:szCs w:val="28"/>
          <w:lang w:val="ru-RU"/>
        </w:rPr>
      </w:pPr>
      <w:r>
        <w:rPr>
          <w:rFonts w:ascii="Times New Roman" w:hAnsi="Times New Roman" w:cs="Times New Roman"/>
          <w:sz w:val="28"/>
          <w:szCs w:val="28"/>
          <w:lang w:val="uk-UA"/>
        </w:rPr>
        <w:t xml:space="preserve">Дуже важливою </w:t>
      </w:r>
      <w:r w:rsidR="00573865">
        <w:rPr>
          <w:rFonts w:ascii="Times New Roman" w:hAnsi="Times New Roman" w:cs="Times New Roman"/>
          <w:sz w:val="28"/>
          <w:szCs w:val="28"/>
          <w:lang w:val="uk-UA"/>
        </w:rPr>
        <w:t>з</w:t>
      </w:r>
      <w:r>
        <w:rPr>
          <w:rFonts w:ascii="Times New Roman" w:hAnsi="Times New Roman" w:cs="Times New Roman"/>
          <w:sz w:val="28"/>
          <w:szCs w:val="28"/>
          <w:lang w:val="uk-UA"/>
        </w:rPr>
        <w:t xml:space="preserve"> точки зору науковців є рання діагностика атопічних захворювань дітей. Саме тому дослідниками виділені фактори ризику розвитку атопічних захворювань, особливо для дітей перших трьох років. Одним з таких факторів ризику є передчасне народження дітей або народження дітей з малою вагою</w:t>
      </w:r>
      <w:r w:rsidR="00CF16BB">
        <w:rPr>
          <w:rFonts w:ascii="Times New Roman" w:hAnsi="Times New Roman" w:cs="Times New Roman"/>
          <w:sz w:val="28"/>
          <w:szCs w:val="28"/>
          <w:lang w:val="ru-RU"/>
        </w:rPr>
        <w:t xml:space="preserve"> [58, 59</w:t>
      </w:r>
      <w:r w:rsidR="00027715" w:rsidRPr="00027715">
        <w:rPr>
          <w:rFonts w:ascii="Times New Roman" w:hAnsi="Times New Roman" w:cs="Times New Roman"/>
          <w:sz w:val="28"/>
          <w:szCs w:val="28"/>
          <w:lang w:val="ru-RU"/>
        </w:rPr>
        <w:t>]</w:t>
      </w:r>
      <w:r>
        <w:rPr>
          <w:rFonts w:ascii="Times New Roman" w:hAnsi="Times New Roman" w:cs="Times New Roman"/>
          <w:sz w:val="28"/>
          <w:szCs w:val="28"/>
          <w:lang w:val="uk-UA"/>
        </w:rPr>
        <w:t>.</w:t>
      </w:r>
      <w:r w:rsidRPr="00027715">
        <w:rPr>
          <w:rFonts w:ascii="Times New Roman" w:hAnsi="Times New Roman"/>
          <w:sz w:val="28"/>
          <w:szCs w:val="28"/>
          <w:lang w:val="ru-RU"/>
        </w:rPr>
        <w:t xml:space="preserve"> </w:t>
      </w:r>
    </w:p>
    <w:p w14:paraId="1F758B14" w14:textId="7302FF1B" w:rsidR="00F66BDB" w:rsidRPr="008F1834" w:rsidRDefault="008F1834" w:rsidP="008F18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w:t>
      </w:r>
      <w:r w:rsidR="00A5786F">
        <w:rPr>
          <w:rFonts w:ascii="Times New Roman" w:hAnsi="Times New Roman"/>
          <w:sz w:val="28"/>
          <w:szCs w:val="28"/>
          <w:lang w:val="uk-UA"/>
        </w:rPr>
        <w:t>аними літератури, в останні роки</w:t>
      </w:r>
      <w:r>
        <w:rPr>
          <w:rFonts w:ascii="Times New Roman" w:hAnsi="Times New Roman"/>
          <w:sz w:val="28"/>
          <w:szCs w:val="28"/>
          <w:lang w:val="uk-UA"/>
        </w:rPr>
        <w:t xml:space="preserve"> відмічається стрімке зростання поширеності атопічних захворювань у дітей, особливо інвалідизуючих форм бронхіальної астми та атопічного дерматиту. Як відомо, в основі даних захворювань є генетична схильність до гіперпродукції </w:t>
      </w:r>
      <w:r>
        <w:rPr>
          <w:rFonts w:ascii="Times New Roman" w:hAnsi="Times New Roman"/>
          <w:sz w:val="28"/>
          <w:szCs w:val="28"/>
        </w:rPr>
        <w:t>IgE</w:t>
      </w:r>
      <w:r>
        <w:rPr>
          <w:rFonts w:ascii="Times New Roman" w:hAnsi="Times New Roman"/>
          <w:sz w:val="28"/>
          <w:szCs w:val="28"/>
          <w:lang w:val="uk-UA"/>
        </w:rPr>
        <w:t xml:space="preserve"> та асоційовані з цим зміни імунного статусу пацієнтів. Характерним для атопічних захворювань є те, що вони, як правило, розвиваються у перші роки життя, а отже впливають на загальносоматичний стан дітей з раннього віку та формують імунну недостатність з раннього дитячого віку. </w:t>
      </w:r>
      <w:r w:rsidRPr="008F1834">
        <w:rPr>
          <w:rFonts w:ascii="Times New Roman" w:hAnsi="Times New Roman"/>
          <w:sz w:val="28"/>
          <w:szCs w:val="28"/>
          <w:lang w:val="uk-UA"/>
        </w:rPr>
        <w:t>Атопічні захворювання розпочинаються часто з атопічного дерматиту та</w:t>
      </w:r>
      <w:r>
        <w:rPr>
          <w:rFonts w:ascii="Times New Roman" w:hAnsi="Times New Roman"/>
          <w:sz w:val="28"/>
          <w:szCs w:val="28"/>
          <w:lang w:val="uk-UA"/>
        </w:rPr>
        <w:t>,</w:t>
      </w:r>
      <w:r w:rsidRPr="008F1834">
        <w:rPr>
          <w:rFonts w:ascii="Times New Roman" w:hAnsi="Times New Roman"/>
          <w:sz w:val="28"/>
          <w:szCs w:val="28"/>
          <w:lang w:val="uk-UA"/>
        </w:rPr>
        <w:t xml:space="preserve"> у зв’</w:t>
      </w:r>
      <w:r>
        <w:rPr>
          <w:rFonts w:ascii="Times New Roman" w:hAnsi="Times New Roman"/>
          <w:sz w:val="28"/>
          <w:szCs w:val="28"/>
          <w:lang w:val="uk-UA"/>
        </w:rPr>
        <w:t>язку з несвоєчасною та некваліфікованою допомогою, що надається, швидко прогресуюють, розвивається так званий «атопічний марш», який згодом призводить до поєднання таких нозологій як бронхіальна астма, алергічний риніт та атопічний дерматит</w:t>
      </w:r>
      <w:r w:rsidR="00F66BDB" w:rsidRPr="008F1834">
        <w:rPr>
          <w:rFonts w:ascii="Times New Roman" w:hAnsi="Times New Roman"/>
          <w:sz w:val="28"/>
          <w:szCs w:val="28"/>
          <w:lang w:val="uk-UA"/>
        </w:rPr>
        <w:t xml:space="preserve"> [</w:t>
      </w:r>
      <w:r>
        <w:rPr>
          <w:rFonts w:ascii="Times New Roman" w:hAnsi="Times New Roman"/>
          <w:sz w:val="28"/>
          <w:szCs w:val="28"/>
          <w:lang w:val="uk-UA"/>
        </w:rPr>
        <w:t>60-65</w:t>
      </w:r>
      <w:r w:rsidR="00F66BDB" w:rsidRPr="008F1834">
        <w:rPr>
          <w:rFonts w:ascii="Times New Roman" w:hAnsi="Times New Roman"/>
          <w:sz w:val="28"/>
          <w:szCs w:val="28"/>
          <w:lang w:val="uk-UA"/>
        </w:rPr>
        <w:t>].</w:t>
      </w:r>
    </w:p>
    <w:p w14:paraId="188C045F" w14:textId="557922D8" w:rsidR="00F66BDB" w:rsidRPr="00F66BDB" w:rsidRDefault="00F66BDB" w:rsidP="005F2799">
      <w:pPr>
        <w:spacing w:after="0" w:line="360" w:lineRule="auto"/>
        <w:ind w:firstLine="709"/>
        <w:jc w:val="both"/>
        <w:rPr>
          <w:rFonts w:ascii="Times New Roman" w:hAnsi="Times New Roman"/>
          <w:sz w:val="28"/>
          <w:szCs w:val="28"/>
          <w:lang w:val="ru-RU"/>
        </w:rPr>
      </w:pPr>
      <w:r w:rsidRPr="00F66BDB">
        <w:rPr>
          <w:rFonts w:ascii="Times New Roman" w:hAnsi="Times New Roman"/>
          <w:sz w:val="28"/>
          <w:szCs w:val="28"/>
          <w:lang w:val="ru-RU"/>
        </w:rPr>
        <w:t>У наш час алерг</w:t>
      </w:r>
      <w:r w:rsidR="005F2799">
        <w:rPr>
          <w:rFonts w:ascii="Times New Roman" w:hAnsi="Times New Roman"/>
          <w:sz w:val="28"/>
          <w:szCs w:val="28"/>
          <w:lang w:val="ru-RU"/>
        </w:rPr>
        <w:t xml:space="preserve">ічні захворювання набули досить </w:t>
      </w:r>
      <w:r w:rsidRPr="00F66BDB">
        <w:rPr>
          <w:rFonts w:ascii="Times New Roman" w:hAnsi="Times New Roman"/>
          <w:sz w:val="28"/>
          <w:szCs w:val="28"/>
          <w:lang w:val="ru-RU"/>
        </w:rPr>
        <w:t>широкого поширенн</w:t>
      </w:r>
      <w:r w:rsidR="005F2799">
        <w:rPr>
          <w:rFonts w:ascii="Times New Roman" w:hAnsi="Times New Roman"/>
          <w:sz w:val="28"/>
          <w:szCs w:val="28"/>
          <w:lang w:val="ru-RU"/>
        </w:rPr>
        <w:t xml:space="preserve">я. За сучасними даними, близько </w:t>
      </w:r>
      <w:r w:rsidRPr="00F66BDB">
        <w:rPr>
          <w:rFonts w:ascii="Times New Roman" w:hAnsi="Times New Roman"/>
          <w:sz w:val="28"/>
          <w:szCs w:val="28"/>
          <w:lang w:val="ru-RU"/>
        </w:rPr>
        <w:t>30–40 % населення зем</w:t>
      </w:r>
      <w:r w:rsidR="005F2799">
        <w:rPr>
          <w:rFonts w:ascii="Times New Roman" w:hAnsi="Times New Roman"/>
          <w:sz w:val="28"/>
          <w:szCs w:val="28"/>
          <w:lang w:val="ru-RU"/>
        </w:rPr>
        <w:t xml:space="preserve">ної кулі страждають на алергію, </w:t>
      </w:r>
      <w:r w:rsidRPr="00F66BDB">
        <w:rPr>
          <w:rFonts w:ascii="Times New Roman" w:hAnsi="Times New Roman"/>
          <w:sz w:val="28"/>
          <w:szCs w:val="28"/>
          <w:lang w:val="ru-RU"/>
        </w:rPr>
        <w:t>що становить велику соц</w:t>
      </w:r>
      <w:r w:rsidR="005F2799">
        <w:rPr>
          <w:rFonts w:ascii="Times New Roman" w:hAnsi="Times New Roman"/>
          <w:sz w:val="28"/>
          <w:szCs w:val="28"/>
          <w:lang w:val="ru-RU"/>
        </w:rPr>
        <w:t xml:space="preserve">іальну й економічну проблему. У </w:t>
      </w:r>
      <w:r w:rsidRPr="00F66BDB">
        <w:rPr>
          <w:rFonts w:ascii="Times New Roman" w:hAnsi="Times New Roman"/>
          <w:sz w:val="28"/>
          <w:szCs w:val="28"/>
          <w:lang w:val="ru-RU"/>
        </w:rPr>
        <w:t>загальній структурі захво</w:t>
      </w:r>
      <w:r w:rsidR="005F2799">
        <w:rPr>
          <w:rFonts w:ascii="Times New Roman" w:hAnsi="Times New Roman"/>
          <w:sz w:val="28"/>
          <w:szCs w:val="28"/>
          <w:lang w:val="ru-RU"/>
        </w:rPr>
        <w:t>рюваності все більше місце зай</w:t>
      </w:r>
      <w:r w:rsidRPr="00F66BDB">
        <w:rPr>
          <w:rFonts w:ascii="Times New Roman" w:hAnsi="Times New Roman"/>
          <w:sz w:val="28"/>
          <w:szCs w:val="28"/>
          <w:lang w:val="ru-RU"/>
        </w:rPr>
        <w:t>має атопічний дерм</w:t>
      </w:r>
      <w:r w:rsidR="005F2799">
        <w:rPr>
          <w:rFonts w:ascii="Times New Roman" w:hAnsi="Times New Roman"/>
          <w:sz w:val="28"/>
          <w:szCs w:val="28"/>
          <w:lang w:val="ru-RU"/>
        </w:rPr>
        <w:t xml:space="preserve">атит. Атопічний дерматит у 70 % </w:t>
      </w:r>
      <w:r w:rsidRPr="00F66BDB">
        <w:rPr>
          <w:rFonts w:ascii="Times New Roman" w:hAnsi="Times New Roman"/>
          <w:sz w:val="28"/>
          <w:szCs w:val="28"/>
          <w:lang w:val="ru-RU"/>
        </w:rPr>
        <w:t>випадків передує розвит</w:t>
      </w:r>
      <w:r w:rsidR="005F2799">
        <w:rPr>
          <w:rFonts w:ascii="Times New Roman" w:hAnsi="Times New Roman"/>
          <w:sz w:val="28"/>
          <w:szCs w:val="28"/>
          <w:lang w:val="ru-RU"/>
        </w:rPr>
        <w:t xml:space="preserve">ок таких хвороб, як бронхіальна </w:t>
      </w:r>
      <w:r w:rsidRPr="00F66BDB">
        <w:rPr>
          <w:rFonts w:ascii="Times New Roman" w:hAnsi="Times New Roman"/>
          <w:sz w:val="28"/>
          <w:szCs w:val="28"/>
          <w:lang w:val="ru-RU"/>
        </w:rPr>
        <w:t>астма, поліноз, кропив’</w:t>
      </w:r>
      <w:r w:rsidR="005F2799">
        <w:rPr>
          <w:rFonts w:ascii="Times New Roman" w:hAnsi="Times New Roman"/>
          <w:sz w:val="28"/>
          <w:szCs w:val="28"/>
          <w:lang w:val="ru-RU"/>
        </w:rPr>
        <w:t xml:space="preserve">янка, набряк Квінке, алергічний </w:t>
      </w:r>
      <w:r w:rsidR="008F1834">
        <w:rPr>
          <w:rFonts w:ascii="Times New Roman" w:hAnsi="Times New Roman"/>
          <w:sz w:val="28"/>
          <w:szCs w:val="28"/>
          <w:lang w:val="ru-RU"/>
        </w:rPr>
        <w:t>риніт</w:t>
      </w:r>
      <w:r w:rsidRPr="005F2799">
        <w:rPr>
          <w:rFonts w:ascii="Times New Roman" w:hAnsi="Times New Roman"/>
          <w:sz w:val="28"/>
          <w:szCs w:val="28"/>
          <w:lang w:val="ru-RU"/>
        </w:rPr>
        <w:t>. Епідеміологічні дослідженн</w:t>
      </w:r>
      <w:r w:rsidR="005F2799">
        <w:rPr>
          <w:rFonts w:ascii="Times New Roman" w:hAnsi="Times New Roman"/>
          <w:sz w:val="28"/>
          <w:szCs w:val="28"/>
          <w:lang w:val="ru-RU"/>
        </w:rPr>
        <w:t xml:space="preserve">я останніх років </w:t>
      </w:r>
      <w:r w:rsidRPr="00F66BDB">
        <w:rPr>
          <w:rFonts w:ascii="Times New Roman" w:hAnsi="Times New Roman"/>
          <w:sz w:val="28"/>
          <w:szCs w:val="28"/>
          <w:lang w:val="ru-RU"/>
        </w:rPr>
        <w:t>підтверджують високу п</w:t>
      </w:r>
      <w:r w:rsidR="005F2799">
        <w:rPr>
          <w:rFonts w:ascii="Times New Roman" w:hAnsi="Times New Roman"/>
          <w:sz w:val="28"/>
          <w:szCs w:val="28"/>
          <w:lang w:val="ru-RU"/>
        </w:rPr>
        <w:t xml:space="preserve">оширеність </w:t>
      </w:r>
      <w:r w:rsidR="005F2799">
        <w:rPr>
          <w:rFonts w:ascii="Times New Roman" w:hAnsi="Times New Roman"/>
          <w:sz w:val="28"/>
          <w:szCs w:val="28"/>
          <w:lang w:val="ru-RU"/>
        </w:rPr>
        <w:lastRenderedPageBreak/>
        <w:t xml:space="preserve">бронхіальної астми в </w:t>
      </w:r>
      <w:r w:rsidRPr="00F66BDB">
        <w:rPr>
          <w:rFonts w:ascii="Times New Roman" w:hAnsi="Times New Roman"/>
          <w:sz w:val="28"/>
          <w:szCs w:val="28"/>
          <w:lang w:val="ru-RU"/>
        </w:rPr>
        <w:t>дітей, яка варіює в серед</w:t>
      </w:r>
      <w:r w:rsidR="008F1834">
        <w:rPr>
          <w:rFonts w:ascii="Times New Roman" w:hAnsi="Times New Roman"/>
          <w:sz w:val="28"/>
          <w:szCs w:val="28"/>
          <w:lang w:val="ru-RU"/>
        </w:rPr>
        <w:t>ньому від 5 до 10 %</w:t>
      </w:r>
      <w:r w:rsidR="005F2799">
        <w:rPr>
          <w:rFonts w:ascii="Times New Roman" w:hAnsi="Times New Roman"/>
          <w:sz w:val="28"/>
          <w:szCs w:val="28"/>
          <w:lang w:val="ru-RU"/>
        </w:rPr>
        <w:t>. Від</w:t>
      </w:r>
      <w:r w:rsidRPr="00F66BDB">
        <w:rPr>
          <w:rFonts w:ascii="Times New Roman" w:hAnsi="Times New Roman"/>
          <w:sz w:val="28"/>
          <w:szCs w:val="28"/>
          <w:lang w:val="ru-RU"/>
        </w:rPr>
        <w:t>сутність гігієнічних нави</w:t>
      </w:r>
      <w:r w:rsidR="005F2799">
        <w:rPr>
          <w:rFonts w:ascii="Times New Roman" w:hAnsi="Times New Roman"/>
          <w:sz w:val="28"/>
          <w:szCs w:val="28"/>
          <w:lang w:val="ru-RU"/>
        </w:rPr>
        <w:t xml:space="preserve">чок і соматичний статус у даних </w:t>
      </w:r>
      <w:r w:rsidRPr="00F66BDB">
        <w:rPr>
          <w:rFonts w:ascii="Times New Roman" w:hAnsi="Times New Roman"/>
          <w:sz w:val="28"/>
          <w:szCs w:val="28"/>
          <w:lang w:val="ru-RU"/>
        </w:rPr>
        <w:t>дітей є ризиком виникн</w:t>
      </w:r>
      <w:r w:rsidR="005F2799">
        <w:rPr>
          <w:rFonts w:ascii="Times New Roman" w:hAnsi="Times New Roman"/>
          <w:sz w:val="28"/>
          <w:szCs w:val="28"/>
          <w:lang w:val="ru-RU"/>
        </w:rPr>
        <w:t xml:space="preserve">ення й розвитку стоматологічних </w:t>
      </w:r>
      <w:r w:rsidRPr="00F66BDB">
        <w:rPr>
          <w:rFonts w:ascii="Times New Roman" w:hAnsi="Times New Roman"/>
          <w:sz w:val="28"/>
          <w:szCs w:val="28"/>
          <w:lang w:val="ru-RU"/>
        </w:rPr>
        <w:t>захворювань, починаючи з раннього віку</w:t>
      </w:r>
      <w:r w:rsidR="008F1834">
        <w:rPr>
          <w:rFonts w:ascii="Times New Roman" w:hAnsi="Times New Roman"/>
          <w:sz w:val="28"/>
          <w:szCs w:val="28"/>
          <w:lang w:val="ru-RU"/>
        </w:rPr>
        <w:t xml:space="preserve"> [65]</w:t>
      </w:r>
      <w:r w:rsidRPr="00F66BDB">
        <w:rPr>
          <w:rFonts w:ascii="Times New Roman" w:hAnsi="Times New Roman"/>
          <w:sz w:val="28"/>
          <w:szCs w:val="28"/>
          <w:lang w:val="ru-RU"/>
        </w:rPr>
        <w:t>.</w:t>
      </w:r>
    </w:p>
    <w:p w14:paraId="028D882B" w14:textId="197D8248" w:rsidR="005F2799" w:rsidRPr="00D8534F" w:rsidRDefault="008F1834" w:rsidP="005F2799">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За даними авторів, які займалися проблемою впливу атопічних захворювань на стан тканин ротової порожнини</w:t>
      </w:r>
      <w:r w:rsidR="005F2799" w:rsidRPr="00D8534F">
        <w:rPr>
          <w:rFonts w:ascii="Times New Roman" w:hAnsi="Times New Roman"/>
          <w:sz w:val="28"/>
          <w:szCs w:val="28"/>
          <w:lang w:val="ru-RU"/>
        </w:rPr>
        <w:t xml:space="preserve">, результати дослідження показали, що в дітей з обтяженим алергологічним анамнезом відзначався високий рівень стоматологічної захворюваності. </w:t>
      </w:r>
      <w:r>
        <w:rPr>
          <w:rFonts w:ascii="Times New Roman" w:hAnsi="Times New Roman"/>
          <w:sz w:val="28"/>
          <w:szCs w:val="28"/>
          <w:lang w:val="ru-RU"/>
        </w:rPr>
        <w:t>На думку авторів,</w:t>
      </w:r>
      <w:r w:rsidR="005F2799" w:rsidRPr="00D8534F">
        <w:rPr>
          <w:rFonts w:ascii="Times New Roman" w:hAnsi="Times New Roman"/>
          <w:sz w:val="28"/>
          <w:szCs w:val="28"/>
          <w:lang w:val="ru-RU"/>
        </w:rPr>
        <w:t xml:space="preserve"> це обумовлено тим, що в дітей з алергією відзначаються зменшення швидкості слиновиділення, зміна параметрів ротової рідини, зниження мінералізуючого потенціалу слини, пригнічення місцевого імунітету та неспецифічної резистентності ротової порожнини, порушення процесів мікроциркуляції у тканинах пародонту і слизової оболонки порожнини рота. Оскільки алергічні захворювання мають багаторічний рецидивуючий перебіг, діти й підлітки, які страждають на бронхіальну астму, атопічний дерматит і поєднану алергопатологію, приймають тривалу комплексну медикаментозну терапію, лікарські препарати якої також можуть шкідливо діяти на тканинні структури порожнини рота</w:t>
      </w:r>
      <w:r w:rsidR="00DE602B" w:rsidRPr="00D8534F">
        <w:rPr>
          <w:rFonts w:ascii="Times New Roman" w:hAnsi="Times New Roman"/>
          <w:sz w:val="28"/>
          <w:szCs w:val="28"/>
          <w:lang w:val="ru-RU"/>
        </w:rPr>
        <w:t xml:space="preserve"> </w:t>
      </w:r>
      <w:r>
        <w:rPr>
          <w:rFonts w:ascii="Times New Roman" w:hAnsi="Times New Roman"/>
          <w:noProof/>
          <w:sz w:val="28"/>
          <w:szCs w:val="28"/>
          <w:lang w:val="uk-UA"/>
        </w:rPr>
        <w:t>[65-67</w:t>
      </w:r>
      <w:r w:rsidRPr="00D8534F">
        <w:rPr>
          <w:rFonts w:ascii="Times New Roman" w:hAnsi="Times New Roman"/>
          <w:noProof/>
          <w:sz w:val="28"/>
          <w:szCs w:val="28"/>
          <w:lang w:val="uk-UA"/>
        </w:rPr>
        <w:t>]</w:t>
      </w:r>
      <w:r w:rsidR="005F2799" w:rsidRPr="00D8534F">
        <w:rPr>
          <w:rFonts w:ascii="Times New Roman" w:hAnsi="Times New Roman"/>
          <w:sz w:val="28"/>
          <w:szCs w:val="28"/>
          <w:lang w:val="ru-RU"/>
        </w:rPr>
        <w:t>.</w:t>
      </w:r>
    </w:p>
    <w:p w14:paraId="7D17F37D" w14:textId="6A8583AB" w:rsidR="002C4F1F" w:rsidRDefault="0096140B"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той факт, що атопічні захворювання мають хронічний перебіг, медикаментозні засоби, які застосовуються при лікуванні даних захворювань, не можуть не впливати</w:t>
      </w:r>
      <w:r w:rsidR="00ED24A3">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стан тканин порожнини роту. Так, за даними науковців, </w:t>
      </w:r>
      <w:r w:rsidR="002C4F1F">
        <w:rPr>
          <w:rFonts w:ascii="Times New Roman" w:hAnsi="Times New Roman" w:cs="Times New Roman"/>
          <w:sz w:val="28"/>
          <w:szCs w:val="28"/>
          <w:lang w:val="uk-UA"/>
        </w:rPr>
        <w:t>д</w:t>
      </w:r>
      <w:r w:rsidR="002C4F1F" w:rsidRPr="002C4F1F">
        <w:rPr>
          <w:rFonts w:ascii="Times New Roman" w:hAnsi="Times New Roman" w:cs="Times New Roman"/>
          <w:sz w:val="28"/>
          <w:szCs w:val="28"/>
          <w:lang w:val="uk-UA"/>
        </w:rPr>
        <w:t xml:space="preserve">іти з хронічними захворюваннями, які потребують тривалої медикаментозної терапії, </w:t>
      </w:r>
      <w:r w:rsidR="002C4F1F">
        <w:rPr>
          <w:rFonts w:ascii="Times New Roman" w:hAnsi="Times New Roman" w:cs="Times New Roman"/>
          <w:sz w:val="28"/>
          <w:szCs w:val="28"/>
          <w:lang w:val="uk-UA"/>
        </w:rPr>
        <w:t>знаходяться у групі ризику по</w:t>
      </w:r>
      <w:r w:rsidR="008F1834">
        <w:rPr>
          <w:rFonts w:ascii="Times New Roman" w:hAnsi="Times New Roman" w:cs="Times New Roman"/>
          <w:sz w:val="28"/>
          <w:szCs w:val="28"/>
          <w:lang w:val="uk-UA"/>
        </w:rPr>
        <w:t xml:space="preserve"> карієсу</w:t>
      </w:r>
      <w:r w:rsidR="002C4F1F" w:rsidRPr="002C4F1F">
        <w:rPr>
          <w:rFonts w:ascii="Times New Roman" w:hAnsi="Times New Roman" w:cs="Times New Roman"/>
          <w:sz w:val="28"/>
          <w:szCs w:val="28"/>
          <w:lang w:val="uk-UA"/>
        </w:rPr>
        <w:t xml:space="preserve">. Можливим механізмом впливу на карієс може бути залучення β-адренорецепторів при астмі, що </w:t>
      </w:r>
      <w:r w:rsidR="00BC69BC">
        <w:rPr>
          <w:rFonts w:ascii="Times New Roman" w:hAnsi="Times New Roman" w:cs="Times New Roman"/>
          <w:sz w:val="28"/>
          <w:szCs w:val="28"/>
          <w:lang w:val="uk-UA"/>
        </w:rPr>
        <w:t>також впливає на функцію слинних залоз</w:t>
      </w:r>
      <w:r w:rsidR="002C4F1F" w:rsidRPr="002C4F1F">
        <w:rPr>
          <w:rFonts w:ascii="Times New Roman" w:hAnsi="Times New Roman" w:cs="Times New Roman"/>
          <w:sz w:val="28"/>
          <w:szCs w:val="28"/>
          <w:lang w:val="uk-UA"/>
        </w:rPr>
        <w:t>. Астму</w:t>
      </w:r>
      <w:r w:rsidR="002C4F1F">
        <w:rPr>
          <w:rFonts w:ascii="Times New Roman" w:hAnsi="Times New Roman" w:cs="Times New Roman"/>
          <w:sz w:val="28"/>
          <w:szCs w:val="28"/>
          <w:lang w:val="uk-UA"/>
        </w:rPr>
        <w:t xml:space="preserve"> часто лікують антаг</w:t>
      </w:r>
      <w:r w:rsidR="002C4F1F" w:rsidRPr="002C4F1F">
        <w:rPr>
          <w:rFonts w:ascii="Times New Roman" w:hAnsi="Times New Roman" w:cs="Times New Roman"/>
          <w:sz w:val="28"/>
          <w:szCs w:val="28"/>
          <w:lang w:val="uk-UA"/>
        </w:rPr>
        <w:t>оністами β-адренорецепторів, які сприяють бронхіальній релаксації. β-адренорецептори також присутні в секреторній системі</w:t>
      </w:r>
      <w:r w:rsidR="002C4F1F">
        <w:rPr>
          <w:rFonts w:ascii="Times New Roman" w:hAnsi="Times New Roman" w:cs="Times New Roman"/>
          <w:sz w:val="28"/>
          <w:szCs w:val="28"/>
          <w:lang w:val="uk-UA"/>
        </w:rPr>
        <w:t xml:space="preserve"> і сильно впливають на </w:t>
      </w:r>
      <w:r w:rsidR="002C4F1F" w:rsidRPr="002C4F1F">
        <w:rPr>
          <w:rFonts w:ascii="Times New Roman" w:hAnsi="Times New Roman" w:cs="Times New Roman"/>
          <w:sz w:val="28"/>
          <w:szCs w:val="28"/>
          <w:lang w:val="uk-UA"/>
        </w:rPr>
        <w:t>склад</w:t>
      </w:r>
      <w:r w:rsidR="002C4F1F">
        <w:rPr>
          <w:rFonts w:ascii="Times New Roman" w:hAnsi="Times New Roman" w:cs="Times New Roman"/>
          <w:sz w:val="28"/>
          <w:szCs w:val="28"/>
          <w:lang w:val="uk-UA"/>
        </w:rPr>
        <w:t xml:space="preserve"> ротової рідини</w:t>
      </w:r>
      <w:r w:rsidR="002C4F1F" w:rsidRPr="002C4F1F">
        <w:rPr>
          <w:rFonts w:ascii="Times New Roman" w:hAnsi="Times New Roman" w:cs="Times New Roman"/>
          <w:sz w:val="28"/>
          <w:szCs w:val="28"/>
          <w:lang w:val="uk-UA"/>
        </w:rPr>
        <w:t xml:space="preserve">. </w:t>
      </w:r>
      <w:r w:rsidR="002C4F1F">
        <w:rPr>
          <w:rFonts w:ascii="Times New Roman" w:hAnsi="Times New Roman" w:cs="Times New Roman"/>
          <w:sz w:val="28"/>
          <w:szCs w:val="28"/>
          <w:lang w:val="uk-UA"/>
        </w:rPr>
        <w:t>Ефект дозування від лікування антаг</w:t>
      </w:r>
      <w:r w:rsidR="00A5786F">
        <w:rPr>
          <w:rFonts w:ascii="Times New Roman" w:hAnsi="Times New Roman" w:cs="Times New Roman"/>
          <w:sz w:val="28"/>
          <w:szCs w:val="28"/>
          <w:lang w:val="uk-UA"/>
        </w:rPr>
        <w:t>оністами β2-</w:t>
      </w:r>
      <w:r w:rsidR="002C4F1F" w:rsidRPr="002C4F1F">
        <w:rPr>
          <w:rFonts w:ascii="Times New Roman" w:hAnsi="Times New Roman" w:cs="Times New Roman"/>
          <w:sz w:val="28"/>
          <w:szCs w:val="28"/>
          <w:lang w:val="uk-UA"/>
        </w:rPr>
        <w:t>адренорецептора є порушенням с</w:t>
      </w:r>
      <w:r w:rsidR="002C4F1F">
        <w:rPr>
          <w:rFonts w:ascii="Times New Roman" w:hAnsi="Times New Roman" w:cs="Times New Roman"/>
          <w:sz w:val="28"/>
          <w:szCs w:val="28"/>
          <w:lang w:val="uk-UA"/>
        </w:rPr>
        <w:t xml:space="preserve">екреції слини, що </w:t>
      </w:r>
      <w:r w:rsidR="002C4F1F" w:rsidRPr="002C4F1F">
        <w:rPr>
          <w:rFonts w:ascii="Times New Roman" w:hAnsi="Times New Roman" w:cs="Times New Roman"/>
          <w:sz w:val="28"/>
          <w:szCs w:val="28"/>
          <w:lang w:val="uk-UA"/>
        </w:rPr>
        <w:t>також впливає на йог</w:t>
      </w:r>
      <w:r w:rsidR="008F1834">
        <w:rPr>
          <w:rFonts w:ascii="Times New Roman" w:hAnsi="Times New Roman" w:cs="Times New Roman"/>
          <w:sz w:val="28"/>
          <w:szCs w:val="28"/>
          <w:lang w:val="uk-UA"/>
        </w:rPr>
        <w:t>о склад у пацієнтів з астмою [68</w:t>
      </w:r>
      <w:r w:rsidR="002C4F1F" w:rsidRPr="002C4F1F">
        <w:rPr>
          <w:rFonts w:ascii="Times New Roman" w:hAnsi="Times New Roman" w:cs="Times New Roman"/>
          <w:sz w:val="28"/>
          <w:szCs w:val="28"/>
          <w:lang w:val="uk-UA"/>
        </w:rPr>
        <w:t>]</w:t>
      </w:r>
      <w:r w:rsidR="002C4F1F">
        <w:rPr>
          <w:rFonts w:ascii="Times New Roman" w:hAnsi="Times New Roman" w:cs="Times New Roman"/>
          <w:sz w:val="28"/>
          <w:szCs w:val="28"/>
          <w:lang w:val="uk-UA"/>
        </w:rPr>
        <w:t xml:space="preserve">. </w:t>
      </w:r>
    </w:p>
    <w:p w14:paraId="7D270F3A" w14:textId="6843FC21" w:rsidR="002C4F1F" w:rsidRDefault="003B5213"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Колективом авторів було зроблено припущення,</w:t>
      </w:r>
      <w:r w:rsidR="002C4F1F" w:rsidRPr="002C4F1F">
        <w:rPr>
          <w:rFonts w:ascii="Times New Roman" w:hAnsi="Times New Roman" w:cs="Times New Roman"/>
          <w:sz w:val="28"/>
          <w:szCs w:val="28"/>
          <w:lang w:val="uk-UA"/>
        </w:rPr>
        <w:t xml:space="preserve"> що гінгівіт у дітей з астмою можна пояснити, частково, змінною імунною відповіддю та їх схильністю до дихання через рот, особливо в епізоді гострої астматичної а</w:t>
      </w:r>
      <w:r w:rsidR="002C4F1F">
        <w:rPr>
          <w:rFonts w:ascii="Times New Roman" w:hAnsi="Times New Roman" w:cs="Times New Roman"/>
          <w:sz w:val="28"/>
          <w:szCs w:val="28"/>
          <w:lang w:val="uk-UA"/>
        </w:rPr>
        <w:t>таки та дегідратації альвеолярної слизової оболонки</w:t>
      </w:r>
      <w:r w:rsidR="002C4F1F" w:rsidRPr="002C4F1F">
        <w:rPr>
          <w:rFonts w:ascii="Times New Roman" w:hAnsi="Times New Roman" w:cs="Times New Roman"/>
          <w:sz w:val="28"/>
          <w:szCs w:val="28"/>
          <w:lang w:val="uk-UA"/>
        </w:rPr>
        <w:t xml:space="preserve"> під час ротового дихання</w:t>
      </w:r>
      <w:r w:rsidR="008F1834">
        <w:rPr>
          <w:rFonts w:ascii="Times New Roman" w:hAnsi="Times New Roman" w:cs="Times New Roman"/>
          <w:sz w:val="28"/>
          <w:szCs w:val="28"/>
          <w:lang w:val="uk-UA"/>
        </w:rPr>
        <w:t xml:space="preserve"> </w:t>
      </w:r>
      <w:r w:rsidR="008F1834" w:rsidRPr="008F1834">
        <w:rPr>
          <w:rFonts w:ascii="Times New Roman" w:hAnsi="Times New Roman" w:cs="Times New Roman"/>
          <w:sz w:val="28"/>
          <w:szCs w:val="28"/>
          <w:lang w:val="uk-UA"/>
        </w:rPr>
        <w:t>[</w:t>
      </w:r>
      <w:r w:rsidR="00BC69BC" w:rsidRPr="00BC69BC">
        <w:rPr>
          <w:rFonts w:ascii="Times New Roman" w:hAnsi="Times New Roman" w:cs="Times New Roman"/>
          <w:sz w:val="28"/>
          <w:szCs w:val="28"/>
          <w:lang w:val="uk-UA"/>
        </w:rPr>
        <w:t>69</w:t>
      </w:r>
      <w:r w:rsidR="008F1834" w:rsidRPr="008F1834">
        <w:rPr>
          <w:rFonts w:ascii="Times New Roman" w:hAnsi="Times New Roman" w:cs="Times New Roman"/>
          <w:sz w:val="28"/>
          <w:szCs w:val="28"/>
          <w:lang w:val="uk-UA"/>
        </w:rPr>
        <w:t>]</w:t>
      </w:r>
      <w:r w:rsidR="00BC69BC">
        <w:rPr>
          <w:rFonts w:ascii="Times New Roman" w:hAnsi="Times New Roman" w:cs="Times New Roman"/>
          <w:sz w:val="28"/>
          <w:szCs w:val="28"/>
          <w:lang w:val="uk-UA"/>
        </w:rPr>
        <w:t>. Карл та ін. [70</w:t>
      </w:r>
      <w:r w:rsidR="002C4F1F" w:rsidRPr="002C4F1F">
        <w:rPr>
          <w:rFonts w:ascii="Times New Roman" w:hAnsi="Times New Roman" w:cs="Times New Roman"/>
          <w:sz w:val="28"/>
          <w:szCs w:val="28"/>
          <w:lang w:val="uk-UA"/>
        </w:rPr>
        <w:t>], вважають, що астматики</w:t>
      </w:r>
      <w:r w:rsidR="00A5786F">
        <w:rPr>
          <w:rFonts w:ascii="Times New Roman" w:hAnsi="Times New Roman" w:cs="Times New Roman"/>
          <w:sz w:val="28"/>
          <w:szCs w:val="28"/>
          <w:lang w:val="uk-UA"/>
        </w:rPr>
        <w:t xml:space="preserve"> мають більше пародонтологічних захворювань</w:t>
      </w:r>
      <w:r w:rsidR="002C4F1F" w:rsidRPr="002C4F1F">
        <w:rPr>
          <w:rFonts w:ascii="Times New Roman" w:hAnsi="Times New Roman" w:cs="Times New Roman"/>
          <w:sz w:val="28"/>
          <w:szCs w:val="28"/>
          <w:lang w:val="uk-UA"/>
        </w:rPr>
        <w:t xml:space="preserve"> та нижчу стимульовану швидкість руху слизу, ніж ті, що не є астматичними. Вища поширеність </w:t>
      </w:r>
      <w:r w:rsidR="002C4F1F">
        <w:rPr>
          <w:rFonts w:ascii="Times New Roman" w:hAnsi="Times New Roman" w:cs="Times New Roman"/>
          <w:sz w:val="28"/>
          <w:szCs w:val="28"/>
          <w:lang w:val="uk-UA"/>
        </w:rPr>
        <w:t>мінералізованих відкладень</w:t>
      </w:r>
      <w:r w:rsidR="002C4F1F" w:rsidRPr="002C4F1F">
        <w:rPr>
          <w:rFonts w:ascii="Times New Roman" w:hAnsi="Times New Roman" w:cs="Times New Roman"/>
          <w:sz w:val="28"/>
          <w:szCs w:val="28"/>
          <w:lang w:val="uk-UA"/>
        </w:rPr>
        <w:t xml:space="preserve"> у дітей з астмою обумовлена підвищеними рівнями кальцію та фосфору в субмаксилярній слині та придатковій слин</w:t>
      </w:r>
      <w:r w:rsidR="00F14CD2">
        <w:rPr>
          <w:rFonts w:ascii="Times New Roman" w:hAnsi="Times New Roman" w:cs="Times New Roman"/>
          <w:sz w:val="28"/>
          <w:szCs w:val="28"/>
          <w:lang w:val="uk-UA"/>
        </w:rPr>
        <w:t>і. Інші автори</w:t>
      </w:r>
      <w:r w:rsidR="00BC69BC">
        <w:rPr>
          <w:rFonts w:ascii="Times New Roman" w:hAnsi="Times New Roman" w:cs="Times New Roman"/>
          <w:sz w:val="28"/>
          <w:szCs w:val="28"/>
          <w:lang w:val="uk-UA"/>
        </w:rPr>
        <w:t xml:space="preserve"> [71</w:t>
      </w:r>
      <w:r w:rsidR="002C4F1F">
        <w:rPr>
          <w:rFonts w:ascii="Times New Roman" w:hAnsi="Times New Roman" w:cs="Times New Roman"/>
          <w:sz w:val="28"/>
          <w:szCs w:val="28"/>
          <w:lang w:val="uk-UA"/>
        </w:rPr>
        <w:t>], припустили</w:t>
      </w:r>
      <w:r w:rsidR="002C4F1F" w:rsidRPr="002C4F1F">
        <w:rPr>
          <w:rFonts w:ascii="Times New Roman" w:hAnsi="Times New Roman" w:cs="Times New Roman"/>
          <w:sz w:val="28"/>
          <w:szCs w:val="28"/>
          <w:lang w:val="uk-UA"/>
        </w:rPr>
        <w:t xml:space="preserve">, що діти з астмою мають більше </w:t>
      </w:r>
      <w:r w:rsidR="002C4F1F">
        <w:rPr>
          <w:rFonts w:ascii="Times New Roman" w:hAnsi="Times New Roman" w:cs="Times New Roman"/>
          <w:sz w:val="28"/>
          <w:szCs w:val="28"/>
          <w:lang w:val="uk-UA"/>
        </w:rPr>
        <w:t>зубних відкладень</w:t>
      </w:r>
      <w:r w:rsidR="00A5786F">
        <w:rPr>
          <w:rFonts w:ascii="Times New Roman" w:hAnsi="Times New Roman" w:cs="Times New Roman"/>
          <w:sz w:val="28"/>
          <w:szCs w:val="28"/>
          <w:lang w:val="uk-UA"/>
        </w:rPr>
        <w:t>, ніж соматично здорові</w:t>
      </w:r>
      <w:r w:rsidR="00BC69BC">
        <w:rPr>
          <w:rFonts w:ascii="Times New Roman" w:hAnsi="Times New Roman" w:cs="Times New Roman"/>
          <w:sz w:val="28"/>
          <w:szCs w:val="28"/>
          <w:lang w:val="uk-UA"/>
        </w:rPr>
        <w:t xml:space="preserve"> діти. </w:t>
      </w:r>
      <w:r w:rsidR="00F14CD2">
        <w:rPr>
          <w:rFonts w:ascii="Times New Roman" w:hAnsi="Times New Roman" w:cs="Times New Roman"/>
          <w:sz w:val="28"/>
          <w:szCs w:val="28"/>
          <w:lang w:val="uk-UA"/>
        </w:rPr>
        <w:t xml:space="preserve">Також було встановлено, </w:t>
      </w:r>
      <w:r w:rsidR="002C4F1F" w:rsidRPr="002C4F1F">
        <w:rPr>
          <w:rFonts w:ascii="Times New Roman" w:hAnsi="Times New Roman" w:cs="Times New Roman"/>
          <w:sz w:val="28"/>
          <w:szCs w:val="28"/>
          <w:lang w:val="uk-UA"/>
        </w:rPr>
        <w:t xml:space="preserve">що, хоча спостерігається зниження швидкості </w:t>
      </w:r>
      <w:r w:rsidR="002C4F1F">
        <w:rPr>
          <w:rFonts w:ascii="Times New Roman" w:hAnsi="Times New Roman" w:cs="Times New Roman"/>
          <w:sz w:val="28"/>
          <w:szCs w:val="28"/>
          <w:lang w:val="uk-UA"/>
        </w:rPr>
        <w:t>слиновиділення</w:t>
      </w:r>
      <w:r w:rsidR="002C4F1F" w:rsidRPr="002C4F1F">
        <w:rPr>
          <w:rFonts w:ascii="Times New Roman" w:hAnsi="Times New Roman" w:cs="Times New Roman"/>
          <w:sz w:val="28"/>
          <w:szCs w:val="28"/>
          <w:lang w:val="uk-UA"/>
        </w:rPr>
        <w:t>, концентрація мієлопероксидази збільшується у хворих на астму</w:t>
      </w:r>
      <w:r w:rsidR="00F14CD2">
        <w:rPr>
          <w:rFonts w:ascii="Times New Roman" w:hAnsi="Times New Roman" w:cs="Times New Roman"/>
          <w:sz w:val="28"/>
          <w:szCs w:val="28"/>
          <w:lang w:val="uk-UA"/>
        </w:rPr>
        <w:t xml:space="preserve"> [72]</w:t>
      </w:r>
      <w:r w:rsidR="002C4F1F" w:rsidRPr="002C4F1F">
        <w:rPr>
          <w:rFonts w:ascii="Times New Roman" w:hAnsi="Times New Roman" w:cs="Times New Roman"/>
          <w:sz w:val="28"/>
          <w:szCs w:val="28"/>
          <w:lang w:val="uk-UA"/>
        </w:rPr>
        <w:t>.</w:t>
      </w:r>
    </w:p>
    <w:p w14:paraId="440014B1" w14:textId="3ED81D32" w:rsidR="002C4F1F" w:rsidRDefault="002C4F1F" w:rsidP="001F6B82">
      <w:pPr>
        <w:spacing w:after="0" w:line="360" w:lineRule="auto"/>
        <w:ind w:firstLine="709"/>
        <w:jc w:val="both"/>
        <w:rPr>
          <w:rFonts w:ascii="Times New Roman" w:hAnsi="Times New Roman" w:cs="Times New Roman"/>
          <w:sz w:val="28"/>
          <w:szCs w:val="28"/>
          <w:lang w:val="uk-UA"/>
        </w:rPr>
      </w:pPr>
      <w:r w:rsidRPr="002C4F1F">
        <w:rPr>
          <w:rFonts w:ascii="Times New Roman" w:hAnsi="Times New Roman" w:cs="Times New Roman"/>
          <w:sz w:val="28"/>
          <w:szCs w:val="28"/>
          <w:lang w:val="uk-UA"/>
        </w:rPr>
        <w:t>Встановлен</w:t>
      </w:r>
      <w:r>
        <w:rPr>
          <w:rFonts w:ascii="Times New Roman" w:hAnsi="Times New Roman" w:cs="Times New Roman"/>
          <w:sz w:val="28"/>
          <w:szCs w:val="28"/>
          <w:lang w:val="uk-UA"/>
        </w:rPr>
        <w:t>о, що концентрація IgE в тканинах</w:t>
      </w:r>
      <w:r w:rsidRPr="002C4F1F">
        <w:rPr>
          <w:rFonts w:ascii="Times New Roman" w:hAnsi="Times New Roman" w:cs="Times New Roman"/>
          <w:sz w:val="28"/>
          <w:szCs w:val="28"/>
          <w:lang w:val="uk-UA"/>
        </w:rPr>
        <w:t xml:space="preserve"> ясен підвищується у пацієнтів з астмою, що призво</w:t>
      </w:r>
      <w:r w:rsidR="00BC69BC">
        <w:rPr>
          <w:rFonts w:ascii="Times New Roman" w:hAnsi="Times New Roman" w:cs="Times New Roman"/>
          <w:sz w:val="28"/>
          <w:szCs w:val="28"/>
          <w:lang w:val="uk-UA"/>
        </w:rPr>
        <w:t>дить до руйнування пародонту [73</w:t>
      </w:r>
      <w:r w:rsidR="00BC69BC" w:rsidRPr="00BC69BC">
        <w:rPr>
          <w:rFonts w:ascii="Times New Roman" w:hAnsi="Times New Roman" w:cs="Times New Roman"/>
          <w:sz w:val="28"/>
          <w:szCs w:val="28"/>
          <w:lang w:val="ru-RU"/>
        </w:rPr>
        <w:t>, 74</w:t>
      </w:r>
      <w:r w:rsidRPr="002C4F1F">
        <w:rPr>
          <w:rFonts w:ascii="Times New Roman" w:hAnsi="Times New Roman" w:cs="Times New Roman"/>
          <w:sz w:val="28"/>
          <w:szCs w:val="28"/>
          <w:lang w:val="uk-UA"/>
        </w:rPr>
        <w:t xml:space="preserve">]. </w:t>
      </w:r>
      <w:r w:rsidR="00DB40EB">
        <w:rPr>
          <w:rFonts w:ascii="Times New Roman" w:hAnsi="Times New Roman" w:cs="Times New Roman"/>
          <w:sz w:val="28"/>
          <w:szCs w:val="28"/>
          <w:lang w:val="uk-UA"/>
        </w:rPr>
        <w:t>При використанні</w:t>
      </w:r>
      <w:r>
        <w:rPr>
          <w:rFonts w:ascii="Times New Roman" w:hAnsi="Times New Roman" w:cs="Times New Roman"/>
          <w:sz w:val="28"/>
          <w:szCs w:val="28"/>
          <w:lang w:val="uk-UA"/>
        </w:rPr>
        <w:t xml:space="preserve"> і</w:t>
      </w:r>
      <w:r w:rsidRPr="002C4F1F">
        <w:rPr>
          <w:rFonts w:ascii="Times New Roman" w:hAnsi="Times New Roman" w:cs="Times New Roman"/>
          <w:sz w:val="28"/>
          <w:szCs w:val="28"/>
          <w:lang w:val="uk-UA"/>
        </w:rPr>
        <w:t>нгалятор</w:t>
      </w:r>
      <w:r>
        <w:rPr>
          <w:rFonts w:ascii="Times New Roman" w:hAnsi="Times New Roman" w:cs="Times New Roman"/>
          <w:sz w:val="28"/>
          <w:szCs w:val="28"/>
          <w:lang w:val="uk-UA"/>
        </w:rPr>
        <w:t xml:space="preserve">у сальбутамолу </w:t>
      </w:r>
      <w:r w:rsidR="00DB40EB">
        <w:rPr>
          <w:rFonts w:ascii="Times New Roman" w:hAnsi="Times New Roman" w:cs="Times New Roman"/>
          <w:sz w:val="28"/>
          <w:szCs w:val="28"/>
          <w:lang w:val="uk-UA"/>
        </w:rPr>
        <w:t>зафіксовано</w:t>
      </w:r>
      <w:r w:rsidRPr="002C4F1F">
        <w:rPr>
          <w:rFonts w:ascii="Times New Roman" w:hAnsi="Times New Roman" w:cs="Times New Roman"/>
          <w:sz w:val="28"/>
          <w:szCs w:val="28"/>
          <w:lang w:val="uk-UA"/>
        </w:rPr>
        <w:t xml:space="preserve"> більш високий ступінь карієсу, ніж</w:t>
      </w:r>
      <w:r w:rsidR="00DB40EB">
        <w:rPr>
          <w:rFonts w:ascii="Times New Roman" w:hAnsi="Times New Roman" w:cs="Times New Roman"/>
          <w:sz w:val="28"/>
          <w:szCs w:val="28"/>
          <w:lang w:val="uk-UA"/>
        </w:rPr>
        <w:t xml:space="preserve"> при застосуванні</w:t>
      </w:r>
      <w:r w:rsidRPr="002C4F1F">
        <w:rPr>
          <w:rFonts w:ascii="Times New Roman" w:hAnsi="Times New Roman" w:cs="Times New Roman"/>
          <w:sz w:val="28"/>
          <w:szCs w:val="28"/>
          <w:lang w:val="uk-UA"/>
        </w:rPr>
        <w:t xml:space="preserve"> таблетки бальматозону та сальбутамолу. Це може бути пов'язано з місцевими ефектами зниження рН т</w:t>
      </w:r>
      <w:r w:rsidR="00DB40EB">
        <w:rPr>
          <w:rFonts w:ascii="Times New Roman" w:hAnsi="Times New Roman" w:cs="Times New Roman"/>
          <w:sz w:val="28"/>
          <w:szCs w:val="28"/>
          <w:lang w:val="uk-UA"/>
        </w:rPr>
        <w:t>а зміною</w:t>
      </w:r>
      <w:r w:rsidR="00C95B8F">
        <w:rPr>
          <w:rFonts w:ascii="Times New Roman" w:hAnsi="Times New Roman" w:cs="Times New Roman"/>
          <w:sz w:val="28"/>
          <w:szCs w:val="28"/>
          <w:lang w:val="uk-UA"/>
        </w:rPr>
        <w:t xml:space="preserve"> рівнів секреції слини</w:t>
      </w:r>
      <w:r w:rsidRPr="002C4F1F">
        <w:rPr>
          <w:rFonts w:ascii="Times New Roman" w:hAnsi="Times New Roman" w:cs="Times New Roman"/>
          <w:sz w:val="28"/>
          <w:szCs w:val="28"/>
          <w:lang w:val="uk-UA"/>
        </w:rPr>
        <w:t xml:space="preserve"> та </w:t>
      </w:r>
      <w:r w:rsidR="00DB40EB">
        <w:rPr>
          <w:rFonts w:ascii="Times New Roman" w:hAnsi="Times New Roman" w:cs="Times New Roman"/>
          <w:sz w:val="28"/>
          <w:szCs w:val="28"/>
          <w:lang w:val="uk-UA"/>
        </w:rPr>
        <w:t>її складовими</w:t>
      </w:r>
      <w:r w:rsidRPr="002C4F1F">
        <w:rPr>
          <w:rFonts w:ascii="Times New Roman" w:hAnsi="Times New Roman" w:cs="Times New Roman"/>
          <w:sz w:val="28"/>
          <w:szCs w:val="28"/>
          <w:lang w:val="uk-UA"/>
        </w:rPr>
        <w:t xml:space="preserve">. Наявність гінгівіту та </w:t>
      </w:r>
      <w:r w:rsidR="00C95B8F">
        <w:rPr>
          <w:rFonts w:ascii="Times New Roman" w:hAnsi="Times New Roman" w:cs="Times New Roman"/>
          <w:sz w:val="28"/>
          <w:szCs w:val="28"/>
          <w:lang w:val="uk-UA"/>
        </w:rPr>
        <w:t>зубних відкладень були</w:t>
      </w:r>
      <w:r w:rsidRPr="002C4F1F">
        <w:rPr>
          <w:rFonts w:ascii="Times New Roman" w:hAnsi="Times New Roman" w:cs="Times New Roman"/>
          <w:sz w:val="28"/>
          <w:szCs w:val="28"/>
          <w:lang w:val="uk-UA"/>
        </w:rPr>
        <w:t xml:space="preserve"> більше, ніж у порівнянні з контролем, але порівняння мі</w:t>
      </w:r>
      <w:r w:rsidR="00C95B8F">
        <w:rPr>
          <w:rFonts w:ascii="Times New Roman" w:hAnsi="Times New Roman" w:cs="Times New Roman"/>
          <w:sz w:val="28"/>
          <w:szCs w:val="28"/>
          <w:lang w:val="uk-UA"/>
        </w:rPr>
        <w:t>ж препаратами не виявило ніяких</w:t>
      </w:r>
      <w:r w:rsidRPr="002C4F1F">
        <w:rPr>
          <w:rFonts w:ascii="Times New Roman" w:hAnsi="Times New Roman" w:cs="Times New Roman"/>
          <w:sz w:val="28"/>
          <w:szCs w:val="28"/>
          <w:lang w:val="uk-UA"/>
        </w:rPr>
        <w:t xml:space="preserve"> </w:t>
      </w:r>
      <w:r w:rsidR="00C95B8F">
        <w:rPr>
          <w:rFonts w:ascii="Times New Roman" w:hAnsi="Times New Roman" w:cs="Times New Roman"/>
          <w:sz w:val="28"/>
          <w:szCs w:val="28"/>
          <w:lang w:val="uk-UA"/>
        </w:rPr>
        <w:t>достовірних відмінностей</w:t>
      </w:r>
      <w:r w:rsidRPr="002C4F1F">
        <w:rPr>
          <w:rFonts w:ascii="Times New Roman" w:hAnsi="Times New Roman" w:cs="Times New Roman"/>
          <w:sz w:val="28"/>
          <w:szCs w:val="28"/>
          <w:lang w:val="uk-UA"/>
        </w:rPr>
        <w:t xml:space="preserve">. </w:t>
      </w:r>
      <w:r w:rsidR="00DB40EB">
        <w:rPr>
          <w:rFonts w:ascii="Times New Roman" w:hAnsi="Times New Roman" w:cs="Times New Roman"/>
          <w:sz w:val="28"/>
          <w:szCs w:val="28"/>
          <w:lang w:val="uk-UA"/>
        </w:rPr>
        <w:t>У дослідженнях показано, що а</w:t>
      </w:r>
      <w:r w:rsidRPr="002C4F1F">
        <w:rPr>
          <w:rFonts w:ascii="Times New Roman" w:hAnsi="Times New Roman" w:cs="Times New Roman"/>
          <w:sz w:val="28"/>
          <w:szCs w:val="28"/>
          <w:lang w:val="uk-UA"/>
        </w:rPr>
        <w:t xml:space="preserve">нтиастматичні ліки мають свій вплив на карієс та стан пародонта, проте їх можна </w:t>
      </w:r>
      <w:r w:rsidR="00C95B8F">
        <w:rPr>
          <w:rFonts w:ascii="Times New Roman" w:hAnsi="Times New Roman" w:cs="Times New Roman"/>
          <w:sz w:val="28"/>
          <w:szCs w:val="28"/>
          <w:lang w:val="uk-UA"/>
        </w:rPr>
        <w:t>нівелювати</w:t>
      </w:r>
      <w:r w:rsidRPr="002C4F1F">
        <w:rPr>
          <w:rFonts w:ascii="Times New Roman" w:hAnsi="Times New Roman" w:cs="Times New Roman"/>
          <w:sz w:val="28"/>
          <w:szCs w:val="28"/>
          <w:lang w:val="uk-UA"/>
        </w:rPr>
        <w:t xml:space="preserve"> профілактичним лікуванням, що є корисним для пацієнта з огляду на тяжкість астматичної хвороби та необхідність прийому ліків під час небезпечних для життя епізодів. Пацієнтам з астмою рекомендується застосовувати більш обережну практику в області гігієни порожнини рота та </w:t>
      </w:r>
      <w:r w:rsidR="00DB40EB">
        <w:rPr>
          <w:rFonts w:ascii="Times New Roman" w:hAnsi="Times New Roman" w:cs="Times New Roman"/>
          <w:sz w:val="28"/>
          <w:szCs w:val="28"/>
          <w:lang w:val="uk-UA"/>
        </w:rPr>
        <w:t>постійно контролювати активність</w:t>
      </w:r>
      <w:r w:rsidRPr="002C4F1F">
        <w:rPr>
          <w:rFonts w:ascii="Times New Roman" w:hAnsi="Times New Roman" w:cs="Times New Roman"/>
          <w:sz w:val="28"/>
          <w:szCs w:val="28"/>
          <w:lang w:val="uk-UA"/>
        </w:rPr>
        <w:t xml:space="preserve"> к</w:t>
      </w:r>
      <w:r w:rsidR="00DB40EB">
        <w:rPr>
          <w:rFonts w:ascii="Times New Roman" w:hAnsi="Times New Roman" w:cs="Times New Roman"/>
          <w:sz w:val="28"/>
          <w:szCs w:val="28"/>
          <w:lang w:val="uk-UA"/>
        </w:rPr>
        <w:t>арієсу та здоров'я пародонту</w:t>
      </w:r>
      <w:r w:rsidR="00BC69BC">
        <w:rPr>
          <w:rFonts w:ascii="Times New Roman" w:hAnsi="Times New Roman" w:cs="Times New Roman"/>
          <w:sz w:val="28"/>
          <w:szCs w:val="28"/>
          <w:lang w:val="uk-UA"/>
        </w:rPr>
        <w:t xml:space="preserve"> [75, 76</w:t>
      </w:r>
      <w:r w:rsidRPr="002C4F1F">
        <w:rPr>
          <w:rFonts w:ascii="Times New Roman" w:hAnsi="Times New Roman" w:cs="Times New Roman"/>
          <w:sz w:val="28"/>
          <w:szCs w:val="28"/>
          <w:lang w:val="uk-UA"/>
        </w:rPr>
        <w:t>].</w:t>
      </w:r>
    </w:p>
    <w:p w14:paraId="7C56EFC2" w14:textId="03E4D76B" w:rsidR="00BC69BC" w:rsidRDefault="00BC69BC" w:rsidP="001F6B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аналіз літератури, у якій висвітлено основні поняття атопії та атопічних захворювань, а також їх вплив на стан тканин порожнини рота, доводить наявність функціональних та морфологічних змін у організмі дітей з даними захворюваннями. Описані імунометаболічні зміни, пусковим </w:t>
      </w:r>
      <w:r>
        <w:rPr>
          <w:rFonts w:ascii="Times New Roman" w:hAnsi="Times New Roman" w:cs="Times New Roman"/>
          <w:sz w:val="28"/>
          <w:szCs w:val="28"/>
          <w:lang w:val="uk-UA"/>
        </w:rPr>
        <w:lastRenderedPageBreak/>
        <w:t>механізмом для яких є атопія, обумовлюють необхідність пошуку нової концепції лікування запальних захворювань пародонту у дітей з атопічними захворю</w:t>
      </w:r>
      <w:r w:rsidR="00DB40EB">
        <w:rPr>
          <w:rFonts w:ascii="Times New Roman" w:hAnsi="Times New Roman" w:cs="Times New Roman"/>
          <w:sz w:val="28"/>
          <w:szCs w:val="28"/>
          <w:lang w:val="uk-UA"/>
        </w:rPr>
        <w:t>в</w:t>
      </w:r>
      <w:r>
        <w:rPr>
          <w:rFonts w:ascii="Times New Roman" w:hAnsi="Times New Roman" w:cs="Times New Roman"/>
          <w:sz w:val="28"/>
          <w:szCs w:val="28"/>
          <w:lang w:val="uk-UA"/>
        </w:rPr>
        <w:t>аннями.</w:t>
      </w:r>
    </w:p>
    <w:p w14:paraId="5B154468" w14:textId="77777777" w:rsidR="0096140B" w:rsidRPr="0096140B" w:rsidRDefault="0096140B" w:rsidP="00C95B8F">
      <w:pPr>
        <w:spacing w:after="0" w:line="360" w:lineRule="auto"/>
        <w:jc w:val="both"/>
        <w:rPr>
          <w:rFonts w:ascii="Times New Roman" w:hAnsi="Times New Roman" w:cs="Times New Roman"/>
          <w:sz w:val="28"/>
          <w:szCs w:val="28"/>
          <w:lang w:val="uk-UA"/>
        </w:rPr>
      </w:pPr>
    </w:p>
    <w:p w14:paraId="66C1A8CD" w14:textId="1D0F4297" w:rsidR="00E24DEC" w:rsidRPr="00DB40EB" w:rsidRDefault="00867C6E" w:rsidP="00E24DEC">
      <w:pPr>
        <w:pStyle w:val="Heading2"/>
        <w:spacing w:line="360" w:lineRule="auto"/>
        <w:ind w:firstLine="709"/>
        <w:rPr>
          <w:rFonts w:ascii="Times New Roman" w:hAnsi="Times New Roman" w:cs="Times New Roman"/>
          <w:color w:val="auto"/>
          <w:sz w:val="28"/>
          <w:szCs w:val="28"/>
          <w:lang w:val="uk-UA"/>
        </w:rPr>
      </w:pPr>
      <w:bookmarkStart w:id="5" w:name="_Toc507575298"/>
      <w:r w:rsidRPr="00DB40EB">
        <w:rPr>
          <w:rFonts w:ascii="Times New Roman" w:hAnsi="Times New Roman" w:cs="Times New Roman"/>
          <w:color w:val="auto"/>
          <w:sz w:val="28"/>
          <w:szCs w:val="28"/>
          <w:lang w:val="uk-UA"/>
        </w:rPr>
        <w:t xml:space="preserve">1.2 </w:t>
      </w:r>
      <w:r w:rsidR="005D33AD" w:rsidRPr="00DB40EB">
        <w:rPr>
          <w:rFonts w:ascii="Times New Roman" w:hAnsi="Times New Roman" w:cs="Times New Roman"/>
          <w:color w:val="auto"/>
          <w:sz w:val="28"/>
          <w:szCs w:val="28"/>
          <w:lang w:val="uk-UA"/>
        </w:rPr>
        <w:t>Сучасні аспекти етіології</w:t>
      </w:r>
      <w:r w:rsidR="006010C5" w:rsidRPr="00DB40EB">
        <w:rPr>
          <w:rFonts w:ascii="Times New Roman" w:hAnsi="Times New Roman" w:cs="Times New Roman"/>
          <w:color w:val="auto"/>
          <w:sz w:val="28"/>
          <w:szCs w:val="28"/>
          <w:lang w:val="uk-UA"/>
        </w:rPr>
        <w:t>, патогенез</w:t>
      </w:r>
      <w:r w:rsidR="005D33AD" w:rsidRPr="00DB40EB">
        <w:rPr>
          <w:rFonts w:ascii="Times New Roman" w:hAnsi="Times New Roman" w:cs="Times New Roman"/>
          <w:color w:val="auto"/>
          <w:sz w:val="28"/>
          <w:szCs w:val="28"/>
          <w:lang w:val="uk-UA"/>
        </w:rPr>
        <w:t>у</w:t>
      </w:r>
      <w:r w:rsidR="002C3D20" w:rsidRPr="00DB40EB">
        <w:rPr>
          <w:rFonts w:ascii="Times New Roman" w:hAnsi="Times New Roman" w:cs="Times New Roman"/>
          <w:color w:val="auto"/>
          <w:sz w:val="28"/>
          <w:szCs w:val="28"/>
          <w:lang w:val="uk-UA"/>
        </w:rPr>
        <w:t>, діагностики</w:t>
      </w:r>
      <w:r w:rsidR="006010C5" w:rsidRPr="00DB40EB">
        <w:rPr>
          <w:rFonts w:ascii="Times New Roman" w:hAnsi="Times New Roman" w:cs="Times New Roman"/>
          <w:color w:val="auto"/>
          <w:sz w:val="28"/>
          <w:szCs w:val="28"/>
          <w:lang w:val="uk-UA"/>
        </w:rPr>
        <w:t xml:space="preserve"> та лікування хронічного гінгівіту у дітей</w:t>
      </w:r>
      <w:bookmarkEnd w:id="5"/>
    </w:p>
    <w:p w14:paraId="20A85320" w14:textId="7331D29A" w:rsidR="006010C5" w:rsidRDefault="00DD1601" w:rsidP="00894C5D">
      <w:pPr>
        <w:spacing w:after="0" w:line="360" w:lineRule="auto"/>
        <w:ind w:firstLine="709"/>
        <w:jc w:val="both"/>
        <w:rPr>
          <w:rFonts w:ascii="Times New Roman" w:hAnsi="Times New Roman" w:cs="Times New Roman"/>
          <w:sz w:val="28"/>
          <w:szCs w:val="28"/>
          <w:lang w:val="uk-UA"/>
        </w:rPr>
      </w:pPr>
      <w:r w:rsidRPr="00DB40EB">
        <w:rPr>
          <w:rFonts w:ascii="Times New Roman" w:hAnsi="Times New Roman"/>
          <w:sz w:val="28"/>
          <w:szCs w:val="28"/>
          <w:lang w:val="uk-UA"/>
        </w:rPr>
        <w:t>Згідно з дослідженнями поширеність таких стоматологічних захворювань, як гінгівіт та пародонтит, серед дитячого населення не має тенденції до зниження</w:t>
      </w:r>
      <w:r w:rsidR="002D6686" w:rsidRPr="00DB40EB">
        <w:rPr>
          <w:rFonts w:ascii="Times New Roman" w:hAnsi="Times New Roman"/>
          <w:noProof/>
          <w:sz w:val="28"/>
          <w:szCs w:val="28"/>
          <w:lang w:val="ru-RU"/>
        </w:rPr>
        <w:t xml:space="preserve"> [</w:t>
      </w:r>
      <w:r w:rsidR="00DB40EB">
        <w:rPr>
          <w:rFonts w:ascii="Times New Roman" w:hAnsi="Times New Roman"/>
          <w:noProof/>
          <w:sz w:val="28"/>
          <w:szCs w:val="28"/>
          <w:lang w:val="ru-RU"/>
        </w:rPr>
        <w:t xml:space="preserve">1, 2, </w:t>
      </w:r>
      <w:r w:rsidR="002D6686" w:rsidRPr="00DB40EB">
        <w:rPr>
          <w:rFonts w:ascii="Times New Roman" w:hAnsi="Times New Roman"/>
          <w:noProof/>
          <w:sz w:val="28"/>
          <w:szCs w:val="28"/>
          <w:lang w:val="ru-RU"/>
        </w:rPr>
        <w:t>74]</w:t>
      </w:r>
      <w:r w:rsidRPr="00DB40EB">
        <w:rPr>
          <w:rFonts w:ascii="Times New Roman" w:hAnsi="Times New Roman"/>
          <w:sz w:val="28"/>
          <w:szCs w:val="28"/>
          <w:lang w:val="uk-UA"/>
        </w:rPr>
        <w:t xml:space="preserve">. </w:t>
      </w:r>
      <w:r w:rsidRPr="00DB40EB">
        <w:rPr>
          <w:rFonts w:ascii="Times New Roman" w:hAnsi="Times New Roman" w:cs="Times New Roman"/>
          <w:sz w:val="28"/>
          <w:szCs w:val="28"/>
          <w:lang w:val="uk-UA"/>
        </w:rPr>
        <w:t>Останнім часом спостерігається істотне зростання частоти хвороб пародонта у осіб молодого віку. Поширеність гінгівіту і пародонтиту</w:t>
      </w:r>
      <w:r w:rsidR="00C95B8F" w:rsidRPr="00DB40EB">
        <w:rPr>
          <w:rFonts w:ascii="Times New Roman" w:hAnsi="Times New Roman" w:cs="Times New Roman"/>
          <w:sz w:val="28"/>
          <w:szCs w:val="28"/>
          <w:lang w:val="uk-UA"/>
        </w:rPr>
        <w:t xml:space="preserve">, за даними </w:t>
      </w:r>
      <w:r w:rsidR="00AD665D" w:rsidRPr="00DB40EB">
        <w:rPr>
          <w:rFonts w:ascii="Times New Roman" w:hAnsi="Times New Roman" w:cs="Times New Roman"/>
          <w:sz w:val="28"/>
          <w:szCs w:val="28"/>
          <w:lang w:val="uk-UA"/>
        </w:rPr>
        <w:t>авторів,</w:t>
      </w:r>
      <w:r w:rsidRPr="00DB40EB">
        <w:rPr>
          <w:rFonts w:ascii="Times New Roman" w:hAnsi="Times New Roman" w:cs="Times New Roman"/>
          <w:sz w:val="28"/>
          <w:szCs w:val="28"/>
          <w:lang w:val="uk-UA"/>
        </w:rPr>
        <w:t xml:space="preserve"> серед дітей та підлітків варіює в шир</w:t>
      </w:r>
      <w:r w:rsidR="004058A8" w:rsidRPr="00DB40EB">
        <w:rPr>
          <w:rFonts w:ascii="Times New Roman" w:hAnsi="Times New Roman" w:cs="Times New Roman"/>
          <w:sz w:val="28"/>
          <w:szCs w:val="28"/>
          <w:lang w:val="uk-UA"/>
        </w:rPr>
        <w:t xml:space="preserve">оких межах та досягає 97 </w:t>
      </w:r>
      <w:r w:rsidR="00C95B8F" w:rsidRPr="00DB40EB">
        <w:rPr>
          <w:rFonts w:ascii="Times New Roman" w:hAnsi="Times New Roman" w:cs="Times New Roman"/>
          <w:sz w:val="28"/>
          <w:szCs w:val="28"/>
          <w:lang w:val="uk-UA"/>
        </w:rPr>
        <w:t>%.</w:t>
      </w:r>
      <w:r w:rsidRPr="00DB40EB">
        <w:rPr>
          <w:rFonts w:ascii="Times New Roman" w:hAnsi="Times New Roman" w:cs="Times New Roman"/>
          <w:sz w:val="28"/>
          <w:szCs w:val="28"/>
          <w:lang w:val="uk-UA"/>
        </w:rPr>
        <w:t xml:space="preserve"> Частота та тяжкість ураження пародонта значно вищі у дітей, обтяжених загальносомати</w:t>
      </w:r>
      <w:r w:rsidR="00DB40EB" w:rsidRPr="00DB40EB">
        <w:rPr>
          <w:rFonts w:ascii="Times New Roman" w:hAnsi="Times New Roman" w:cs="Times New Roman"/>
          <w:sz w:val="28"/>
          <w:szCs w:val="28"/>
          <w:lang w:val="uk-UA"/>
        </w:rPr>
        <w:t>чною патологією</w:t>
      </w:r>
      <w:r w:rsidR="003F25A3" w:rsidRPr="00DB40EB">
        <w:rPr>
          <w:rFonts w:ascii="Times New Roman" w:hAnsi="Times New Roman" w:cs="Times New Roman"/>
          <w:sz w:val="28"/>
          <w:szCs w:val="28"/>
          <w:lang w:val="uk-UA"/>
        </w:rPr>
        <w:t>.</w:t>
      </w:r>
      <w:r w:rsidR="00927683" w:rsidRPr="00DB40EB">
        <w:rPr>
          <w:rFonts w:ascii="Times New Roman" w:hAnsi="Times New Roman" w:cs="Times New Roman"/>
          <w:sz w:val="28"/>
          <w:szCs w:val="28"/>
          <w:lang w:val="ru-RU"/>
        </w:rPr>
        <w:t xml:space="preserve"> На </w:t>
      </w:r>
      <w:r w:rsidR="00927683" w:rsidRPr="00DB40EB">
        <w:rPr>
          <w:rFonts w:ascii="Times New Roman" w:hAnsi="Times New Roman" w:cs="Times New Roman"/>
          <w:sz w:val="28"/>
          <w:szCs w:val="28"/>
          <w:lang w:val="uk-UA"/>
        </w:rPr>
        <w:t>сьогоднішній день проведені численні епідеміологічні дослідження, які відображають поширеність захворювань пародонту в залежності від</w:t>
      </w:r>
      <w:r w:rsidR="00307CC4" w:rsidRPr="00DB40EB">
        <w:rPr>
          <w:rFonts w:ascii="Times New Roman" w:hAnsi="Times New Roman" w:cs="Times New Roman"/>
          <w:sz w:val="28"/>
          <w:szCs w:val="28"/>
          <w:lang w:val="uk-UA"/>
        </w:rPr>
        <w:t xml:space="preserve"> віку, геополіти</w:t>
      </w:r>
      <w:r w:rsidR="00927683" w:rsidRPr="00DB40EB">
        <w:rPr>
          <w:rFonts w:ascii="Times New Roman" w:hAnsi="Times New Roman" w:cs="Times New Roman"/>
          <w:sz w:val="28"/>
          <w:szCs w:val="28"/>
          <w:lang w:val="uk-UA"/>
        </w:rPr>
        <w:t>чних особливостей та інше</w:t>
      </w:r>
      <w:r w:rsidR="00AD665D" w:rsidRPr="00DB40EB">
        <w:rPr>
          <w:rFonts w:ascii="Times New Roman" w:hAnsi="Times New Roman" w:cs="Times New Roman"/>
          <w:sz w:val="28"/>
          <w:szCs w:val="28"/>
          <w:lang w:val="uk-UA"/>
        </w:rPr>
        <w:t xml:space="preserve"> </w:t>
      </w:r>
      <w:r w:rsidR="00AD665D" w:rsidRPr="00DB40EB">
        <w:rPr>
          <w:rFonts w:ascii="Times New Roman" w:hAnsi="Times New Roman" w:cs="Times New Roman"/>
          <w:sz w:val="28"/>
          <w:szCs w:val="28"/>
          <w:lang w:val="ru-RU"/>
        </w:rPr>
        <w:t>[</w:t>
      </w:r>
      <w:r w:rsidR="00AD665D" w:rsidRPr="00DB40EB">
        <w:rPr>
          <w:rFonts w:ascii="Times New Roman" w:hAnsi="Times New Roman" w:cs="Times New Roman"/>
          <w:sz w:val="28"/>
          <w:szCs w:val="28"/>
          <w:lang w:val="uk-UA"/>
        </w:rPr>
        <w:t>78-81</w:t>
      </w:r>
      <w:r w:rsidR="00AD665D" w:rsidRPr="00DB40EB">
        <w:rPr>
          <w:rFonts w:ascii="Times New Roman" w:hAnsi="Times New Roman" w:cs="Times New Roman"/>
          <w:sz w:val="28"/>
          <w:szCs w:val="28"/>
          <w:lang w:val="ru-RU"/>
        </w:rPr>
        <w:t>]</w:t>
      </w:r>
      <w:r w:rsidR="00927683" w:rsidRPr="00DB40EB">
        <w:rPr>
          <w:rFonts w:ascii="Times New Roman" w:hAnsi="Times New Roman" w:cs="Times New Roman"/>
          <w:sz w:val="28"/>
          <w:szCs w:val="28"/>
          <w:lang w:val="uk-UA"/>
        </w:rPr>
        <w:t xml:space="preserve">. Колективом авторів проаналізовано дані епідеміологічних досліджень, які свідчать </w:t>
      </w:r>
      <w:r w:rsidR="00307CC4" w:rsidRPr="00DB40EB">
        <w:rPr>
          <w:rFonts w:ascii="Times New Roman" w:hAnsi="Times New Roman" w:cs="Times New Roman"/>
          <w:sz w:val="28"/>
          <w:szCs w:val="28"/>
          <w:lang w:val="uk-UA"/>
        </w:rPr>
        <w:t>значну поширеність захворювань пародонту серед дитячого контингенту. Так, за даними Політун А.М., поширеність захворювань пародонту серед дітей становить 39%, при цьому у віці 1</w:t>
      </w:r>
      <w:r w:rsidR="00307CC4">
        <w:rPr>
          <w:rFonts w:ascii="Times New Roman" w:hAnsi="Times New Roman" w:cs="Times New Roman"/>
          <w:sz w:val="28"/>
          <w:szCs w:val="28"/>
          <w:lang w:val="uk-UA"/>
        </w:rPr>
        <w:t>3-15 років складає 8%, 16-18 років – 11,6%. За даними цих досліджень, переважна більшість серед захворювань пародонту представлена гінгівітом. За даними Смоляр Н.І., у 6% 3-6 річних дітей вже реєструються зміни пародонту, а у віці 12-16 років у 90% підлітків.</w:t>
      </w:r>
      <w:r w:rsidR="00802295">
        <w:rPr>
          <w:rFonts w:ascii="Times New Roman" w:hAnsi="Times New Roman" w:cs="Times New Roman"/>
          <w:sz w:val="28"/>
          <w:szCs w:val="28"/>
          <w:lang w:val="uk-UA"/>
        </w:rPr>
        <w:t xml:space="preserve"> Важливим спостереженням є те, що здебільшого розвиток захворювань пародонту, а саме гінгівіту розвивається на тлі загальносоматичних захворювань та реєструється вже при виражених проявах. Так, індекс РМА у обстежених 6-14 дітей, серед яких розповсюдженість гінгівіту складала 36,5%, у 6-річних дітей дорівнював 3,7%, у 9-річних – 8,3%, 14-річних – 13,4%</w:t>
      </w:r>
      <w:r w:rsidR="00AD665D">
        <w:rPr>
          <w:rFonts w:ascii="Times New Roman" w:hAnsi="Times New Roman" w:cs="Times New Roman"/>
          <w:sz w:val="28"/>
          <w:szCs w:val="28"/>
          <w:lang w:val="uk-UA"/>
        </w:rPr>
        <w:t xml:space="preserve"> </w:t>
      </w:r>
      <w:r w:rsidR="00AD665D" w:rsidRPr="00AD665D">
        <w:rPr>
          <w:rFonts w:ascii="Times New Roman" w:hAnsi="Times New Roman" w:cs="Times New Roman"/>
          <w:sz w:val="28"/>
          <w:szCs w:val="28"/>
          <w:lang w:val="ru-RU"/>
        </w:rPr>
        <w:t>[</w:t>
      </w:r>
      <w:r w:rsidR="00AD665D">
        <w:rPr>
          <w:rFonts w:ascii="Times New Roman" w:hAnsi="Times New Roman" w:cs="Times New Roman"/>
          <w:sz w:val="28"/>
          <w:szCs w:val="28"/>
          <w:lang w:val="ru-RU"/>
        </w:rPr>
        <w:t>82-87</w:t>
      </w:r>
      <w:r w:rsidR="00AD665D" w:rsidRPr="00AD665D">
        <w:rPr>
          <w:rFonts w:ascii="Times New Roman" w:hAnsi="Times New Roman" w:cs="Times New Roman"/>
          <w:sz w:val="28"/>
          <w:szCs w:val="28"/>
          <w:lang w:val="ru-RU"/>
        </w:rPr>
        <w:t>]</w:t>
      </w:r>
      <w:r w:rsidR="00802295">
        <w:rPr>
          <w:rFonts w:ascii="Times New Roman" w:hAnsi="Times New Roman" w:cs="Times New Roman"/>
          <w:sz w:val="28"/>
          <w:szCs w:val="28"/>
          <w:lang w:val="uk-UA"/>
        </w:rPr>
        <w:t>.</w:t>
      </w:r>
    </w:p>
    <w:p w14:paraId="572801A6" w14:textId="2072D61E" w:rsidR="004F3DF0" w:rsidRDefault="00802295" w:rsidP="00A14C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w:t>
      </w:r>
      <w:r w:rsidR="00ED24A3">
        <w:rPr>
          <w:rFonts w:ascii="Times New Roman" w:hAnsi="Times New Roman" w:cs="Times New Roman"/>
          <w:sz w:val="28"/>
          <w:szCs w:val="28"/>
          <w:lang w:val="uk-UA"/>
        </w:rPr>
        <w:t>ми ВООЗ, поширеність гінгівіту в</w:t>
      </w:r>
      <w:r>
        <w:rPr>
          <w:rFonts w:ascii="Times New Roman" w:hAnsi="Times New Roman" w:cs="Times New Roman"/>
          <w:sz w:val="28"/>
          <w:szCs w:val="28"/>
          <w:lang w:val="uk-UA"/>
        </w:rPr>
        <w:t xml:space="preserve"> європейській популяції дітей 10-12 років складає 80%, а 14-річних дітей – 100%.</w:t>
      </w:r>
      <w:r w:rsidR="00E75394">
        <w:rPr>
          <w:rFonts w:ascii="Times New Roman" w:hAnsi="Times New Roman" w:cs="Times New Roman"/>
          <w:sz w:val="28"/>
          <w:szCs w:val="28"/>
          <w:lang w:val="uk-UA"/>
        </w:rPr>
        <w:t xml:space="preserve"> У США поширеність гінгівітом </w:t>
      </w:r>
      <w:r w:rsidR="00E75394">
        <w:rPr>
          <w:rFonts w:ascii="Times New Roman" w:hAnsi="Times New Roman" w:cs="Times New Roman"/>
          <w:sz w:val="28"/>
          <w:szCs w:val="28"/>
          <w:lang w:val="uk-UA"/>
        </w:rPr>
        <w:lastRenderedPageBreak/>
        <w:t>становить близько 38% у віці 6-11 років, а у віці 12-17 років сягає 62-68%. В Іспанії поширеність гінгівітом теж є достатньо високою та скадає 77%</w:t>
      </w:r>
      <w:r w:rsidR="004A03BD">
        <w:rPr>
          <w:rFonts w:ascii="Times New Roman" w:hAnsi="Times New Roman" w:cs="Times New Roman"/>
          <w:sz w:val="28"/>
          <w:szCs w:val="28"/>
          <w:lang w:val="uk-UA"/>
        </w:rPr>
        <w:t xml:space="preserve"> </w:t>
      </w:r>
      <w:r w:rsidR="00AD665D">
        <w:rPr>
          <w:rFonts w:ascii="Times New Roman" w:hAnsi="Times New Roman" w:cs="Times New Roman"/>
          <w:noProof/>
          <w:sz w:val="28"/>
          <w:szCs w:val="28"/>
          <w:lang w:val="uk-UA"/>
        </w:rPr>
        <w:t>[5</w:t>
      </w:r>
      <w:r w:rsidR="00C95B8F" w:rsidRPr="000953B6">
        <w:rPr>
          <w:rFonts w:ascii="Times New Roman" w:hAnsi="Times New Roman" w:cs="Times New Roman"/>
          <w:noProof/>
          <w:sz w:val="28"/>
          <w:szCs w:val="28"/>
          <w:lang w:val="uk-UA"/>
        </w:rPr>
        <w:t>]</w:t>
      </w:r>
      <w:r w:rsidR="00E75394">
        <w:rPr>
          <w:rFonts w:ascii="Times New Roman" w:hAnsi="Times New Roman" w:cs="Times New Roman"/>
          <w:sz w:val="28"/>
          <w:szCs w:val="28"/>
          <w:lang w:val="uk-UA"/>
        </w:rPr>
        <w:t xml:space="preserve">. </w:t>
      </w:r>
    </w:p>
    <w:p w14:paraId="51FCEFC0" w14:textId="708D067A" w:rsidR="00060AC6" w:rsidRDefault="00060AC6" w:rsidP="00DB40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Всесвітньої організації охорони здоров</w:t>
      </w:r>
      <w:r w:rsidRPr="00060AC6">
        <w:rPr>
          <w:rFonts w:ascii="Times New Roman" w:hAnsi="Times New Roman" w:cs="Times New Roman"/>
          <w:sz w:val="28"/>
          <w:szCs w:val="28"/>
          <w:lang w:val="ru-RU"/>
        </w:rPr>
        <w:t>’</w:t>
      </w:r>
      <w:r>
        <w:rPr>
          <w:rFonts w:ascii="Times New Roman" w:hAnsi="Times New Roman" w:cs="Times New Roman"/>
          <w:sz w:val="28"/>
          <w:szCs w:val="28"/>
          <w:lang w:val="uk-UA"/>
        </w:rPr>
        <w:t>я</w:t>
      </w:r>
      <w:r w:rsidR="00ED24A3">
        <w:rPr>
          <w:rFonts w:ascii="Times New Roman" w:hAnsi="Times New Roman" w:cs="Times New Roman"/>
          <w:sz w:val="28"/>
          <w:szCs w:val="28"/>
          <w:lang w:val="uk-UA"/>
        </w:rPr>
        <w:t>,</w:t>
      </w:r>
      <w:r>
        <w:rPr>
          <w:rFonts w:ascii="Times New Roman" w:hAnsi="Times New Roman" w:cs="Times New Roman"/>
          <w:sz w:val="28"/>
          <w:szCs w:val="28"/>
          <w:lang w:val="uk-UA"/>
        </w:rPr>
        <w:t xml:space="preserve"> дуже високий</w:t>
      </w:r>
      <w:r w:rsidR="00AD665D">
        <w:rPr>
          <w:rFonts w:ascii="Times New Roman" w:hAnsi="Times New Roman" w:cs="Times New Roman"/>
          <w:sz w:val="28"/>
          <w:szCs w:val="28"/>
          <w:lang w:val="uk-UA"/>
        </w:rPr>
        <w:t xml:space="preserve"> рі</w:t>
      </w:r>
      <w:r w:rsidR="00CF312B" w:rsidRPr="00EA04CC">
        <w:rPr>
          <w:rFonts w:ascii="Times New Roman" w:hAnsi="Times New Roman" w:cs="Times New Roman"/>
          <w:sz w:val="28"/>
          <w:szCs w:val="28"/>
          <w:lang w:val="uk-UA"/>
        </w:rPr>
        <w:t xml:space="preserve">вень </w:t>
      </w:r>
      <w:r w:rsidRPr="00EA04CC">
        <w:rPr>
          <w:rFonts w:ascii="Times New Roman" w:hAnsi="Times New Roman" w:cs="Times New Roman"/>
          <w:sz w:val="28"/>
          <w:szCs w:val="28"/>
          <w:lang w:val="uk-UA"/>
        </w:rPr>
        <w:t>від 65% до 98%</w:t>
      </w:r>
      <w:r>
        <w:rPr>
          <w:rFonts w:ascii="Times New Roman" w:hAnsi="Times New Roman" w:cs="Times New Roman"/>
          <w:sz w:val="28"/>
          <w:szCs w:val="28"/>
          <w:lang w:val="uk-UA"/>
        </w:rPr>
        <w:t xml:space="preserve"> </w:t>
      </w:r>
      <w:r w:rsidR="00CF312B" w:rsidRPr="00EA04CC">
        <w:rPr>
          <w:rFonts w:ascii="Times New Roman" w:hAnsi="Times New Roman" w:cs="Times New Roman"/>
          <w:sz w:val="28"/>
          <w:szCs w:val="28"/>
          <w:lang w:val="uk-UA"/>
        </w:rPr>
        <w:t>захворювань тканин пародо</w:t>
      </w:r>
      <w:r>
        <w:rPr>
          <w:rFonts w:ascii="Times New Roman" w:hAnsi="Times New Roman" w:cs="Times New Roman"/>
          <w:sz w:val="28"/>
          <w:szCs w:val="28"/>
          <w:lang w:val="uk-UA"/>
        </w:rPr>
        <w:t xml:space="preserve">нту припадає на вік 35-44 роки і </w:t>
      </w:r>
      <w:r w:rsidRPr="00EA04CC">
        <w:rPr>
          <w:rFonts w:ascii="Times New Roman" w:hAnsi="Times New Roman" w:cs="Times New Roman"/>
          <w:sz w:val="28"/>
          <w:szCs w:val="28"/>
          <w:lang w:val="uk-UA"/>
        </w:rPr>
        <w:t>від 55% до 89%</w:t>
      </w:r>
      <w:r>
        <w:rPr>
          <w:rFonts w:ascii="Times New Roman" w:hAnsi="Times New Roman" w:cs="Times New Roman"/>
          <w:sz w:val="28"/>
          <w:szCs w:val="28"/>
          <w:lang w:val="uk-UA"/>
        </w:rPr>
        <w:t xml:space="preserve"> на вік 15-19 років</w:t>
      </w:r>
      <w:r w:rsidR="00CF312B" w:rsidRPr="00EA04CC">
        <w:rPr>
          <w:rFonts w:ascii="Times New Roman" w:hAnsi="Times New Roman" w:cs="Times New Roman"/>
          <w:sz w:val="28"/>
          <w:szCs w:val="28"/>
          <w:lang w:val="uk-UA"/>
        </w:rPr>
        <w:t>. У 80% ді</w:t>
      </w:r>
      <w:r>
        <w:rPr>
          <w:rFonts w:ascii="Times New Roman" w:hAnsi="Times New Roman" w:cs="Times New Roman"/>
          <w:sz w:val="28"/>
          <w:szCs w:val="28"/>
          <w:lang w:val="uk-UA"/>
        </w:rPr>
        <w:t>тей діагносту</w:t>
      </w:r>
      <w:r w:rsidR="00CF312B" w:rsidRPr="00EA04CC">
        <w:rPr>
          <w:rFonts w:ascii="Times New Roman" w:hAnsi="Times New Roman" w:cs="Times New Roman"/>
          <w:sz w:val="28"/>
          <w:szCs w:val="28"/>
          <w:lang w:val="uk-UA"/>
        </w:rPr>
        <w:t xml:space="preserve">ється гінгівіт. Якщо </w:t>
      </w:r>
      <w:r>
        <w:rPr>
          <w:rFonts w:ascii="Times New Roman" w:hAnsi="Times New Roman" w:cs="Times New Roman"/>
          <w:sz w:val="28"/>
          <w:szCs w:val="28"/>
          <w:lang w:val="uk-UA"/>
        </w:rPr>
        <w:t>у віці 10</w:t>
      </w:r>
      <w:r w:rsidR="00CF312B" w:rsidRPr="00EA04CC">
        <w:rPr>
          <w:rFonts w:ascii="Times New Roman" w:hAnsi="Times New Roman" w:cs="Times New Roman"/>
          <w:sz w:val="28"/>
          <w:szCs w:val="28"/>
          <w:lang w:val="uk-UA"/>
        </w:rPr>
        <w:t xml:space="preserve"> років гінгівіт є в 69% дітей, у 12 років – у 77</w:t>
      </w:r>
      <w:r>
        <w:rPr>
          <w:rFonts w:ascii="Times New Roman" w:hAnsi="Times New Roman" w:cs="Times New Roman"/>
          <w:sz w:val="28"/>
          <w:szCs w:val="28"/>
          <w:lang w:val="uk-UA"/>
        </w:rPr>
        <w:t>%, то в 15 років – у 87% дітей</w:t>
      </w:r>
      <w:r w:rsidR="00CF312B" w:rsidRPr="00EA04CC">
        <w:rPr>
          <w:rFonts w:ascii="Times New Roman" w:hAnsi="Times New Roman" w:cs="Times New Roman"/>
          <w:sz w:val="28"/>
          <w:szCs w:val="28"/>
          <w:lang w:val="uk-UA"/>
        </w:rPr>
        <w:t>. Наукові дослідження довели, що початкові зміни при хронічному катаральному гінгівіті без своєчасного лікування дітей призводить до важких форм пародонтиту у дорослому віці [</w:t>
      </w:r>
      <w:r>
        <w:rPr>
          <w:rFonts w:ascii="Times New Roman" w:hAnsi="Times New Roman" w:cs="Times New Roman"/>
          <w:sz w:val="28"/>
          <w:szCs w:val="28"/>
          <w:lang w:val="ru-RU"/>
        </w:rPr>
        <w:t>88-91</w:t>
      </w:r>
      <w:r w:rsidR="00DB40EB">
        <w:rPr>
          <w:rFonts w:ascii="Times New Roman" w:hAnsi="Times New Roman" w:cs="Times New Roman"/>
          <w:sz w:val="28"/>
          <w:szCs w:val="28"/>
          <w:lang w:val="uk-UA"/>
        </w:rPr>
        <w:t>].</w:t>
      </w:r>
    </w:p>
    <w:p w14:paraId="6F868672" w14:textId="5432A98A" w:rsidR="00060AC6" w:rsidRPr="00060AC6" w:rsidRDefault="00060AC6" w:rsidP="00CF312B">
      <w:pPr>
        <w:spacing w:after="0" w:line="360" w:lineRule="auto"/>
        <w:ind w:firstLine="709"/>
        <w:jc w:val="both"/>
        <w:rPr>
          <w:rFonts w:ascii="Times New Roman" w:hAnsi="Times New Roman" w:cs="Times New Roman"/>
          <w:sz w:val="28"/>
          <w:szCs w:val="28"/>
          <w:lang w:val="ru-RU"/>
        </w:rPr>
      </w:pPr>
      <w:r w:rsidRPr="00060AC6">
        <w:rPr>
          <w:rFonts w:ascii="Times New Roman" w:hAnsi="Times New Roman" w:cs="Times New Roman"/>
          <w:sz w:val="28"/>
          <w:szCs w:val="28"/>
          <w:lang w:val="uk-UA"/>
        </w:rPr>
        <w:t xml:space="preserve">Найбільш поширеною формою захворювання пародонту є </w:t>
      </w:r>
      <w:r>
        <w:rPr>
          <w:rFonts w:ascii="Times New Roman" w:hAnsi="Times New Roman" w:cs="Times New Roman"/>
          <w:sz w:val="28"/>
          <w:szCs w:val="28"/>
          <w:lang w:val="uk-UA"/>
        </w:rPr>
        <w:t>гінгівіт</w:t>
      </w:r>
      <w:r w:rsidRPr="00060AC6">
        <w:rPr>
          <w:rFonts w:ascii="Times New Roman" w:hAnsi="Times New Roman" w:cs="Times New Roman"/>
          <w:sz w:val="28"/>
          <w:szCs w:val="28"/>
          <w:lang w:val="uk-UA"/>
        </w:rPr>
        <w:t xml:space="preserve">. </w:t>
      </w:r>
      <w:r w:rsidRPr="00060AC6">
        <w:rPr>
          <w:rFonts w:ascii="Times New Roman" w:hAnsi="Times New Roman" w:cs="Times New Roman"/>
          <w:sz w:val="28"/>
          <w:szCs w:val="28"/>
          <w:lang w:val="ru-RU"/>
        </w:rPr>
        <w:t>Гінгівіт вражає 7</w:t>
      </w:r>
      <w:r>
        <w:rPr>
          <w:rFonts w:ascii="Times New Roman" w:hAnsi="Times New Roman" w:cs="Times New Roman"/>
          <w:sz w:val="28"/>
          <w:szCs w:val="28"/>
          <w:lang w:val="ru-RU"/>
        </w:rPr>
        <w:t>5% дорослих у Сполучених Штатах</w:t>
      </w:r>
      <w:r w:rsidRPr="00060AC6">
        <w:rPr>
          <w:rFonts w:ascii="Times New Roman" w:hAnsi="Times New Roman" w:cs="Times New Roman"/>
          <w:sz w:val="28"/>
          <w:szCs w:val="28"/>
          <w:lang w:val="ru-RU"/>
        </w:rPr>
        <w:t xml:space="preserve"> і хар</w:t>
      </w:r>
      <w:r w:rsidR="00DB40EB">
        <w:rPr>
          <w:rFonts w:ascii="Times New Roman" w:hAnsi="Times New Roman" w:cs="Times New Roman"/>
          <w:sz w:val="28"/>
          <w:szCs w:val="28"/>
          <w:lang w:val="ru-RU"/>
        </w:rPr>
        <w:t>актеризується запаленням ясен, гіперемією</w:t>
      </w:r>
      <w:r w:rsidRPr="00060AC6">
        <w:rPr>
          <w:rFonts w:ascii="Times New Roman" w:hAnsi="Times New Roman" w:cs="Times New Roman"/>
          <w:sz w:val="28"/>
          <w:szCs w:val="28"/>
          <w:lang w:val="ru-RU"/>
        </w:rPr>
        <w:t xml:space="preserve">, </w:t>
      </w:r>
      <w:r>
        <w:rPr>
          <w:rFonts w:ascii="Times New Roman" w:hAnsi="Times New Roman" w:cs="Times New Roman"/>
          <w:sz w:val="28"/>
          <w:szCs w:val="28"/>
          <w:lang w:val="ru-RU"/>
        </w:rPr>
        <w:t>набряком та частими кровотечами</w:t>
      </w:r>
      <w:r w:rsidRPr="00060AC6">
        <w:rPr>
          <w:rFonts w:ascii="Times New Roman" w:hAnsi="Times New Roman" w:cs="Times New Roman"/>
          <w:sz w:val="28"/>
          <w:szCs w:val="28"/>
          <w:lang w:val="ru-RU"/>
        </w:rPr>
        <w:t xml:space="preserve">. Поширені також більш розвинені форми пародонтиту, </w:t>
      </w:r>
      <w:r w:rsidR="00DB40EB">
        <w:rPr>
          <w:rFonts w:ascii="Times New Roman" w:hAnsi="Times New Roman" w:cs="Times New Roman"/>
          <w:sz w:val="28"/>
          <w:szCs w:val="28"/>
          <w:lang w:val="ru-RU"/>
        </w:rPr>
        <w:t xml:space="preserve">на які страждають приблизно </w:t>
      </w:r>
      <w:r w:rsidRPr="00060AC6">
        <w:rPr>
          <w:rFonts w:ascii="Times New Roman" w:hAnsi="Times New Roman" w:cs="Times New Roman"/>
          <w:sz w:val="28"/>
          <w:szCs w:val="28"/>
          <w:lang w:val="ru-RU"/>
        </w:rPr>
        <w:t>30% (</w:t>
      </w:r>
      <w:r w:rsidR="009419AC">
        <w:rPr>
          <w:rFonts w:ascii="Times New Roman" w:hAnsi="Times New Roman" w:cs="Times New Roman"/>
          <w:sz w:val="28"/>
          <w:szCs w:val="28"/>
          <w:lang w:val="uk-UA"/>
        </w:rPr>
        <w:t>середній ступінь важкості пародонтиту</w:t>
      </w:r>
      <w:r w:rsidR="009419AC">
        <w:rPr>
          <w:rFonts w:ascii="Times New Roman" w:hAnsi="Times New Roman" w:cs="Times New Roman"/>
          <w:sz w:val="28"/>
          <w:szCs w:val="28"/>
          <w:lang w:val="ru-RU"/>
        </w:rPr>
        <w:t>) та 10% (важкий ступінь тяжкості, генералізована форма</w:t>
      </w:r>
      <w:r w:rsidRPr="00060AC6">
        <w:rPr>
          <w:rFonts w:ascii="Times New Roman" w:hAnsi="Times New Roman" w:cs="Times New Roman"/>
          <w:sz w:val="28"/>
          <w:szCs w:val="28"/>
          <w:lang w:val="ru-RU"/>
        </w:rPr>
        <w:t>) дорослого</w:t>
      </w:r>
      <w:r w:rsidR="009419AC">
        <w:rPr>
          <w:rFonts w:ascii="Times New Roman" w:hAnsi="Times New Roman" w:cs="Times New Roman"/>
          <w:sz w:val="28"/>
          <w:szCs w:val="28"/>
          <w:lang w:val="ru-RU"/>
        </w:rPr>
        <w:t xml:space="preserve"> населення в Сполучених Штатах.</w:t>
      </w:r>
      <w:r w:rsidRPr="00060AC6">
        <w:rPr>
          <w:rFonts w:ascii="Times New Roman" w:hAnsi="Times New Roman" w:cs="Times New Roman"/>
          <w:sz w:val="28"/>
          <w:szCs w:val="28"/>
          <w:lang w:val="ru-RU"/>
        </w:rPr>
        <w:t xml:space="preserve"> Симптоми подібні до ознак гінгівіту, але є більш </w:t>
      </w:r>
      <w:r w:rsidR="00DB40EB">
        <w:rPr>
          <w:rFonts w:ascii="Times New Roman" w:hAnsi="Times New Roman" w:cs="Times New Roman"/>
          <w:sz w:val="28"/>
          <w:szCs w:val="28"/>
          <w:lang w:val="ru-RU"/>
        </w:rPr>
        <w:t>вираженими</w:t>
      </w:r>
      <w:r w:rsidRPr="00060AC6">
        <w:rPr>
          <w:rFonts w:ascii="Times New Roman" w:hAnsi="Times New Roman" w:cs="Times New Roman"/>
          <w:sz w:val="28"/>
          <w:szCs w:val="28"/>
          <w:lang w:val="ru-RU"/>
        </w:rPr>
        <w:t xml:space="preserve"> через більшу </w:t>
      </w:r>
      <w:r w:rsidR="00DB40EB">
        <w:rPr>
          <w:rFonts w:ascii="Times New Roman" w:hAnsi="Times New Roman" w:cs="Times New Roman"/>
          <w:sz w:val="28"/>
          <w:szCs w:val="28"/>
          <w:lang w:val="ru-RU"/>
        </w:rPr>
        <w:t>кількість та агресивність бактеріальної флори</w:t>
      </w:r>
      <w:r w:rsidRPr="00060AC6">
        <w:rPr>
          <w:rFonts w:ascii="Times New Roman" w:hAnsi="Times New Roman" w:cs="Times New Roman"/>
          <w:sz w:val="28"/>
          <w:szCs w:val="28"/>
          <w:lang w:val="ru-RU"/>
        </w:rPr>
        <w:t xml:space="preserve"> та запальні реакції</w:t>
      </w:r>
      <w:r w:rsidR="009419AC" w:rsidRPr="009419AC">
        <w:rPr>
          <w:rFonts w:ascii="Times New Roman" w:hAnsi="Times New Roman" w:cs="Times New Roman"/>
          <w:sz w:val="28"/>
          <w:szCs w:val="28"/>
          <w:lang w:val="ru-RU"/>
        </w:rPr>
        <w:t xml:space="preserve"> [92-93]</w:t>
      </w:r>
      <w:r w:rsidRPr="00060AC6">
        <w:rPr>
          <w:rFonts w:ascii="Times New Roman" w:hAnsi="Times New Roman" w:cs="Times New Roman"/>
          <w:sz w:val="28"/>
          <w:szCs w:val="28"/>
          <w:lang w:val="ru-RU"/>
        </w:rPr>
        <w:t>.</w:t>
      </w:r>
    </w:p>
    <w:p w14:paraId="633A1FB1" w14:textId="6D3E5E65" w:rsidR="00CF312B" w:rsidRPr="00EA04CC" w:rsidRDefault="009419AC" w:rsidP="00CF31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Авторами встановлені різні показники розповсюдженості гінгівіту відповідно до віку. </w:t>
      </w:r>
      <w:r w:rsidR="00CF312B" w:rsidRPr="00EA04CC">
        <w:rPr>
          <w:rFonts w:ascii="Times New Roman" w:hAnsi="Times New Roman" w:cs="Times New Roman"/>
          <w:sz w:val="28"/>
          <w:szCs w:val="28"/>
          <w:lang w:val="uk-UA"/>
        </w:rPr>
        <w:t>У віці 12 років у 3% дітей діагностує</w:t>
      </w:r>
      <w:r w:rsidR="00060AC6">
        <w:rPr>
          <w:rFonts w:ascii="Times New Roman" w:hAnsi="Times New Roman" w:cs="Times New Roman"/>
          <w:sz w:val="28"/>
          <w:szCs w:val="28"/>
          <w:lang w:val="uk-UA"/>
        </w:rPr>
        <w:t>ться пародонти</w:t>
      </w:r>
      <w:r>
        <w:rPr>
          <w:rFonts w:ascii="Times New Roman" w:hAnsi="Times New Roman" w:cs="Times New Roman"/>
          <w:sz w:val="28"/>
          <w:szCs w:val="28"/>
          <w:lang w:val="uk-UA"/>
        </w:rPr>
        <w:t>т</w:t>
      </w:r>
      <w:r w:rsidR="00060AC6">
        <w:rPr>
          <w:rFonts w:ascii="Times New Roman" w:hAnsi="Times New Roman" w:cs="Times New Roman"/>
          <w:sz w:val="28"/>
          <w:szCs w:val="28"/>
          <w:lang w:val="uk-UA"/>
        </w:rPr>
        <w:t xml:space="preserve"> середнього ступе</w:t>
      </w:r>
      <w:r w:rsidR="00CF312B" w:rsidRPr="00EA04CC">
        <w:rPr>
          <w:rFonts w:ascii="Times New Roman" w:hAnsi="Times New Roman" w:cs="Times New Roman"/>
          <w:sz w:val="28"/>
          <w:szCs w:val="28"/>
          <w:lang w:val="uk-UA"/>
        </w:rPr>
        <w:t>ня важкості, а в 15-16 років вже у 12-18% дітей виявляються пародонтальні кишені глибино</w:t>
      </w:r>
      <w:r w:rsidR="00060AC6">
        <w:rPr>
          <w:rFonts w:ascii="Times New Roman" w:hAnsi="Times New Roman" w:cs="Times New Roman"/>
          <w:sz w:val="28"/>
          <w:szCs w:val="28"/>
          <w:lang w:val="uk-UA"/>
        </w:rPr>
        <w:t>ю 4-5 мм. Встановлено, що в 16-19-річному віці захворюван</w:t>
      </w:r>
      <w:r w:rsidR="00CF312B" w:rsidRPr="00EA04CC">
        <w:rPr>
          <w:rFonts w:ascii="Times New Roman" w:hAnsi="Times New Roman" w:cs="Times New Roman"/>
          <w:sz w:val="28"/>
          <w:szCs w:val="28"/>
          <w:lang w:val="uk-UA"/>
        </w:rPr>
        <w:t>нями тканин пародонту уражається 76,6% населення, у 20-річному – 90%, а в 33-44-річному віці, за даними вітчизняних авторів,</w:t>
      </w:r>
      <w:r w:rsidR="00060AC6">
        <w:rPr>
          <w:rFonts w:ascii="Times New Roman" w:hAnsi="Times New Roman" w:cs="Times New Roman"/>
          <w:sz w:val="28"/>
          <w:szCs w:val="28"/>
          <w:lang w:val="uk-UA"/>
        </w:rPr>
        <w:t xml:space="preserve"> уражається 100% насе</w:t>
      </w:r>
      <w:r>
        <w:rPr>
          <w:rFonts w:ascii="Times New Roman" w:hAnsi="Times New Roman" w:cs="Times New Roman"/>
          <w:sz w:val="28"/>
          <w:szCs w:val="28"/>
          <w:lang w:val="uk-UA"/>
        </w:rPr>
        <w:t>лення</w:t>
      </w:r>
      <w:r w:rsidR="00CF312B" w:rsidRPr="00EA04CC">
        <w:rPr>
          <w:rFonts w:ascii="Times New Roman" w:hAnsi="Times New Roman" w:cs="Times New Roman"/>
          <w:sz w:val="28"/>
          <w:szCs w:val="28"/>
          <w:lang w:val="uk-UA"/>
        </w:rPr>
        <w:t>. Генералізований пародонти</w:t>
      </w:r>
      <w:r w:rsidR="00ED24A3">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у дорослому віці зустрічається у 90 – 95% хворих із захворюваннями пародонту. У дорослих катаральний гінгівіт буває нечасто і лише до 30 років, зазвичай це вже пародонти</w:t>
      </w:r>
      <w:r w:rsidR="00700B4C">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Серед гінгівітів у 90% хворих діагностується к</w:t>
      </w:r>
      <w:r w:rsidR="00C95B8F">
        <w:rPr>
          <w:rFonts w:ascii="Times New Roman" w:hAnsi="Times New Roman" w:cs="Times New Roman"/>
          <w:sz w:val="28"/>
          <w:szCs w:val="28"/>
          <w:lang w:val="uk-UA"/>
        </w:rPr>
        <w:t>атаральний</w:t>
      </w:r>
      <w:r>
        <w:rPr>
          <w:rFonts w:ascii="Times New Roman" w:hAnsi="Times New Roman" w:cs="Times New Roman"/>
          <w:sz w:val="28"/>
          <w:szCs w:val="28"/>
          <w:lang w:val="uk-UA"/>
        </w:rPr>
        <w:t xml:space="preserve"> гінгівіт [94, 95</w:t>
      </w:r>
      <w:r w:rsidR="00CF312B" w:rsidRPr="00EA04CC">
        <w:rPr>
          <w:rFonts w:ascii="Times New Roman" w:hAnsi="Times New Roman" w:cs="Times New Roman"/>
          <w:sz w:val="28"/>
          <w:szCs w:val="28"/>
          <w:lang w:val="uk-UA"/>
        </w:rPr>
        <w:t>].</w:t>
      </w:r>
    </w:p>
    <w:p w14:paraId="64B3FB19" w14:textId="087A6F34" w:rsidR="00A14C9D" w:rsidRDefault="009571CE" w:rsidP="009571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Запальні та запально-дистрофічні захворювання тканин пародонту є актуальною пробемою для України також. Частота цих за</w:t>
      </w:r>
      <w:r w:rsidR="00CF312B" w:rsidRPr="00EA04CC">
        <w:rPr>
          <w:rFonts w:ascii="Times New Roman" w:hAnsi="Times New Roman" w:cs="Times New Roman"/>
          <w:sz w:val="28"/>
          <w:szCs w:val="28"/>
          <w:lang w:val="uk-UA"/>
        </w:rPr>
        <w:t xml:space="preserve">хворювань у людей </w:t>
      </w:r>
      <w:r>
        <w:rPr>
          <w:rFonts w:ascii="Times New Roman" w:hAnsi="Times New Roman" w:cs="Times New Roman"/>
          <w:sz w:val="28"/>
          <w:szCs w:val="28"/>
          <w:lang w:val="uk-UA"/>
        </w:rPr>
        <w:t>до 40 років становить 50-60%, а серед</w:t>
      </w:r>
      <w:r w:rsidR="00CF312B" w:rsidRPr="00EA04CC">
        <w:rPr>
          <w:rFonts w:ascii="Times New Roman" w:hAnsi="Times New Roman" w:cs="Times New Roman"/>
          <w:sz w:val="28"/>
          <w:szCs w:val="28"/>
          <w:lang w:val="uk-UA"/>
        </w:rPr>
        <w:t xml:space="preserve"> старш</w:t>
      </w:r>
      <w:r w:rsidR="00C95B8F">
        <w:rPr>
          <w:rFonts w:ascii="Times New Roman" w:hAnsi="Times New Roman" w:cs="Times New Roman"/>
          <w:sz w:val="28"/>
          <w:szCs w:val="28"/>
          <w:lang w:val="uk-UA"/>
        </w:rPr>
        <w:t>их з</w:t>
      </w:r>
      <w:r>
        <w:rPr>
          <w:rFonts w:ascii="Times New Roman" w:hAnsi="Times New Roman" w:cs="Times New Roman"/>
          <w:sz w:val="28"/>
          <w:szCs w:val="28"/>
          <w:lang w:val="uk-UA"/>
        </w:rPr>
        <w:t>а 40 років – 100% за даними авторів</w:t>
      </w:r>
      <w:r w:rsidR="00CF312B" w:rsidRPr="00EA04CC">
        <w:rPr>
          <w:rFonts w:ascii="Times New Roman" w:hAnsi="Times New Roman" w:cs="Times New Roman"/>
          <w:sz w:val="28"/>
          <w:szCs w:val="28"/>
          <w:lang w:val="uk-UA"/>
        </w:rPr>
        <w:t xml:space="preserve">. </w:t>
      </w:r>
      <w:r w:rsidR="00CF312B" w:rsidRPr="00EA04CC">
        <w:rPr>
          <w:rFonts w:ascii="Times New Roman" w:hAnsi="Times New Roman" w:cs="Times New Roman"/>
          <w:sz w:val="28"/>
          <w:szCs w:val="28"/>
          <w:lang w:val="uk-UA"/>
        </w:rPr>
        <w:lastRenderedPageBreak/>
        <w:t>В Івано-Франківській області у 7-річному віці пародонти</w:t>
      </w:r>
      <w:r w:rsidR="00DB40EB">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виявляється приблизно у 32%, у 12-річному – у 77% і в 15 років – у 75% дітей. У 6,12% дітей 7-річного віку визначають пародонти</w:t>
      </w:r>
      <w:r w:rsidR="00DB40EB">
        <w:rPr>
          <w:rFonts w:ascii="Times New Roman" w:hAnsi="Times New Roman" w:cs="Times New Roman"/>
          <w:sz w:val="28"/>
          <w:szCs w:val="28"/>
          <w:lang w:val="uk-UA"/>
        </w:rPr>
        <w:t>т</w:t>
      </w:r>
      <w:r w:rsidR="00CF312B" w:rsidRPr="00EA04CC">
        <w:rPr>
          <w:rFonts w:ascii="Times New Roman" w:hAnsi="Times New Roman" w:cs="Times New Roman"/>
          <w:sz w:val="28"/>
          <w:szCs w:val="28"/>
          <w:lang w:val="uk-UA"/>
        </w:rPr>
        <w:t xml:space="preserve"> середнього ступеня тяжкості. Ступінь важкості пародонтиту збільшується у д</w:t>
      </w:r>
      <w:r>
        <w:rPr>
          <w:rFonts w:ascii="Times New Roman" w:hAnsi="Times New Roman" w:cs="Times New Roman"/>
          <w:sz w:val="28"/>
          <w:szCs w:val="28"/>
          <w:lang w:val="uk-UA"/>
        </w:rPr>
        <w:t>ітей віком 12-15 років [96-101</w:t>
      </w:r>
      <w:r w:rsidR="00CF312B">
        <w:rPr>
          <w:rFonts w:ascii="Times New Roman" w:hAnsi="Times New Roman" w:cs="Times New Roman"/>
          <w:sz w:val="28"/>
          <w:szCs w:val="28"/>
          <w:lang w:val="uk-UA"/>
        </w:rPr>
        <w:t>].</w:t>
      </w:r>
    </w:p>
    <w:p w14:paraId="33C0A5F2" w14:textId="44C669FE" w:rsidR="00CF312B" w:rsidRPr="00EA04CC" w:rsidRDefault="00CF312B" w:rsidP="00C37163">
      <w:pPr>
        <w:spacing w:after="0" w:line="360" w:lineRule="auto"/>
        <w:ind w:firstLine="709"/>
        <w:jc w:val="both"/>
        <w:rPr>
          <w:rFonts w:ascii="Times New Roman" w:hAnsi="Times New Roman" w:cs="Times New Roman"/>
          <w:sz w:val="28"/>
          <w:szCs w:val="28"/>
          <w:lang w:val="uk-UA"/>
        </w:rPr>
      </w:pPr>
      <w:r w:rsidRPr="00EA04CC">
        <w:rPr>
          <w:rFonts w:ascii="Times New Roman" w:hAnsi="Times New Roman" w:cs="Times New Roman"/>
          <w:sz w:val="28"/>
          <w:szCs w:val="28"/>
          <w:lang w:val="uk-UA"/>
        </w:rPr>
        <w:t xml:space="preserve">За результатами обстежень П.А. Леуса стан пародонта підлітків однієй вікової групи майже однаковий у всіх </w:t>
      </w:r>
      <w:r w:rsidR="008547DF">
        <w:rPr>
          <w:rFonts w:ascii="Times New Roman" w:hAnsi="Times New Roman" w:cs="Times New Roman"/>
          <w:sz w:val="28"/>
          <w:szCs w:val="28"/>
          <w:lang w:val="uk-UA"/>
        </w:rPr>
        <w:t>обстежених населених пунктах [102</w:t>
      </w:r>
      <w:r w:rsidRPr="00EA04CC">
        <w:rPr>
          <w:rFonts w:ascii="Times New Roman" w:hAnsi="Times New Roman" w:cs="Times New Roman"/>
          <w:sz w:val="28"/>
          <w:szCs w:val="28"/>
          <w:lang w:val="uk-UA"/>
        </w:rPr>
        <w:t>]. Зубні відкладення та кровоточивість ясен відмічається у 5-річному віці дітей</w:t>
      </w:r>
      <w:r w:rsidR="008547DF">
        <w:rPr>
          <w:rFonts w:ascii="Times New Roman" w:hAnsi="Times New Roman" w:cs="Times New Roman"/>
          <w:sz w:val="28"/>
          <w:szCs w:val="28"/>
          <w:lang w:val="uk-UA"/>
        </w:rPr>
        <w:t>, у той час як у віці</w:t>
      </w:r>
      <w:r w:rsidRPr="00EA04CC">
        <w:rPr>
          <w:rFonts w:ascii="Times New Roman" w:hAnsi="Times New Roman" w:cs="Times New Roman"/>
          <w:sz w:val="28"/>
          <w:szCs w:val="28"/>
          <w:lang w:val="uk-UA"/>
        </w:rPr>
        <w:t xml:space="preserve"> 14-17 років виявляється середня інтенсивність захворювань пародонту</w:t>
      </w:r>
      <w:r w:rsidR="00C95B8F">
        <w:rPr>
          <w:rFonts w:ascii="Times New Roman" w:hAnsi="Times New Roman" w:cs="Times New Roman"/>
          <w:sz w:val="28"/>
          <w:szCs w:val="28"/>
          <w:lang w:val="uk-UA"/>
        </w:rPr>
        <w:t>, ко</w:t>
      </w:r>
      <w:r w:rsidR="008547DF">
        <w:rPr>
          <w:rFonts w:ascii="Times New Roman" w:hAnsi="Times New Roman" w:cs="Times New Roman"/>
          <w:sz w:val="28"/>
          <w:szCs w:val="28"/>
          <w:lang w:val="uk-UA"/>
        </w:rPr>
        <w:t>тра підвищується з віком</w:t>
      </w:r>
      <w:r w:rsidR="00C37163">
        <w:rPr>
          <w:rFonts w:ascii="Times New Roman" w:hAnsi="Times New Roman" w:cs="Times New Roman"/>
          <w:sz w:val="28"/>
          <w:szCs w:val="28"/>
          <w:lang w:val="uk-UA"/>
        </w:rPr>
        <w:t>. Я</w:t>
      </w:r>
      <w:r w:rsidR="00700B4C">
        <w:rPr>
          <w:rFonts w:ascii="Times New Roman" w:hAnsi="Times New Roman" w:cs="Times New Roman"/>
          <w:sz w:val="28"/>
          <w:szCs w:val="28"/>
          <w:lang w:val="uk-UA"/>
        </w:rPr>
        <w:t>кщо проаналізувати розповсюджені</w:t>
      </w:r>
      <w:r w:rsidR="00C37163">
        <w:rPr>
          <w:rFonts w:ascii="Times New Roman" w:hAnsi="Times New Roman" w:cs="Times New Roman"/>
          <w:sz w:val="28"/>
          <w:szCs w:val="28"/>
          <w:lang w:val="uk-UA"/>
        </w:rPr>
        <w:t>сть різних форм гінгівіту, то у дітей хронічний гінгі</w:t>
      </w:r>
      <w:r w:rsidR="00C37163" w:rsidRPr="00EA04CC">
        <w:rPr>
          <w:rFonts w:ascii="Times New Roman" w:hAnsi="Times New Roman" w:cs="Times New Roman"/>
          <w:sz w:val="28"/>
          <w:szCs w:val="28"/>
          <w:lang w:val="uk-UA"/>
        </w:rPr>
        <w:t>віт зустрічається у 80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пацієнтів, гіпертрофічний – у 10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запально-дистрофічні зміни в пародонті – у 10</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випадках</w:t>
      </w:r>
      <w:r w:rsidR="00C37163">
        <w:rPr>
          <w:rFonts w:ascii="Times New Roman" w:hAnsi="Times New Roman" w:cs="Times New Roman"/>
          <w:sz w:val="28"/>
          <w:szCs w:val="28"/>
          <w:lang w:val="uk-UA"/>
        </w:rPr>
        <w:t>. За даними авторів</w:t>
      </w:r>
      <w:r w:rsidR="00C37163" w:rsidRPr="00EA04CC">
        <w:rPr>
          <w:rFonts w:ascii="Times New Roman" w:hAnsi="Times New Roman" w:cs="Times New Roman"/>
          <w:sz w:val="28"/>
          <w:szCs w:val="28"/>
          <w:lang w:val="uk-UA"/>
        </w:rPr>
        <w:t xml:space="preserve">, у дітей шкільного віку захворювання краєвого пародонту </w:t>
      </w:r>
      <w:r w:rsidR="00DB40EB">
        <w:rPr>
          <w:rFonts w:ascii="Times New Roman" w:hAnsi="Times New Roman" w:cs="Times New Roman"/>
          <w:sz w:val="28"/>
          <w:szCs w:val="28"/>
          <w:lang w:val="uk-UA"/>
        </w:rPr>
        <w:t>складає</w:t>
      </w:r>
      <w:r w:rsidR="00C37163" w:rsidRPr="00EA04CC">
        <w:rPr>
          <w:rFonts w:ascii="Times New Roman" w:hAnsi="Times New Roman" w:cs="Times New Roman"/>
          <w:sz w:val="28"/>
          <w:szCs w:val="28"/>
          <w:lang w:val="uk-UA"/>
        </w:rPr>
        <w:t xml:space="preserve"> у першому класі – 8,3</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другом – 8,5</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третьому – 8,5</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в четвертому – 9,4</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п’ятому – 11%, шостому – 16</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сьомому – 31</w:t>
      </w:r>
      <w:r w:rsidR="00DB40EB">
        <w:rPr>
          <w:rFonts w:ascii="Times New Roman" w:hAnsi="Times New Roman" w:cs="Times New Roman"/>
          <w:sz w:val="28"/>
          <w:szCs w:val="28"/>
          <w:lang w:val="uk-UA"/>
        </w:rPr>
        <w:t xml:space="preserve"> </w:t>
      </w:r>
      <w:r w:rsidR="00C37163" w:rsidRPr="00EA04CC">
        <w:rPr>
          <w:rFonts w:ascii="Times New Roman" w:hAnsi="Times New Roman" w:cs="Times New Roman"/>
          <w:sz w:val="28"/>
          <w:szCs w:val="28"/>
          <w:lang w:val="uk-UA"/>
        </w:rPr>
        <w:t>%, у 8, 9, 10 кла</w:t>
      </w:r>
      <w:r w:rsidR="00DB40EB">
        <w:rPr>
          <w:rFonts w:ascii="Times New Roman" w:hAnsi="Times New Roman" w:cs="Times New Roman"/>
          <w:sz w:val="28"/>
          <w:szCs w:val="28"/>
          <w:lang w:val="uk-UA"/>
        </w:rPr>
        <w:t>сах відповідно 21 %, 22%,</w:t>
      </w:r>
      <w:r w:rsidR="00C37163">
        <w:rPr>
          <w:rFonts w:ascii="Times New Roman" w:hAnsi="Times New Roman" w:cs="Times New Roman"/>
          <w:sz w:val="28"/>
          <w:szCs w:val="28"/>
          <w:lang w:val="uk-UA"/>
        </w:rPr>
        <w:t xml:space="preserve"> 23%</w:t>
      </w:r>
      <w:r w:rsidR="008547DF">
        <w:rPr>
          <w:rFonts w:ascii="Times New Roman" w:hAnsi="Times New Roman" w:cs="Times New Roman"/>
          <w:sz w:val="28"/>
          <w:szCs w:val="28"/>
          <w:lang w:val="uk-UA"/>
        </w:rPr>
        <w:t xml:space="preserve"> [</w:t>
      </w:r>
      <w:r w:rsidR="00C37163">
        <w:rPr>
          <w:rFonts w:ascii="Times New Roman" w:hAnsi="Times New Roman" w:cs="Times New Roman"/>
          <w:sz w:val="28"/>
          <w:szCs w:val="28"/>
          <w:lang w:val="uk-UA"/>
        </w:rPr>
        <w:t xml:space="preserve">94, 95, </w:t>
      </w:r>
      <w:r w:rsidR="008547DF">
        <w:rPr>
          <w:rFonts w:ascii="Times New Roman" w:hAnsi="Times New Roman" w:cs="Times New Roman"/>
          <w:sz w:val="28"/>
          <w:szCs w:val="28"/>
          <w:lang w:val="uk-UA"/>
        </w:rPr>
        <w:t>103-106</w:t>
      </w:r>
      <w:r w:rsidR="00C37163">
        <w:rPr>
          <w:rFonts w:ascii="Times New Roman" w:hAnsi="Times New Roman" w:cs="Times New Roman"/>
          <w:sz w:val="28"/>
          <w:szCs w:val="28"/>
          <w:lang w:val="uk-UA"/>
        </w:rPr>
        <w:t>]</w:t>
      </w:r>
      <w:r w:rsidRPr="00EA04CC">
        <w:rPr>
          <w:rFonts w:ascii="Times New Roman" w:hAnsi="Times New Roman" w:cs="Times New Roman"/>
          <w:sz w:val="28"/>
          <w:szCs w:val="28"/>
          <w:lang w:val="uk-UA"/>
        </w:rPr>
        <w:t>.</w:t>
      </w:r>
    </w:p>
    <w:p w14:paraId="784511E0" w14:textId="10CC393D" w:rsidR="00E75394" w:rsidRPr="00307CC4" w:rsidRDefault="00E75394" w:rsidP="00894C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якщо проаналізувати епідеміологію </w:t>
      </w:r>
      <w:r w:rsidR="004A03BD">
        <w:rPr>
          <w:rFonts w:ascii="Times New Roman" w:hAnsi="Times New Roman" w:cs="Times New Roman"/>
          <w:sz w:val="28"/>
          <w:szCs w:val="28"/>
          <w:lang w:val="uk-UA"/>
        </w:rPr>
        <w:t>захворювань пародонту, а саме гінгів</w:t>
      </w:r>
      <w:r w:rsidR="00ED24A3">
        <w:rPr>
          <w:rFonts w:ascii="Times New Roman" w:hAnsi="Times New Roman" w:cs="Times New Roman"/>
          <w:sz w:val="28"/>
          <w:szCs w:val="28"/>
          <w:lang w:val="uk-UA"/>
        </w:rPr>
        <w:t>іту, серед дитячого контингенту</w:t>
      </w:r>
      <w:r w:rsidR="004A03BD">
        <w:rPr>
          <w:rFonts w:ascii="Times New Roman" w:hAnsi="Times New Roman" w:cs="Times New Roman"/>
          <w:sz w:val="28"/>
          <w:szCs w:val="28"/>
          <w:lang w:val="uk-UA"/>
        </w:rPr>
        <w:t xml:space="preserve"> спостерігається чітка тенденція до зростання поширеності гінгівіту з віком, а також зростання розповсюдженості гінгівіту у дітей на тлі загальносоматичної патології. Також важливим фактором є те, що гінгівіт як правило виявляється не на початковій стадії, а вже при наявності вираженої симптоматики. Наведені дані обумовлюють актуальність пошуку шляхів ранньої діагностики та профілактики гінгівіту серед дітей на тлі соматичних захворювань, в тому числі атопічних.</w:t>
      </w:r>
    </w:p>
    <w:p w14:paraId="793E63E5" w14:textId="1B6E7E12" w:rsidR="004E0D26" w:rsidRPr="00C37163" w:rsidRDefault="006209F0" w:rsidP="00ED24A3">
      <w:pPr>
        <w:spacing w:after="0" w:line="360" w:lineRule="auto"/>
        <w:ind w:firstLine="709"/>
        <w:jc w:val="both"/>
        <w:rPr>
          <w:rFonts w:ascii="Times New Roman" w:hAnsi="Times New Roman"/>
          <w:noProof/>
          <w:sz w:val="28"/>
          <w:szCs w:val="28"/>
          <w:lang w:val="uk-UA"/>
        </w:rPr>
      </w:pPr>
      <w:r w:rsidRPr="00C37163">
        <w:rPr>
          <w:rFonts w:ascii="Times New Roman" w:hAnsi="Times New Roman"/>
          <w:sz w:val="28"/>
          <w:szCs w:val="28"/>
          <w:lang w:val="uk-UA"/>
        </w:rPr>
        <w:t>Безумовно</w:t>
      </w:r>
      <w:r w:rsidR="00ED24A3">
        <w:rPr>
          <w:rFonts w:ascii="Times New Roman" w:hAnsi="Times New Roman"/>
          <w:sz w:val="28"/>
          <w:szCs w:val="28"/>
          <w:lang w:val="uk-UA"/>
        </w:rPr>
        <w:t>,</w:t>
      </w:r>
      <w:r w:rsidRPr="00C37163">
        <w:rPr>
          <w:rFonts w:ascii="Times New Roman" w:hAnsi="Times New Roman"/>
          <w:sz w:val="28"/>
          <w:szCs w:val="28"/>
          <w:lang w:val="uk-UA"/>
        </w:rPr>
        <w:t xml:space="preserve"> доведеним етіологічним чинником гінгівіту є мікробний фактор, який обумовлений незадовільною гігієни порожнини рота. Проте порушення захисно-адаптивних реакцій, спроможності до подолання патологічного процесу у дитячому віці відіграє важливу роль у етіології та патогенезі захворювань пародонту.</w:t>
      </w:r>
      <w:r w:rsidR="00C95B8F"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Хвороби пародонту</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залежать від різних факторів</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тютюнопаління</w:t>
      </w:r>
      <w:r w:rsidR="00ED24A3">
        <w:rPr>
          <w:rFonts w:ascii="Times New Roman" w:hAnsi="Times New Roman"/>
          <w:noProof/>
          <w:sz w:val="28"/>
          <w:szCs w:val="28"/>
          <w:lang w:val="uk-UA"/>
        </w:rPr>
        <w:t>, системні захворювання,</w:t>
      </w:r>
      <w:r w:rsidR="00C37163" w:rsidRPr="00C37163">
        <w:rPr>
          <w:rFonts w:ascii="Times New Roman" w:hAnsi="Times New Roman"/>
          <w:noProof/>
          <w:sz w:val="28"/>
          <w:szCs w:val="28"/>
          <w:lang w:val="uk-UA"/>
        </w:rPr>
        <w:t xml:space="preserve"> такі ліки, як стероїди, </w:t>
      </w:r>
      <w:r w:rsidR="00C37163" w:rsidRPr="00C37163">
        <w:rPr>
          <w:rFonts w:ascii="Times New Roman" w:hAnsi="Times New Roman"/>
          <w:noProof/>
          <w:sz w:val="28"/>
          <w:szCs w:val="28"/>
          <w:lang w:val="uk-UA"/>
        </w:rPr>
        <w:lastRenderedPageBreak/>
        <w:t>лікарсь</w:t>
      </w:r>
      <w:r w:rsidR="00ED24A3">
        <w:rPr>
          <w:rFonts w:ascii="Times New Roman" w:hAnsi="Times New Roman"/>
          <w:noProof/>
          <w:sz w:val="28"/>
          <w:szCs w:val="28"/>
          <w:lang w:val="uk-UA"/>
        </w:rPr>
        <w:t>кі препарати для лікування раку,</w:t>
      </w:r>
      <w:r w:rsidR="00C37163" w:rsidRPr="00C37163">
        <w:rPr>
          <w:rFonts w:ascii="Times New Roman" w:hAnsi="Times New Roman"/>
          <w:noProof/>
          <w:sz w:val="28"/>
          <w:szCs w:val="28"/>
          <w:lang w:val="uk-UA"/>
        </w:rPr>
        <w:t xml:space="preserve"> </w:t>
      </w:r>
      <w:r w:rsidR="00C37163">
        <w:rPr>
          <w:rFonts w:ascii="Times New Roman" w:hAnsi="Times New Roman"/>
          <w:noProof/>
          <w:sz w:val="28"/>
          <w:szCs w:val="28"/>
          <w:lang w:val="uk-UA"/>
        </w:rPr>
        <w:t>неякісні ортопедичні конструкції, ортодонтична патологія</w:t>
      </w:r>
      <w:r w:rsidR="00C37163" w:rsidRPr="00C37163">
        <w:rPr>
          <w:rFonts w:ascii="Times New Roman" w:hAnsi="Times New Roman"/>
          <w:noProof/>
          <w:sz w:val="28"/>
          <w:szCs w:val="28"/>
          <w:lang w:val="uk-UA"/>
        </w:rPr>
        <w:t xml:space="preserve"> і </w:t>
      </w:r>
      <w:r w:rsidR="00ED24A3">
        <w:rPr>
          <w:rFonts w:ascii="Times New Roman" w:hAnsi="Times New Roman"/>
          <w:noProof/>
          <w:sz w:val="28"/>
          <w:szCs w:val="28"/>
          <w:lang w:val="uk-UA"/>
        </w:rPr>
        <w:t>їжа, яка багата на вуглеводи,</w:t>
      </w:r>
      <w:r w:rsidR="00C37163">
        <w:rPr>
          <w:rFonts w:ascii="Times New Roman" w:hAnsi="Times New Roman"/>
          <w:noProof/>
          <w:sz w:val="28"/>
          <w:szCs w:val="28"/>
          <w:lang w:val="uk-UA"/>
        </w:rPr>
        <w:t xml:space="preserve"> вагітність та інші </w:t>
      </w:r>
      <w:r w:rsidR="00C95B8F" w:rsidRPr="00C37163">
        <w:rPr>
          <w:rFonts w:ascii="Times New Roman" w:hAnsi="Times New Roman"/>
          <w:noProof/>
          <w:sz w:val="28"/>
          <w:szCs w:val="28"/>
          <w:lang w:val="uk-UA"/>
        </w:rPr>
        <w:t>[</w:t>
      </w:r>
      <w:r w:rsidR="00C37163">
        <w:rPr>
          <w:rFonts w:ascii="Times New Roman" w:hAnsi="Times New Roman"/>
          <w:noProof/>
          <w:sz w:val="28"/>
          <w:szCs w:val="28"/>
          <w:lang w:val="uk-UA"/>
        </w:rPr>
        <w:t>92</w:t>
      </w:r>
      <w:r w:rsidR="00C95B8F" w:rsidRPr="00C37163">
        <w:rPr>
          <w:rFonts w:ascii="Times New Roman" w:hAnsi="Times New Roman"/>
          <w:noProof/>
          <w:sz w:val="28"/>
          <w:szCs w:val="28"/>
          <w:lang w:val="uk-UA"/>
        </w:rPr>
        <w:t>]</w:t>
      </w:r>
      <w:r w:rsidR="00C37163">
        <w:rPr>
          <w:rFonts w:ascii="Times New Roman" w:hAnsi="Times New Roman"/>
          <w:noProof/>
          <w:sz w:val="28"/>
          <w:szCs w:val="28"/>
          <w:lang w:val="uk-UA"/>
        </w:rPr>
        <w:t>.</w:t>
      </w:r>
    </w:p>
    <w:p w14:paraId="760CFA86" w14:textId="24C55585" w:rsidR="00784B65" w:rsidRPr="00C37163" w:rsidRDefault="003F25A3" w:rsidP="00784B65">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Більшість наукових робіт свідчать про підвищений рівень розповсюдженості гінгівіту серед дітей з бронхіальною астмою порівняно з групами дітей без супутньої патології. Згідно з проведеними дослідженнями, етіологія запальних захворювань пародонту на фоні бронхіальної астми має деякі особливості. Ключовим фактором у патологічних змінах тканин пародонту є взаємодія між бактеріальними та імунологічними факторами. Ротова рідина містить імуноглобулін А, який активно секретується слинними залозами та виступає в якості першої лінії оборони для слизової оболонки шляхом зв'язування частинок антигену. Проведені дослідження пацієнтів з хронічними захворюваннями пародонту показали, що у ротовій рідині міститься підвищений рівень імуноглобуліну А, а концентрація імуноглобуліну, як правило, корелює з тяжкістю захворювання. Крім того, в деяких дослідженнях, повідомлялося про зниження рівня імуноглобуліну в слині астматиків. На противагу цьому, деякі автори виявили, що імуноглобулін IgE, який, імовірно, дифундує пасивно в слині та характерний для пацієнтів з алергічними захворюваннями, був підвищений у пацієнтів, які страждають на астму, в порівнянні зі здоровими</w:t>
      </w:r>
      <w:r w:rsidR="00875142" w:rsidRPr="00C37163">
        <w:rPr>
          <w:rFonts w:ascii="Times New Roman" w:hAnsi="Times New Roman"/>
          <w:sz w:val="28"/>
          <w:szCs w:val="28"/>
          <w:lang w:val="uk-UA"/>
        </w:rPr>
        <w:t xml:space="preserve"> </w:t>
      </w:r>
      <w:r w:rsidR="00344D21">
        <w:rPr>
          <w:rFonts w:ascii="Times New Roman" w:hAnsi="Times New Roman"/>
          <w:noProof/>
          <w:sz w:val="28"/>
          <w:szCs w:val="28"/>
          <w:lang w:val="uk-UA"/>
        </w:rPr>
        <w:t>[107</w:t>
      </w:r>
      <w:r w:rsidR="008557D8">
        <w:rPr>
          <w:rFonts w:ascii="Times New Roman" w:hAnsi="Times New Roman"/>
          <w:noProof/>
          <w:sz w:val="28"/>
          <w:szCs w:val="28"/>
          <w:lang w:val="uk-UA"/>
        </w:rPr>
        <w:t>-115</w:t>
      </w:r>
      <w:r w:rsidR="00C95B8F" w:rsidRPr="00C37163">
        <w:rPr>
          <w:rFonts w:ascii="Times New Roman" w:hAnsi="Times New Roman"/>
          <w:noProof/>
          <w:sz w:val="28"/>
          <w:szCs w:val="28"/>
          <w:lang w:val="uk-UA"/>
        </w:rPr>
        <w:t>]</w:t>
      </w:r>
      <w:r w:rsidRPr="00C37163">
        <w:rPr>
          <w:rFonts w:ascii="Times New Roman" w:hAnsi="Times New Roman"/>
          <w:sz w:val="28"/>
          <w:szCs w:val="28"/>
          <w:lang w:val="uk-UA"/>
        </w:rPr>
        <w:t>. Таким чином, авторами був зроблений висновок, що препарати, які впливають на секрецію слини, такі як протиастматичні пре</w:t>
      </w:r>
      <w:r w:rsidR="00663632">
        <w:rPr>
          <w:rFonts w:ascii="Times New Roman" w:hAnsi="Times New Roman"/>
          <w:sz w:val="28"/>
          <w:szCs w:val="28"/>
          <w:lang w:val="uk-UA"/>
        </w:rPr>
        <w:t>парати</w:t>
      </w:r>
      <w:r w:rsidRPr="00C37163">
        <w:rPr>
          <w:rFonts w:ascii="Times New Roman" w:hAnsi="Times New Roman"/>
          <w:sz w:val="28"/>
          <w:szCs w:val="28"/>
          <w:lang w:val="uk-UA"/>
        </w:rPr>
        <w:t xml:space="preserve">, можуть негативно </w:t>
      </w:r>
      <w:r w:rsidR="00784B65" w:rsidRPr="00C37163">
        <w:rPr>
          <w:rFonts w:ascii="Times New Roman" w:hAnsi="Times New Roman"/>
          <w:sz w:val="28"/>
          <w:szCs w:val="28"/>
          <w:lang w:val="uk-UA"/>
        </w:rPr>
        <w:t>впливати на здоров'я пародонту.</w:t>
      </w:r>
    </w:p>
    <w:p w14:paraId="34D97B75" w14:textId="744D33B2" w:rsidR="00CA71FA" w:rsidRPr="00C37163" w:rsidRDefault="00784B65" w:rsidP="00344D21">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На сьогоднішній </w:t>
      </w:r>
      <w:r w:rsidR="00ED24A3">
        <w:rPr>
          <w:rFonts w:ascii="Times New Roman" w:hAnsi="Times New Roman"/>
          <w:sz w:val="28"/>
          <w:szCs w:val="28"/>
          <w:lang w:val="uk-UA"/>
        </w:rPr>
        <w:t xml:space="preserve">день </w:t>
      </w:r>
      <w:r w:rsidRPr="00C37163">
        <w:rPr>
          <w:rFonts w:ascii="Times New Roman" w:hAnsi="Times New Roman"/>
          <w:sz w:val="28"/>
          <w:szCs w:val="28"/>
          <w:lang w:val="uk-UA"/>
        </w:rPr>
        <w:t xml:space="preserve">значну увагу приділяють питанням імунних порушень у патогенезі захворювань пародонту. Імунологічні зміни при гінгівіті характеризуються порушенням </w:t>
      </w:r>
      <w:r w:rsidR="003655BA" w:rsidRPr="00C37163">
        <w:rPr>
          <w:rFonts w:ascii="Times New Roman" w:hAnsi="Times New Roman"/>
          <w:sz w:val="28"/>
          <w:szCs w:val="28"/>
          <w:lang w:val="uk-UA"/>
        </w:rPr>
        <w:t xml:space="preserve">неспецифічної резистентності організму, пригніченням імунної відповіді, а також змінами місцевого, а саме, мукозального імунітету з недостатністю клітин, що мають антигенні властивості. Необхідно відмітити, що перераховані показники гомеостазу можуть бути використані для оцінювання якості лікувально-профілактичних заходів у комплексному лікування хворих на гінгівіт, а також </w:t>
      </w:r>
      <w:r w:rsidR="00ED24A3">
        <w:rPr>
          <w:rFonts w:ascii="Times New Roman" w:hAnsi="Times New Roman"/>
          <w:sz w:val="28"/>
          <w:szCs w:val="28"/>
          <w:lang w:val="uk-UA"/>
        </w:rPr>
        <w:t xml:space="preserve">можуть </w:t>
      </w:r>
      <w:r w:rsidR="003655BA" w:rsidRPr="00C37163">
        <w:rPr>
          <w:rFonts w:ascii="Times New Roman" w:hAnsi="Times New Roman"/>
          <w:sz w:val="28"/>
          <w:szCs w:val="28"/>
          <w:lang w:val="uk-UA"/>
        </w:rPr>
        <w:t>використовуватися для прогнозу перебігу даного захворювання</w:t>
      </w:r>
      <w:r w:rsidR="00CA71FA" w:rsidRPr="00C37163">
        <w:rPr>
          <w:rFonts w:ascii="Times New Roman" w:hAnsi="Times New Roman"/>
          <w:sz w:val="28"/>
          <w:szCs w:val="28"/>
          <w:lang w:val="uk-UA"/>
        </w:rPr>
        <w:t xml:space="preserve"> [</w:t>
      </w:r>
      <w:r w:rsidR="008557D8">
        <w:rPr>
          <w:rFonts w:ascii="Times New Roman" w:hAnsi="Times New Roman"/>
          <w:sz w:val="28"/>
          <w:szCs w:val="28"/>
          <w:lang w:val="uk-UA"/>
        </w:rPr>
        <w:t>116-117</w:t>
      </w:r>
      <w:r w:rsidR="00CA71FA" w:rsidRPr="00C37163">
        <w:rPr>
          <w:rFonts w:ascii="Times New Roman" w:hAnsi="Times New Roman"/>
          <w:sz w:val="28"/>
          <w:szCs w:val="28"/>
          <w:lang w:val="uk-UA"/>
        </w:rPr>
        <w:t>]</w:t>
      </w:r>
      <w:r w:rsidR="003655BA" w:rsidRPr="00C37163">
        <w:rPr>
          <w:rFonts w:ascii="Times New Roman" w:hAnsi="Times New Roman"/>
          <w:sz w:val="28"/>
          <w:szCs w:val="28"/>
          <w:lang w:val="uk-UA"/>
        </w:rPr>
        <w:t xml:space="preserve">. Для здійснення адекватної діагностики </w:t>
      </w:r>
      <w:r w:rsidR="003655BA" w:rsidRPr="00C37163">
        <w:rPr>
          <w:rFonts w:ascii="Times New Roman" w:hAnsi="Times New Roman"/>
          <w:sz w:val="28"/>
          <w:szCs w:val="28"/>
          <w:lang w:val="uk-UA"/>
        </w:rPr>
        <w:lastRenderedPageBreak/>
        <w:t>пацієнетів з хронічним гінгівітом на сьогоднішній день недостатньо лише клінічного обстеження; важливим також є комплексне біохімічне та імунологічне обстеження для об’єктивізації даних. Все більшої</w:t>
      </w:r>
      <w:r w:rsidR="00344D21">
        <w:rPr>
          <w:rFonts w:ascii="Times New Roman" w:hAnsi="Times New Roman"/>
          <w:sz w:val="28"/>
          <w:szCs w:val="28"/>
          <w:lang w:val="uk-UA"/>
        </w:rPr>
        <w:t xml:space="preserve"> </w:t>
      </w:r>
      <w:r w:rsidR="003655BA" w:rsidRPr="00C37163">
        <w:rPr>
          <w:rFonts w:ascii="Times New Roman" w:hAnsi="Times New Roman"/>
          <w:sz w:val="28"/>
          <w:szCs w:val="28"/>
          <w:lang w:val="uk-UA"/>
        </w:rPr>
        <w:t>значущості набуває випер</w:t>
      </w:r>
      <w:r w:rsidR="00ED24A3">
        <w:rPr>
          <w:rFonts w:ascii="Times New Roman" w:hAnsi="Times New Roman"/>
          <w:sz w:val="28"/>
          <w:szCs w:val="28"/>
          <w:lang w:val="uk-UA"/>
        </w:rPr>
        <w:t>еджувальна тактика при лікуванні</w:t>
      </w:r>
      <w:r w:rsidR="003655BA" w:rsidRPr="00C37163">
        <w:rPr>
          <w:rFonts w:ascii="Times New Roman" w:hAnsi="Times New Roman"/>
          <w:sz w:val="28"/>
          <w:szCs w:val="28"/>
          <w:lang w:val="uk-UA"/>
        </w:rPr>
        <w:t xml:space="preserve"> пацієнтів з захворюван</w:t>
      </w:r>
      <w:r w:rsidR="00CA71FA" w:rsidRPr="00C37163">
        <w:rPr>
          <w:rFonts w:ascii="Times New Roman" w:hAnsi="Times New Roman"/>
          <w:sz w:val="28"/>
          <w:szCs w:val="28"/>
          <w:lang w:val="uk-UA"/>
        </w:rPr>
        <w:t>нями пародонту, особливо</w:t>
      </w:r>
      <w:r w:rsidR="00ED24A3">
        <w:rPr>
          <w:rFonts w:ascii="Times New Roman" w:hAnsi="Times New Roman"/>
          <w:sz w:val="28"/>
          <w:szCs w:val="28"/>
          <w:lang w:val="uk-UA"/>
        </w:rPr>
        <w:t>,</w:t>
      </w:r>
      <w:r w:rsidR="00CA71FA" w:rsidRPr="00C37163">
        <w:rPr>
          <w:rFonts w:ascii="Times New Roman" w:hAnsi="Times New Roman"/>
          <w:sz w:val="28"/>
          <w:szCs w:val="28"/>
          <w:lang w:val="uk-UA"/>
        </w:rPr>
        <w:t xml:space="preserve"> якщо гінгівіт протікає на фоні системних порушень. Своєчасне виявлення послаблення імунних ланок у патогенезі захворювань пародонту дає змогу до відповідної корекції імунного статусу на етапі лікування або до проведення ефективних профілактичних заходів.</w:t>
      </w:r>
    </w:p>
    <w:p w14:paraId="367EF474" w14:textId="353621EC" w:rsidR="00784B65" w:rsidRPr="00C37163" w:rsidRDefault="00CA71FA" w:rsidP="00784B65">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Якщо розглядати особливості імунної відповіді організму, то очевидною є пріорітетна роль антитіл у формуванні адекватної відповіді. Одним з найбільш показових показників як місцевого, так і загального імунітету, є рівень секреторного імуноглобуліну А </w:t>
      </w:r>
      <w:r w:rsidRPr="00C37163">
        <w:rPr>
          <w:rFonts w:ascii="Times New Roman" w:hAnsi="Times New Roman"/>
          <w:sz w:val="28"/>
          <w:szCs w:val="28"/>
          <w:lang w:val="ru-RU"/>
        </w:rPr>
        <w:t>[</w:t>
      </w:r>
      <w:r w:rsidR="008557D8">
        <w:rPr>
          <w:rFonts w:ascii="Times New Roman" w:hAnsi="Times New Roman"/>
          <w:sz w:val="28"/>
          <w:szCs w:val="28"/>
          <w:lang w:val="ru-RU"/>
        </w:rPr>
        <w:t>118-122</w:t>
      </w:r>
      <w:r w:rsidR="00ED24A3">
        <w:rPr>
          <w:rFonts w:ascii="Times New Roman" w:hAnsi="Times New Roman"/>
          <w:sz w:val="28"/>
          <w:szCs w:val="28"/>
          <w:lang w:val="uk-UA"/>
        </w:rPr>
        <w:t>]. Механі</w:t>
      </w:r>
      <w:r w:rsidRPr="00C37163">
        <w:rPr>
          <w:rFonts w:ascii="Times New Roman" w:hAnsi="Times New Roman"/>
          <w:sz w:val="28"/>
          <w:szCs w:val="28"/>
          <w:lang w:val="uk-UA"/>
        </w:rPr>
        <w:t>зм захисної дії даного імуноглобуліну полягає у його активації комплементу, який призводить до лізису мікроорганізмів, а також попереджає адгезію алергенів, токсинів та бактерій до тканин порожнини рота, чим перешкоджає бактеріальній колонізації, а отже й розвитку захворювань пародонту [</w:t>
      </w:r>
      <w:r w:rsidR="008557D8">
        <w:rPr>
          <w:rFonts w:ascii="Times New Roman" w:hAnsi="Times New Roman"/>
          <w:sz w:val="28"/>
          <w:szCs w:val="28"/>
          <w:lang w:val="uk-UA"/>
        </w:rPr>
        <w:t>123-126</w:t>
      </w:r>
      <w:r w:rsidRPr="00C37163">
        <w:rPr>
          <w:rFonts w:ascii="Times New Roman" w:hAnsi="Times New Roman"/>
          <w:sz w:val="28"/>
          <w:szCs w:val="28"/>
          <w:lang w:val="uk-UA"/>
        </w:rPr>
        <w:t>]. За даними дослідників, зниження вмісту секреторного імуноглобуліну А призводило до активізації патологічного процесу.</w:t>
      </w:r>
      <w:r w:rsidR="003655BA" w:rsidRPr="00C37163">
        <w:rPr>
          <w:rFonts w:ascii="Times New Roman" w:hAnsi="Times New Roman"/>
          <w:sz w:val="28"/>
          <w:szCs w:val="28"/>
          <w:lang w:val="uk-UA"/>
        </w:rPr>
        <w:t xml:space="preserve"> </w:t>
      </w:r>
    </w:p>
    <w:p w14:paraId="2604C748" w14:textId="495D8179" w:rsidR="00EB54DF" w:rsidRPr="00C37163" w:rsidRDefault="00714D74"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Гуморальна ланка мукозального імунітету представлена бактерицидними речовинами, лізоцимом, інгібіторами протеїназ, комплементом. Захисна функція лізоциму пояснюється не тільки його антибактеріальними властивостями, але й його учас</w:t>
      </w:r>
      <w:r w:rsidR="00ED24A3">
        <w:rPr>
          <w:rFonts w:ascii="Times New Roman" w:hAnsi="Times New Roman"/>
          <w:sz w:val="28"/>
          <w:szCs w:val="28"/>
          <w:lang w:val="uk-UA"/>
        </w:rPr>
        <w:t>тю у імунній регуляції, процесах</w:t>
      </w:r>
      <w:r w:rsidRPr="00C37163">
        <w:rPr>
          <w:rFonts w:ascii="Times New Roman" w:hAnsi="Times New Roman"/>
          <w:sz w:val="28"/>
          <w:szCs w:val="28"/>
          <w:lang w:val="uk-UA"/>
        </w:rPr>
        <w:t xml:space="preserve"> регенерації та підтримки гомеостазу ротової порожн</w:t>
      </w:r>
      <w:r w:rsidR="00ED24A3">
        <w:rPr>
          <w:rFonts w:ascii="Times New Roman" w:hAnsi="Times New Roman"/>
          <w:sz w:val="28"/>
          <w:szCs w:val="28"/>
          <w:lang w:val="uk-UA"/>
        </w:rPr>
        <w:t>ини. Велика кількість публікацій</w:t>
      </w:r>
      <w:r w:rsidRPr="00C37163">
        <w:rPr>
          <w:rFonts w:ascii="Times New Roman" w:hAnsi="Times New Roman"/>
          <w:sz w:val="28"/>
          <w:szCs w:val="28"/>
          <w:lang w:val="uk-UA"/>
        </w:rPr>
        <w:t xml:space="preserve"> присвячена ролі лізоциму у захисті здоров’я ротової порожнини, проте дослідження, присвячені дослідженню зміни рівню лізоциму у діте</w:t>
      </w:r>
      <w:r w:rsidR="00ED24A3">
        <w:rPr>
          <w:rFonts w:ascii="Times New Roman" w:hAnsi="Times New Roman"/>
          <w:sz w:val="28"/>
          <w:szCs w:val="28"/>
          <w:lang w:val="uk-UA"/>
        </w:rPr>
        <w:t xml:space="preserve">й з атопічними захворюваннями, </w:t>
      </w:r>
      <w:r w:rsidRPr="00C37163">
        <w:rPr>
          <w:rFonts w:ascii="Times New Roman" w:hAnsi="Times New Roman"/>
          <w:sz w:val="28"/>
          <w:szCs w:val="28"/>
          <w:lang w:val="uk-UA"/>
        </w:rPr>
        <w:t xml:space="preserve">майже відсутні </w:t>
      </w:r>
      <w:r w:rsidR="00807DD1">
        <w:rPr>
          <w:rFonts w:ascii="Times New Roman" w:hAnsi="Times New Roman"/>
          <w:noProof/>
          <w:sz w:val="28"/>
          <w:szCs w:val="28"/>
          <w:lang w:val="uk-UA"/>
        </w:rPr>
        <w:t>[127-130</w:t>
      </w:r>
      <w:r w:rsidR="00C95B8F"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762F3A50" w14:textId="446BCBC9" w:rsidR="00991089" w:rsidRPr="00C37163" w:rsidRDefault="00EB54D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Багатьма дослідниками встановлено, що при поєднаному перебігу системних захворювань та запальних захворювань пародонту зміни відбуваються не тільки на рівні секреторного імуноглобуліну А. У дітей з даним фенотипом відбувається запуск імунних механізмів, які призводять до змін у </w:t>
      </w:r>
      <w:r w:rsidRPr="00C37163">
        <w:rPr>
          <w:rFonts w:ascii="Times New Roman" w:hAnsi="Times New Roman"/>
          <w:sz w:val="28"/>
          <w:szCs w:val="28"/>
          <w:lang w:val="uk-UA"/>
        </w:rPr>
        <w:lastRenderedPageBreak/>
        <w:t>складі імуноглобулінів та цитокінів у слині. Зміни даних параметрів варіабельні та залежать не тільки від тяжкості патологічного процесу, але також є відображенням процесів місцевого запалення та активації імунних механізмів захисту, що важливо для доклінічного визначення</w:t>
      </w:r>
      <w:r w:rsidR="00807DD1">
        <w:rPr>
          <w:rFonts w:ascii="Times New Roman" w:hAnsi="Times New Roman"/>
          <w:sz w:val="28"/>
          <w:szCs w:val="28"/>
          <w:lang w:val="uk-UA"/>
        </w:rPr>
        <w:t xml:space="preserve"> запалення у тканинах пародонту</w:t>
      </w:r>
      <w:r w:rsidR="00991089" w:rsidRPr="00C37163">
        <w:rPr>
          <w:rFonts w:ascii="Times New Roman" w:hAnsi="Times New Roman"/>
          <w:sz w:val="28"/>
          <w:szCs w:val="28"/>
          <w:lang w:val="uk-UA"/>
        </w:rPr>
        <w:t xml:space="preserve"> </w:t>
      </w:r>
      <w:r w:rsidR="00807DD1">
        <w:rPr>
          <w:rFonts w:ascii="Times New Roman" w:hAnsi="Times New Roman"/>
          <w:noProof/>
          <w:sz w:val="28"/>
          <w:szCs w:val="28"/>
          <w:lang w:val="uk-UA"/>
        </w:rPr>
        <w:t>[131-132</w:t>
      </w:r>
      <w:r w:rsidR="00807DD1" w:rsidRPr="00C37163">
        <w:rPr>
          <w:rFonts w:ascii="Times New Roman" w:hAnsi="Times New Roman"/>
          <w:noProof/>
          <w:sz w:val="28"/>
          <w:szCs w:val="28"/>
          <w:lang w:val="uk-UA"/>
        </w:rPr>
        <w:t>]</w:t>
      </w:r>
      <w:r w:rsidRPr="00C37163">
        <w:rPr>
          <w:rFonts w:ascii="Times New Roman" w:hAnsi="Times New Roman"/>
          <w:sz w:val="28"/>
          <w:szCs w:val="28"/>
          <w:lang w:val="uk-UA"/>
        </w:rPr>
        <w:t xml:space="preserve">. </w:t>
      </w:r>
    </w:p>
    <w:p w14:paraId="6763A5A2" w14:textId="416EA290" w:rsidR="00714D74" w:rsidRPr="00C37163" w:rsidRDefault="00991089"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На активізацію імунологічних реакцій вказують також зміни інших імуноглобулінів – імуноглобуліну А, G, M. При цьому об’єм досліджень, які дозволяють достовірно судити про кореляцію змін рівнів імуноглобулінів у ротовій рідині та ступінь запалення тканин пародонту, недостатня. Серед науковців визнано, що імуноглобуліни є показниками функціонального стану В-лімфоцитів. Дані авторів відносно співвідношення рівнів імуноглобулінів А та </w:t>
      </w:r>
      <w:r w:rsidRPr="00C37163">
        <w:rPr>
          <w:rFonts w:ascii="Times New Roman" w:hAnsi="Times New Roman"/>
          <w:sz w:val="28"/>
          <w:szCs w:val="28"/>
        </w:rPr>
        <w:t>G</w:t>
      </w:r>
      <w:r w:rsidRPr="00C37163">
        <w:rPr>
          <w:rFonts w:ascii="Times New Roman" w:hAnsi="Times New Roman"/>
          <w:sz w:val="28"/>
          <w:szCs w:val="28"/>
          <w:lang w:val="uk-UA"/>
        </w:rPr>
        <w:t xml:space="preserve"> при запальних захворюваннях пародонту дещо суперечливі. Деякі з них говорять про підвищений вміст імуноглобуліну А та нормальний вміст імуноглобуліну </w:t>
      </w:r>
      <w:r w:rsidRPr="00C37163">
        <w:rPr>
          <w:rFonts w:ascii="Times New Roman" w:hAnsi="Times New Roman"/>
          <w:sz w:val="28"/>
          <w:szCs w:val="28"/>
        </w:rPr>
        <w:t>G</w:t>
      </w:r>
      <w:r w:rsidRPr="00C37163">
        <w:rPr>
          <w:rFonts w:ascii="Times New Roman" w:hAnsi="Times New Roman"/>
          <w:sz w:val="28"/>
          <w:szCs w:val="28"/>
          <w:lang w:val="uk-UA"/>
        </w:rPr>
        <w:t xml:space="preserve"> у пацієнтів з хронічним гінгівітом, інші </w:t>
      </w:r>
      <w:r w:rsidR="0084066C" w:rsidRPr="00C37163">
        <w:rPr>
          <w:rFonts w:ascii="Times New Roman" w:hAnsi="Times New Roman"/>
          <w:sz w:val="28"/>
          <w:szCs w:val="28"/>
          <w:lang w:val="uk-UA"/>
        </w:rPr>
        <w:t>гов</w:t>
      </w:r>
      <w:r w:rsidR="00663632">
        <w:rPr>
          <w:rFonts w:ascii="Times New Roman" w:hAnsi="Times New Roman"/>
          <w:sz w:val="28"/>
          <w:szCs w:val="28"/>
          <w:lang w:val="uk-UA"/>
        </w:rPr>
        <w:t>о</w:t>
      </w:r>
      <w:r w:rsidR="0084066C" w:rsidRPr="00C37163">
        <w:rPr>
          <w:rFonts w:ascii="Times New Roman" w:hAnsi="Times New Roman"/>
          <w:sz w:val="28"/>
          <w:szCs w:val="28"/>
          <w:lang w:val="uk-UA"/>
        </w:rPr>
        <w:t xml:space="preserve">рять про підвищення обох класів імуноглобулінів </w:t>
      </w:r>
      <w:r w:rsidR="00807DD1">
        <w:rPr>
          <w:rFonts w:ascii="Times New Roman" w:hAnsi="Times New Roman"/>
          <w:noProof/>
          <w:sz w:val="28"/>
          <w:szCs w:val="28"/>
          <w:lang w:val="uk-UA"/>
        </w:rPr>
        <w:t>[133</w:t>
      </w:r>
      <w:r w:rsidR="00807DD1" w:rsidRPr="00C37163">
        <w:rPr>
          <w:rFonts w:ascii="Times New Roman" w:hAnsi="Times New Roman"/>
          <w:noProof/>
          <w:sz w:val="28"/>
          <w:szCs w:val="28"/>
          <w:lang w:val="uk-UA"/>
        </w:rPr>
        <w:t>]</w:t>
      </w:r>
      <w:r w:rsidR="0084066C" w:rsidRPr="00C37163">
        <w:rPr>
          <w:rFonts w:ascii="Times New Roman" w:hAnsi="Times New Roman"/>
          <w:sz w:val="28"/>
          <w:szCs w:val="28"/>
          <w:lang w:val="uk-UA"/>
        </w:rPr>
        <w:t xml:space="preserve">. </w:t>
      </w:r>
      <w:r w:rsidR="00EB54DF" w:rsidRPr="00C37163">
        <w:rPr>
          <w:rFonts w:ascii="Times New Roman" w:hAnsi="Times New Roman"/>
          <w:sz w:val="28"/>
          <w:szCs w:val="28"/>
          <w:lang w:val="uk-UA"/>
        </w:rPr>
        <w:t xml:space="preserve">  </w:t>
      </w:r>
      <w:r w:rsidR="00714D74" w:rsidRPr="00C37163">
        <w:rPr>
          <w:rFonts w:ascii="Times New Roman" w:hAnsi="Times New Roman"/>
          <w:sz w:val="28"/>
          <w:szCs w:val="28"/>
          <w:lang w:val="uk-UA"/>
        </w:rPr>
        <w:t xml:space="preserve"> </w:t>
      </w:r>
    </w:p>
    <w:p w14:paraId="27AFC707" w14:textId="2792AA84"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 xml:space="preserve">Існує точка зору про провідну роль місцевих факторів у виникненні захворювань пародонта, а саме пародонтопатогенної флори мікробної зубної бляшки, різних видів порушень артикуляційної рівноваги, змін </w:t>
      </w:r>
      <w:r w:rsidR="00575745" w:rsidRPr="00C37163">
        <w:rPr>
          <w:rFonts w:ascii="Times New Roman" w:eastAsia="Times New Roman" w:hAnsi="Times New Roman" w:cs="Times New Roman"/>
          <w:sz w:val="28"/>
          <w:szCs w:val="24"/>
          <w:lang w:val="uk-UA" w:eastAsia="ru-RU"/>
        </w:rPr>
        <w:t>с</w:t>
      </w:r>
      <w:r w:rsidR="00F90E8F">
        <w:rPr>
          <w:rFonts w:ascii="Times New Roman" w:eastAsia="Times New Roman" w:hAnsi="Times New Roman" w:cs="Times New Roman"/>
          <w:sz w:val="28"/>
          <w:szCs w:val="24"/>
          <w:lang w:val="uk-UA" w:eastAsia="ru-RU"/>
        </w:rPr>
        <w:t>истеми місцевого імунітету</w:t>
      </w:r>
      <w:r w:rsidRPr="00C37163">
        <w:rPr>
          <w:rFonts w:ascii="Times New Roman" w:eastAsia="Times New Roman" w:hAnsi="Times New Roman" w:cs="Times New Roman"/>
          <w:sz w:val="28"/>
          <w:szCs w:val="24"/>
          <w:lang w:val="uk-UA" w:eastAsia="ru-RU"/>
        </w:rPr>
        <w:t>. Вважають, що причиною або фоном для виникнення локалізованих уражень пародонта можуть бути структурно-функціональні особливості тканин пародонта та організму в цілому, що мають генетичне походження [</w:t>
      </w:r>
      <w:r w:rsidR="00F90E8F">
        <w:rPr>
          <w:rFonts w:ascii="Times New Roman" w:eastAsia="Times New Roman" w:hAnsi="Times New Roman" w:cs="Times New Roman"/>
          <w:sz w:val="28"/>
          <w:szCs w:val="24"/>
          <w:lang w:val="ru-RU" w:eastAsia="ru-RU"/>
        </w:rPr>
        <w:t>134-139</w:t>
      </w:r>
      <w:r w:rsidRPr="00C37163">
        <w:rPr>
          <w:rFonts w:ascii="Times New Roman" w:eastAsia="Times New Roman" w:hAnsi="Times New Roman" w:cs="Times New Roman"/>
          <w:sz w:val="28"/>
          <w:szCs w:val="24"/>
          <w:lang w:val="uk-UA" w:eastAsia="ru-RU"/>
        </w:rPr>
        <w:t>].</w:t>
      </w:r>
    </w:p>
    <w:p w14:paraId="6310D2E7" w14:textId="538B8BF4" w:rsidR="003F1662" w:rsidRPr="00C37163" w:rsidRDefault="005E07EA" w:rsidP="005E07EA">
      <w:pPr>
        <w:spacing w:after="0" w:line="360" w:lineRule="auto"/>
        <w:ind w:firstLine="709"/>
        <w:jc w:val="both"/>
        <w:rPr>
          <w:rFonts w:ascii="Times New Roman" w:eastAsia="Times New Roman" w:hAnsi="Times New Roman" w:cs="Times New Roman"/>
          <w:sz w:val="28"/>
          <w:szCs w:val="28"/>
          <w:lang w:val="uk-UA" w:eastAsia="ru-RU"/>
        </w:rPr>
      </w:pPr>
      <w:r w:rsidRPr="00C37163">
        <w:rPr>
          <w:rFonts w:ascii="Times New Roman" w:eastAsia="Times New Roman" w:hAnsi="Times New Roman" w:cs="Times New Roman"/>
          <w:sz w:val="28"/>
          <w:szCs w:val="28"/>
          <w:lang w:val="uk-UA" w:eastAsia="ru-RU"/>
        </w:rPr>
        <w:t>У ряді досліджень автори стверджують, що патологічний процес у пародонті є невід’ємною частиною фонового супутнього захворювання, деякі з них вважають провідною причиною саме загал</w:t>
      </w:r>
      <w:r w:rsidR="00575745" w:rsidRPr="00C37163">
        <w:rPr>
          <w:rFonts w:ascii="Times New Roman" w:eastAsia="Times New Roman" w:hAnsi="Times New Roman" w:cs="Times New Roman"/>
          <w:sz w:val="28"/>
          <w:szCs w:val="28"/>
          <w:lang w:val="uk-UA" w:eastAsia="ru-RU"/>
        </w:rPr>
        <w:t>ь</w:t>
      </w:r>
      <w:r w:rsidR="00F90E8F">
        <w:rPr>
          <w:rFonts w:ascii="Times New Roman" w:eastAsia="Times New Roman" w:hAnsi="Times New Roman" w:cs="Times New Roman"/>
          <w:sz w:val="28"/>
          <w:szCs w:val="28"/>
          <w:lang w:val="uk-UA" w:eastAsia="ru-RU"/>
        </w:rPr>
        <w:t>носоматичні захворювання [93, 139, 140</w:t>
      </w:r>
      <w:r w:rsidRPr="00C37163">
        <w:rPr>
          <w:rFonts w:ascii="Times New Roman" w:eastAsia="Times New Roman" w:hAnsi="Times New Roman" w:cs="Times New Roman"/>
          <w:sz w:val="28"/>
          <w:szCs w:val="28"/>
          <w:lang w:val="uk-UA" w:eastAsia="ru-RU"/>
        </w:rPr>
        <w:t>].</w:t>
      </w:r>
    </w:p>
    <w:p w14:paraId="7CE57F05" w14:textId="3F15A3CC"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 xml:space="preserve">Накопичені значні відомості щодо ролі того чи іншого вітаміну в патогенезі захворювань пародонта. Встановлена значна роль вітамінів С, В, А, Е. Зокрема, деякі дослідження свідчать про участь аскорбінової кислоти в синтезі </w:t>
      </w:r>
      <w:r w:rsidRPr="00C37163">
        <w:rPr>
          <w:rFonts w:ascii="Times New Roman" w:eastAsia="Times New Roman" w:hAnsi="Times New Roman" w:cs="Times New Roman"/>
          <w:sz w:val="28"/>
          <w:szCs w:val="24"/>
          <w:lang w:val="uk-UA" w:eastAsia="ru-RU"/>
        </w:rPr>
        <w:lastRenderedPageBreak/>
        <w:t>ряду глікозаміногліканів, що має безпосереднє відношення до патологічних змін сп</w:t>
      </w:r>
      <w:r w:rsidR="00F90E8F">
        <w:rPr>
          <w:rFonts w:ascii="Times New Roman" w:eastAsia="Times New Roman" w:hAnsi="Times New Roman" w:cs="Times New Roman"/>
          <w:sz w:val="28"/>
          <w:szCs w:val="24"/>
          <w:lang w:val="uk-UA" w:eastAsia="ru-RU"/>
        </w:rPr>
        <w:t>олучної тканини пародонта [141-153</w:t>
      </w:r>
      <w:r w:rsidRPr="00C37163">
        <w:rPr>
          <w:rFonts w:ascii="Times New Roman" w:eastAsia="Times New Roman" w:hAnsi="Times New Roman" w:cs="Times New Roman"/>
          <w:sz w:val="28"/>
          <w:szCs w:val="24"/>
          <w:lang w:val="uk-UA" w:eastAsia="ru-RU"/>
        </w:rPr>
        <w:t>].</w:t>
      </w:r>
    </w:p>
    <w:p w14:paraId="0C8E94EA" w14:textId="0CD3F488" w:rsidR="0056742E" w:rsidRDefault="005E07EA" w:rsidP="00755DED">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Аналіз змін параметрів імунологічної системи</w:t>
      </w:r>
      <w:r w:rsidR="00663632">
        <w:rPr>
          <w:rFonts w:ascii="Times New Roman" w:eastAsia="Times New Roman" w:hAnsi="Times New Roman" w:cs="Times New Roman"/>
          <w:sz w:val="28"/>
          <w:szCs w:val="24"/>
          <w:lang w:val="uk-UA" w:eastAsia="ru-RU"/>
        </w:rPr>
        <w:t>, дослідженої авторами,</w:t>
      </w:r>
      <w:r w:rsidRPr="00C37163">
        <w:rPr>
          <w:rFonts w:ascii="Times New Roman" w:eastAsia="Times New Roman" w:hAnsi="Times New Roman" w:cs="Times New Roman"/>
          <w:sz w:val="28"/>
          <w:szCs w:val="24"/>
          <w:lang w:val="uk-UA" w:eastAsia="ru-RU"/>
        </w:rPr>
        <w:t xml:space="preserve"> показав, що у хворих на генералізований пародонтит виявлені значно більші рівні </w:t>
      </w:r>
      <w:r w:rsidRPr="00C37163">
        <w:rPr>
          <w:rFonts w:ascii="Times New Roman" w:eastAsia="Times New Roman" w:hAnsi="Times New Roman" w:cs="Times New Roman"/>
          <w:sz w:val="28"/>
          <w:szCs w:val="24"/>
          <w:lang w:eastAsia="ru-RU"/>
        </w:rPr>
        <w:t>IgG</w:t>
      </w:r>
      <w:r w:rsidRPr="00C37163">
        <w:rPr>
          <w:rFonts w:ascii="Times New Roman" w:eastAsia="Times New Roman" w:hAnsi="Times New Roman" w:cs="Times New Roman"/>
          <w:sz w:val="28"/>
          <w:szCs w:val="24"/>
          <w:lang w:val="uk-UA" w:eastAsia="ru-RU"/>
        </w:rPr>
        <w:t xml:space="preserve">, </w:t>
      </w:r>
      <w:r w:rsidRPr="00C37163">
        <w:rPr>
          <w:rFonts w:ascii="Times New Roman" w:eastAsia="Times New Roman" w:hAnsi="Times New Roman" w:cs="Times New Roman"/>
          <w:sz w:val="28"/>
          <w:szCs w:val="24"/>
          <w:lang w:val="ru-RU" w:eastAsia="ru-RU"/>
        </w:rPr>
        <w:t>IgM</w:t>
      </w:r>
      <w:r w:rsidRPr="00C37163">
        <w:rPr>
          <w:rFonts w:ascii="Times New Roman" w:eastAsia="Times New Roman" w:hAnsi="Times New Roman" w:cs="Times New Roman"/>
          <w:sz w:val="28"/>
          <w:szCs w:val="24"/>
          <w:lang w:val="uk-UA" w:eastAsia="ru-RU"/>
        </w:rPr>
        <w:t xml:space="preserve">, </w:t>
      </w:r>
      <w:r w:rsidRPr="00C37163">
        <w:rPr>
          <w:rFonts w:ascii="Times New Roman" w:eastAsia="Times New Roman" w:hAnsi="Times New Roman" w:cs="Times New Roman"/>
          <w:sz w:val="28"/>
          <w:szCs w:val="24"/>
          <w:lang w:val="ru-RU" w:eastAsia="ru-RU"/>
        </w:rPr>
        <w:t>IgD</w:t>
      </w:r>
      <w:r w:rsidRPr="00C37163">
        <w:rPr>
          <w:rFonts w:ascii="Times New Roman" w:eastAsia="Times New Roman" w:hAnsi="Times New Roman" w:cs="Times New Roman"/>
          <w:sz w:val="28"/>
          <w:szCs w:val="24"/>
          <w:lang w:val="uk-UA" w:eastAsia="ru-RU"/>
        </w:rPr>
        <w:t xml:space="preserve"> та імунних комплексів порівняно зі здоровими особами. Як суттєвий момент зв’язку імунопатології та захворювань пародонта визнаний розвиток імунних реакцій між антитілами ясен т</w:t>
      </w:r>
      <w:r w:rsidR="00575745" w:rsidRPr="00C37163">
        <w:rPr>
          <w:rFonts w:ascii="Times New Roman" w:eastAsia="Times New Roman" w:hAnsi="Times New Roman" w:cs="Times New Roman"/>
          <w:sz w:val="28"/>
          <w:szCs w:val="24"/>
          <w:lang w:val="uk-UA" w:eastAsia="ru-RU"/>
        </w:rPr>
        <w:t>а від</w:t>
      </w:r>
      <w:r w:rsidR="00C9043A">
        <w:rPr>
          <w:rFonts w:ascii="Times New Roman" w:eastAsia="Times New Roman" w:hAnsi="Times New Roman" w:cs="Times New Roman"/>
          <w:sz w:val="28"/>
          <w:szCs w:val="24"/>
          <w:lang w:val="uk-UA" w:eastAsia="ru-RU"/>
        </w:rPr>
        <w:t>повідними антигенами [</w:t>
      </w:r>
      <w:r w:rsidR="00C9043A" w:rsidRPr="00C9043A">
        <w:rPr>
          <w:rFonts w:ascii="Times New Roman" w:eastAsia="Times New Roman" w:hAnsi="Times New Roman" w:cs="Times New Roman"/>
          <w:sz w:val="28"/>
          <w:szCs w:val="24"/>
          <w:lang w:val="uk-UA" w:eastAsia="ru-RU"/>
        </w:rPr>
        <w:t>133</w:t>
      </w:r>
      <w:r w:rsidR="00755DED">
        <w:rPr>
          <w:rFonts w:ascii="Times New Roman" w:eastAsia="Times New Roman" w:hAnsi="Times New Roman" w:cs="Times New Roman"/>
          <w:sz w:val="28"/>
          <w:szCs w:val="24"/>
          <w:lang w:val="uk-UA" w:eastAsia="ru-RU"/>
        </w:rPr>
        <w:t>].</w:t>
      </w:r>
    </w:p>
    <w:p w14:paraId="3AA53B5F" w14:textId="661223E3"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ru-RU" w:eastAsia="ru-RU"/>
        </w:rPr>
      </w:pPr>
      <w:r w:rsidRPr="00C37163">
        <w:rPr>
          <w:rFonts w:ascii="Times New Roman" w:eastAsia="Times New Roman" w:hAnsi="Times New Roman" w:cs="Times New Roman"/>
          <w:sz w:val="28"/>
          <w:szCs w:val="24"/>
          <w:lang w:val="uk-UA" w:eastAsia="ru-RU"/>
        </w:rPr>
        <w:t xml:space="preserve">Особливої уваги заслуговує факт наявності при генералізованому пародонтиті порушень усіх видів обміну: білкового, жирового, вуглеводного, мінерального. Це призводить до розвитку складних та численних уражень пародонта дистрофічного, запального та дистрофічно-запального характеру </w:t>
      </w:r>
      <w:r w:rsidRPr="00A816AD">
        <w:rPr>
          <w:rFonts w:ascii="Times New Roman" w:eastAsia="Times New Roman" w:hAnsi="Times New Roman" w:cs="Times New Roman"/>
          <w:sz w:val="28"/>
          <w:szCs w:val="24"/>
          <w:lang w:val="uk-UA" w:eastAsia="ru-RU"/>
        </w:rPr>
        <w:t>[</w:t>
      </w:r>
      <w:r w:rsidR="00A816AD" w:rsidRPr="00A816AD">
        <w:rPr>
          <w:rFonts w:ascii="Times New Roman" w:eastAsia="Times New Roman" w:hAnsi="Times New Roman" w:cs="Times New Roman"/>
          <w:sz w:val="28"/>
          <w:szCs w:val="24"/>
          <w:lang w:val="ru-RU" w:eastAsia="ru-RU"/>
        </w:rPr>
        <w:t>154-157</w:t>
      </w:r>
      <w:r w:rsidRPr="00A816AD">
        <w:rPr>
          <w:rFonts w:ascii="Times New Roman" w:eastAsia="Times New Roman" w:hAnsi="Times New Roman" w:cs="Times New Roman"/>
          <w:sz w:val="28"/>
          <w:szCs w:val="24"/>
          <w:lang w:val="uk-UA" w:eastAsia="ru-RU"/>
        </w:rPr>
        <w:t xml:space="preserve">]. </w:t>
      </w:r>
    </w:p>
    <w:p w14:paraId="3D43C5CC" w14:textId="1CBB6183" w:rsidR="00663632" w:rsidRDefault="00663632" w:rsidP="00663632">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w:t>
      </w:r>
      <w:r w:rsidRPr="00E51608">
        <w:rPr>
          <w:rFonts w:ascii="Times New Roman" w:eastAsia="Times New Roman" w:hAnsi="Times New Roman" w:cs="Times New Roman"/>
          <w:sz w:val="28"/>
          <w:szCs w:val="24"/>
          <w:lang w:val="uk-UA" w:eastAsia="ru-RU"/>
        </w:rPr>
        <w:t>ахворювання</w:t>
      </w:r>
      <w:r>
        <w:rPr>
          <w:rFonts w:ascii="Times New Roman" w:eastAsia="Times New Roman" w:hAnsi="Times New Roman" w:cs="Times New Roman"/>
          <w:sz w:val="28"/>
          <w:szCs w:val="24"/>
          <w:lang w:val="uk-UA" w:eastAsia="ru-RU"/>
        </w:rPr>
        <w:t xml:space="preserve"> пародонту</w:t>
      </w:r>
      <w:r w:rsidRPr="00E51608">
        <w:rPr>
          <w:rFonts w:ascii="Times New Roman" w:eastAsia="Times New Roman" w:hAnsi="Times New Roman" w:cs="Times New Roman"/>
          <w:sz w:val="28"/>
          <w:szCs w:val="24"/>
          <w:lang w:val="uk-UA" w:eastAsia="ru-RU"/>
        </w:rPr>
        <w:t>,</w:t>
      </w:r>
      <w:r w:rsidR="00ED24A3">
        <w:rPr>
          <w:rFonts w:ascii="Times New Roman" w:eastAsia="Times New Roman" w:hAnsi="Times New Roman" w:cs="Times New Roman"/>
          <w:sz w:val="28"/>
          <w:szCs w:val="24"/>
          <w:lang w:val="uk-UA" w:eastAsia="ru-RU"/>
        </w:rPr>
        <w:t xml:space="preserve"> одні</w:t>
      </w:r>
      <w:r>
        <w:rPr>
          <w:rFonts w:ascii="Times New Roman" w:eastAsia="Times New Roman" w:hAnsi="Times New Roman" w:cs="Times New Roman"/>
          <w:sz w:val="28"/>
          <w:szCs w:val="24"/>
          <w:lang w:val="uk-UA" w:eastAsia="ru-RU"/>
        </w:rPr>
        <w:t xml:space="preserve"> з найбільш поширених стоматологічних захворювань</w:t>
      </w:r>
      <w:r w:rsidRPr="00E51608">
        <w:rPr>
          <w:rFonts w:ascii="Times New Roman" w:eastAsia="Times New Roman" w:hAnsi="Times New Roman" w:cs="Times New Roman"/>
          <w:sz w:val="28"/>
          <w:szCs w:val="24"/>
          <w:lang w:val="uk-UA" w:eastAsia="ru-RU"/>
        </w:rPr>
        <w:t xml:space="preserve"> у всьому світі [1</w:t>
      </w:r>
      <w:r>
        <w:rPr>
          <w:rFonts w:ascii="Times New Roman" w:eastAsia="Times New Roman" w:hAnsi="Times New Roman" w:cs="Times New Roman"/>
          <w:sz w:val="28"/>
          <w:szCs w:val="24"/>
          <w:lang w:val="uk-UA" w:eastAsia="ru-RU"/>
        </w:rPr>
        <w:t>64</w:t>
      </w:r>
      <w:r w:rsidRPr="00E51608">
        <w:rPr>
          <w:rFonts w:ascii="Times New Roman" w:eastAsia="Times New Roman" w:hAnsi="Times New Roman" w:cs="Times New Roman"/>
          <w:sz w:val="28"/>
          <w:szCs w:val="24"/>
          <w:lang w:val="uk-UA" w:eastAsia="ru-RU"/>
        </w:rPr>
        <w:t>], переважно викликані грамнегативними, ан</w:t>
      </w:r>
      <w:r w:rsidR="00ED24A3">
        <w:rPr>
          <w:rFonts w:ascii="Times New Roman" w:eastAsia="Times New Roman" w:hAnsi="Times New Roman" w:cs="Times New Roman"/>
          <w:sz w:val="28"/>
          <w:szCs w:val="24"/>
          <w:lang w:val="uk-UA" w:eastAsia="ru-RU"/>
        </w:rPr>
        <w:t>а</w:t>
      </w:r>
      <w:r w:rsidRPr="00E51608">
        <w:rPr>
          <w:rFonts w:ascii="Times New Roman" w:eastAsia="Times New Roman" w:hAnsi="Times New Roman" w:cs="Times New Roman"/>
          <w:sz w:val="28"/>
          <w:szCs w:val="24"/>
          <w:lang w:val="uk-UA" w:eastAsia="ru-RU"/>
        </w:rPr>
        <w:t>еробними бактеріями, присутніми на поверхні зубного кореня як біоплівки. Запалена тканина пародонта виробляє значну кількість прозапальних цитокінів, в основному IL-1, IL-6, PGE2 та фактора некрозу пухлини alpha (TNF-α), ферментів активного</w:t>
      </w:r>
      <w:r>
        <w:rPr>
          <w:rFonts w:ascii="Times New Roman" w:eastAsia="Times New Roman" w:hAnsi="Times New Roman" w:cs="Times New Roman"/>
          <w:sz w:val="28"/>
          <w:szCs w:val="24"/>
          <w:lang w:val="uk-UA" w:eastAsia="ru-RU"/>
        </w:rPr>
        <w:t xml:space="preserve"> кисню, білків та маркерів окислювального</w:t>
      </w:r>
      <w:r w:rsidRPr="00E51608">
        <w:rPr>
          <w:rFonts w:ascii="Times New Roman" w:eastAsia="Times New Roman" w:hAnsi="Times New Roman" w:cs="Times New Roman"/>
          <w:sz w:val="28"/>
          <w:szCs w:val="24"/>
          <w:lang w:val="uk-UA" w:eastAsia="ru-RU"/>
        </w:rPr>
        <w:t xml:space="preserve"> стрес</w:t>
      </w:r>
      <w:r>
        <w:rPr>
          <w:rFonts w:ascii="Times New Roman" w:eastAsia="Times New Roman" w:hAnsi="Times New Roman" w:cs="Times New Roman"/>
          <w:sz w:val="28"/>
          <w:szCs w:val="24"/>
          <w:lang w:val="uk-UA" w:eastAsia="ru-RU"/>
        </w:rPr>
        <w:t>у</w:t>
      </w:r>
      <w:r w:rsidRPr="00E51608">
        <w:rPr>
          <w:rFonts w:ascii="Times New Roman" w:eastAsia="Times New Roman" w:hAnsi="Times New Roman" w:cs="Times New Roman"/>
          <w:sz w:val="28"/>
          <w:szCs w:val="24"/>
          <w:lang w:val="uk-UA" w:eastAsia="ru-RU"/>
        </w:rPr>
        <w:t xml:space="preserve"> і антиоксидант</w:t>
      </w:r>
      <w:r>
        <w:rPr>
          <w:rFonts w:ascii="Times New Roman" w:eastAsia="Times New Roman" w:hAnsi="Times New Roman" w:cs="Times New Roman"/>
          <w:sz w:val="28"/>
          <w:szCs w:val="24"/>
          <w:lang w:val="uk-UA" w:eastAsia="ru-RU"/>
        </w:rPr>
        <w:t>ів.</w:t>
      </w:r>
    </w:p>
    <w:p w14:paraId="10AC6BDC" w14:textId="1864C3D6" w:rsidR="00E51608" w:rsidRDefault="005E07EA" w:rsidP="00A816AD">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Велике значення у розвитку уражень пародонта мають зміни ліпідного обміну. При цьому переважна кількість авторів надає провідну роль процесам пер</w:t>
      </w:r>
      <w:r w:rsidR="00A816AD">
        <w:rPr>
          <w:rFonts w:ascii="Times New Roman" w:eastAsia="Times New Roman" w:hAnsi="Times New Roman" w:cs="Times New Roman"/>
          <w:sz w:val="28"/>
          <w:szCs w:val="24"/>
          <w:lang w:val="uk-UA" w:eastAsia="ru-RU"/>
        </w:rPr>
        <w:t>екисного окислення ліпідів (ПОЛ)</w:t>
      </w:r>
      <w:r w:rsidRPr="00C37163">
        <w:rPr>
          <w:rFonts w:ascii="Times New Roman" w:eastAsia="Times New Roman" w:hAnsi="Times New Roman" w:cs="Times New Roman"/>
          <w:sz w:val="28"/>
          <w:szCs w:val="24"/>
          <w:lang w:val="uk-UA" w:eastAsia="ru-RU"/>
        </w:rPr>
        <w:t xml:space="preserve"> – невід’ємній частині будь-якого запального та дистрофічного процесу. </w:t>
      </w:r>
      <w:r w:rsidR="00A816AD">
        <w:rPr>
          <w:rFonts w:ascii="Times New Roman" w:eastAsia="Times New Roman" w:hAnsi="Times New Roman" w:cs="Times New Roman"/>
          <w:sz w:val="28"/>
          <w:szCs w:val="24"/>
          <w:lang w:val="uk-UA" w:eastAsia="ru-RU"/>
        </w:rPr>
        <w:t>Цінним спостережнням є те, що</w:t>
      </w:r>
      <w:r w:rsidRPr="00C37163">
        <w:rPr>
          <w:rFonts w:ascii="Times New Roman" w:eastAsia="Times New Roman" w:hAnsi="Times New Roman" w:cs="Times New Roman"/>
          <w:sz w:val="28"/>
          <w:szCs w:val="24"/>
          <w:lang w:val="uk-UA" w:eastAsia="ru-RU"/>
        </w:rPr>
        <w:t xml:space="preserve"> активація перекисного окислення ліпідів наступає вже на стадії гіперемії, що може бути пов’язано з підвищенням концентрації радикалів кисню у тканинах. Стадія гіпоксії з даної точки зору характеризується такою ж активністю процесів ПОЛ. Це відбувається за рахунок руйнування великої кількості ліпідних субстратів та активної діяльності у вогнищі запалення фагоцитів. Вони, у свою чергу, </w:t>
      </w:r>
      <w:r w:rsidRPr="00C37163">
        <w:rPr>
          <w:rFonts w:ascii="Times New Roman" w:eastAsia="Times New Roman" w:hAnsi="Times New Roman" w:cs="Times New Roman"/>
          <w:sz w:val="28"/>
          <w:szCs w:val="24"/>
          <w:lang w:val="uk-UA" w:eastAsia="ru-RU"/>
        </w:rPr>
        <w:lastRenderedPageBreak/>
        <w:t xml:space="preserve">“викидають” у міжклітинний простір вільні радикали, які і мають прямий та непрямий вплив на структури осередку запалення та його </w:t>
      </w:r>
      <w:r w:rsidRPr="00A816AD">
        <w:rPr>
          <w:rFonts w:ascii="Times New Roman" w:eastAsia="Times New Roman" w:hAnsi="Times New Roman" w:cs="Times New Roman"/>
          <w:sz w:val="28"/>
          <w:szCs w:val="24"/>
          <w:lang w:val="uk-UA" w:eastAsia="ru-RU"/>
        </w:rPr>
        <w:t>функції [</w:t>
      </w:r>
      <w:r w:rsidR="00A816AD">
        <w:rPr>
          <w:rFonts w:ascii="Times New Roman" w:eastAsia="Times New Roman" w:hAnsi="Times New Roman" w:cs="Times New Roman"/>
          <w:sz w:val="28"/>
          <w:szCs w:val="24"/>
          <w:lang w:val="uk-UA" w:eastAsia="ru-RU"/>
        </w:rPr>
        <w:t>158-163</w:t>
      </w:r>
      <w:r w:rsidRPr="00A816AD">
        <w:rPr>
          <w:rFonts w:ascii="Times New Roman" w:eastAsia="Times New Roman" w:hAnsi="Times New Roman" w:cs="Times New Roman"/>
          <w:sz w:val="28"/>
          <w:szCs w:val="24"/>
          <w:lang w:val="uk-UA" w:eastAsia="ru-RU"/>
        </w:rPr>
        <w:t>].</w:t>
      </w:r>
    </w:p>
    <w:p w14:paraId="27B5F611" w14:textId="2A4453FF" w:rsidR="00E51608" w:rsidRPr="00E51608" w:rsidRDefault="00A816AD" w:rsidP="00E51608">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Вільні радикали</w:t>
      </w:r>
      <w:r w:rsidR="00E51608" w:rsidRPr="00E51608">
        <w:rPr>
          <w:rFonts w:ascii="Times New Roman" w:eastAsia="Times New Roman" w:hAnsi="Times New Roman" w:cs="Times New Roman"/>
          <w:sz w:val="28"/>
          <w:szCs w:val="24"/>
          <w:lang w:val="uk-UA" w:eastAsia="ru-RU"/>
        </w:rPr>
        <w:t xml:space="preserve"> відіграють вирішальну роль у нормальних фізіологічних процесах, включаючи реакцію факторів росту, імунну відповідь та</w:t>
      </w:r>
      <w:r w:rsidR="00ED24A3">
        <w:rPr>
          <w:rFonts w:ascii="Times New Roman" w:eastAsia="Times New Roman" w:hAnsi="Times New Roman" w:cs="Times New Roman"/>
          <w:sz w:val="28"/>
          <w:szCs w:val="24"/>
          <w:lang w:val="uk-UA" w:eastAsia="ru-RU"/>
        </w:rPr>
        <w:t xml:space="preserve"> усунення</w:t>
      </w:r>
      <w:r w:rsidR="00E51608" w:rsidRPr="00E51608">
        <w:rPr>
          <w:rFonts w:ascii="Times New Roman" w:eastAsia="Times New Roman" w:hAnsi="Times New Roman" w:cs="Times New Roman"/>
          <w:sz w:val="28"/>
          <w:szCs w:val="24"/>
          <w:lang w:val="uk-UA" w:eastAsia="ru-RU"/>
        </w:rPr>
        <w:t xml:space="preserve"> пошкоджених клітин, але також є дуже токсичними та деструктивними, </w:t>
      </w:r>
      <w:r w:rsidR="0025200C">
        <w:rPr>
          <w:rFonts w:ascii="Times New Roman" w:eastAsia="Times New Roman" w:hAnsi="Times New Roman" w:cs="Times New Roman"/>
          <w:sz w:val="28"/>
          <w:szCs w:val="24"/>
          <w:lang w:val="uk-UA" w:eastAsia="ru-RU"/>
        </w:rPr>
        <w:t>оскільки вони</w:t>
      </w:r>
      <w:r w:rsidR="001C337A">
        <w:rPr>
          <w:rFonts w:ascii="Times New Roman" w:eastAsia="Times New Roman" w:hAnsi="Times New Roman" w:cs="Times New Roman"/>
          <w:sz w:val="28"/>
          <w:szCs w:val="24"/>
          <w:lang w:val="uk-UA" w:eastAsia="ru-RU"/>
        </w:rPr>
        <w:t xml:space="preserve"> являють</w:t>
      </w:r>
      <w:r w:rsidR="00E51608" w:rsidRPr="00E51608">
        <w:rPr>
          <w:rFonts w:ascii="Times New Roman" w:eastAsia="Times New Roman" w:hAnsi="Times New Roman" w:cs="Times New Roman"/>
          <w:sz w:val="28"/>
          <w:szCs w:val="24"/>
          <w:lang w:val="uk-UA" w:eastAsia="ru-RU"/>
        </w:rPr>
        <w:t xml:space="preserve"> собою важливий патогенний механізм для по</w:t>
      </w:r>
      <w:r w:rsidR="001C337A">
        <w:rPr>
          <w:rFonts w:ascii="Times New Roman" w:eastAsia="Times New Roman" w:hAnsi="Times New Roman" w:cs="Times New Roman"/>
          <w:sz w:val="28"/>
          <w:szCs w:val="24"/>
          <w:lang w:val="uk-UA" w:eastAsia="ru-RU"/>
        </w:rPr>
        <w:t>шкодження тканин та захворювань, пов'язаних</w:t>
      </w:r>
      <w:r w:rsidR="00451BC5">
        <w:rPr>
          <w:rFonts w:ascii="Times New Roman" w:eastAsia="Times New Roman" w:hAnsi="Times New Roman" w:cs="Times New Roman"/>
          <w:sz w:val="28"/>
          <w:szCs w:val="24"/>
          <w:lang w:val="uk-UA" w:eastAsia="ru-RU"/>
        </w:rPr>
        <w:t xml:space="preserve"> з фагоцитарною інфільтрацією [165</w:t>
      </w:r>
      <w:r w:rsidR="00E51608" w:rsidRPr="00E51608">
        <w:rPr>
          <w:rFonts w:ascii="Times New Roman" w:eastAsia="Times New Roman" w:hAnsi="Times New Roman" w:cs="Times New Roman"/>
          <w:sz w:val="28"/>
          <w:szCs w:val="24"/>
          <w:lang w:val="uk-UA" w:eastAsia="ru-RU"/>
        </w:rPr>
        <w:t>].</w:t>
      </w:r>
    </w:p>
    <w:p w14:paraId="0AADC3CB" w14:textId="5A6D877A" w:rsidR="00E51608" w:rsidRPr="00E51608" w:rsidRDefault="00E51608" w:rsidP="00E51608">
      <w:pPr>
        <w:spacing w:after="0" w:line="360" w:lineRule="auto"/>
        <w:ind w:firstLine="709"/>
        <w:jc w:val="both"/>
        <w:rPr>
          <w:rFonts w:ascii="Times New Roman" w:eastAsia="Times New Roman" w:hAnsi="Times New Roman" w:cs="Times New Roman"/>
          <w:sz w:val="28"/>
          <w:szCs w:val="24"/>
          <w:lang w:val="uk-UA" w:eastAsia="ru-RU"/>
        </w:rPr>
      </w:pPr>
      <w:r w:rsidRPr="00E51608">
        <w:rPr>
          <w:rFonts w:ascii="Times New Roman" w:eastAsia="Times New Roman" w:hAnsi="Times New Roman" w:cs="Times New Roman"/>
          <w:sz w:val="28"/>
          <w:szCs w:val="24"/>
          <w:lang w:val="uk-UA" w:eastAsia="ru-RU"/>
        </w:rPr>
        <w:t xml:space="preserve">Виявлення ролі вільних радикалів у </w:t>
      </w:r>
      <w:r w:rsidR="00663632">
        <w:rPr>
          <w:rFonts w:ascii="Times New Roman" w:eastAsia="Times New Roman" w:hAnsi="Times New Roman" w:cs="Times New Roman"/>
          <w:sz w:val="28"/>
          <w:szCs w:val="24"/>
          <w:lang w:val="uk-UA" w:eastAsia="ru-RU"/>
        </w:rPr>
        <w:t>патогенезі злоякісних захворювань</w:t>
      </w:r>
      <w:r w:rsidRPr="00E51608">
        <w:rPr>
          <w:rFonts w:ascii="Times New Roman" w:eastAsia="Times New Roman" w:hAnsi="Times New Roman" w:cs="Times New Roman"/>
          <w:sz w:val="28"/>
          <w:szCs w:val="24"/>
          <w:lang w:val="uk-UA" w:eastAsia="ru-RU"/>
        </w:rPr>
        <w:t>, діабеті, серцево-судинних захворюваннях, аутоімунних захворюваннях, нейродегенеративних розладах, старінні та інших хронічних захворюваннях призвело до меди</w:t>
      </w:r>
      <w:r w:rsidR="001C337A">
        <w:rPr>
          <w:rFonts w:ascii="Times New Roman" w:eastAsia="Times New Roman" w:hAnsi="Times New Roman" w:cs="Times New Roman"/>
          <w:sz w:val="28"/>
          <w:szCs w:val="24"/>
          <w:lang w:val="uk-UA" w:eastAsia="ru-RU"/>
        </w:rPr>
        <w:t>чної революції, що робить</w:t>
      </w:r>
      <w:r w:rsidRPr="00E51608">
        <w:rPr>
          <w:rFonts w:ascii="Times New Roman" w:eastAsia="Times New Roman" w:hAnsi="Times New Roman" w:cs="Times New Roman"/>
          <w:sz w:val="28"/>
          <w:szCs w:val="24"/>
          <w:lang w:val="uk-UA" w:eastAsia="ru-RU"/>
        </w:rPr>
        <w:t xml:space="preserve"> антиоксиданти</w:t>
      </w:r>
      <w:r w:rsidR="001C337A">
        <w:rPr>
          <w:rFonts w:ascii="Times New Roman" w:eastAsia="Times New Roman" w:hAnsi="Times New Roman" w:cs="Times New Roman"/>
          <w:sz w:val="28"/>
          <w:szCs w:val="24"/>
          <w:lang w:val="uk-UA" w:eastAsia="ru-RU"/>
        </w:rPr>
        <w:t xml:space="preserve"> важливим компонентом етіопатогенезу захворювань</w:t>
      </w:r>
      <w:r w:rsidRPr="00E51608">
        <w:rPr>
          <w:rFonts w:ascii="Times New Roman" w:eastAsia="Times New Roman" w:hAnsi="Times New Roman" w:cs="Times New Roman"/>
          <w:sz w:val="28"/>
          <w:szCs w:val="24"/>
          <w:lang w:val="uk-UA" w:eastAsia="ru-RU"/>
        </w:rPr>
        <w:t xml:space="preserve">, що </w:t>
      </w:r>
      <w:r w:rsidR="001C337A">
        <w:rPr>
          <w:rFonts w:ascii="Times New Roman" w:eastAsia="Times New Roman" w:hAnsi="Times New Roman" w:cs="Times New Roman"/>
          <w:sz w:val="28"/>
          <w:szCs w:val="24"/>
          <w:lang w:val="uk-UA" w:eastAsia="ru-RU"/>
        </w:rPr>
        <w:t xml:space="preserve">у свою чергу </w:t>
      </w:r>
      <w:r w:rsidRPr="00E51608">
        <w:rPr>
          <w:rFonts w:ascii="Times New Roman" w:eastAsia="Times New Roman" w:hAnsi="Times New Roman" w:cs="Times New Roman"/>
          <w:sz w:val="28"/>
          <w:szCs w:val="24"/>
          <w:lang w:val="uk-UA" w:eastAsia="ru-RU"/>
        </w:rPr>
        <w:t xml:space="preserve">обіцяє нову парадигму охорони здоров'я. </w:t>
      </w:r>
      <w:r w:rsidR="001C337A">
        <w:rPr>
          <w:rFonts w:ascii="Times New Roman" w:eastAsia="Times New Roman" w:hAnsi="Times New Roman" w:cs="Times New Roman"/>
          <w:sz w:val="28"/>
          <w:szCs w:val="24"/>
          <w:lang w:val="uk-UA" w:eastAsia="ru-RU"/>
        </w:rPr>
        <w:t>Таким чином,</w:t>
      </w:r>
      <w:r w:rsidRPr="00E51608">
        <w:rPr>
          <w:rFonts w:ascii="Times New Roman" w:eastAsia="Times New Roman" w:hAnsi="Times New Roman" w:cs="Times New Roman"/>
          <w:sz w:val="28"/>
          <w:szCs w:val="24"/>
          <w:lang w:val="uk-UA" w:eastAsia="ru-RU"/>
        </w:rPr>
        <w:t xml:space="preserve"> антиоксиданти </w:t>
      </w:r>
      <w:r w:rsidR="001C337A">
        <w:rPr>
          <w:rFonts w:ascii="Times New Roman" w:eastAsia="Times New Roman" w:hAnsi="Times New Roman" w:cs="Times New Roman"/>
          <w:sz w:val="28"/>
          <w:szCs w:val="24"/>
          <w:lang w:val="uk-UA" w:eastAsia="ru-RU"/>
        </w:rPr>
        <w:t>виступають</w:t>
      </w:r>
      <w:r w:rsidRPr="00E51608">
        <w:rPr>
          <w:rFonts w:ascii="Times New Roman" w:eastAsia="Times New Roman" w:hAnsi="Times New Roman" w:cs="Times New Roman"/>
          <w:sz w:val="28"/>
          <w:szCs w:val="24"/>
          <w:lang w:val="uk-UA" w:eastAsia="ru-RU"/>
        </w:rPr>
        <w:t xml:space="preserve"> як профілактичні та лікувальні агенти</w:t>
      </w:r>
      <w:r w:rsidR="001732B7">
        <w:rPr>
          <w:rFonts w:ascii="Times New Roman" w:eastAsia="Times New Roman" w:hAnsi="Times New Roman" w:cs="Times New Roman"/>
          <w:sz w:val="28"/>
          <w:szCs w:val="24"/>
          <w:lang w:val="uk-UA" w:eastAsia="ru-RU"/>
        </w:rPr>
        <w:t>.</w:t>
      </w:r>
    </w:p>
    <w:p w14:paraId="021C3F13" w14:textId="7F2ED177" w:rsidR="00E51608" w:rsidRPr="00C37163" w:rsidRDefault="00E51608" w:rsidP="001732B7">
      <w:pPr>
        <w:spacing w:after="0" w:line="360" w:lineRule="auto"/>
        <w:ind w:firstLine="709"/>
        <w:jc w:val="both"/>
        <w:rPr>
          <w:rFonts w:ascii="Times New Roman" w:eastAsia="Times New Roman" w:hAnsi="Times New Roman" w:cs="Times New Roman"/>
          <w:sz w:val="28"/>
          <w:szCs w:val="24"/>
          <w:lang w:val="uk-UA" w:eastAsia="ru-RU"/>
        </w:rPr>
      </w:pPr>
      <w:r w:rsidRPr="00E51608">
        <w:rPr>
          <w:rFonts w:ascii="Times New Roman" w:eastAsia="Times New Roman" w:hAnsi="Times New Roman" w:cs="Times New Roman"/>
          <w:sz w:val="28"/>
          <w:szCs w:val="24"/>
          <w:lang w:val="uk-UA" w:eastAsia="ru-RU"/>
        </w:rPr>
        <w:t>Різні біо</w:t>
      </w:r>
      <w:r w:rsidR="001732B7">
        <w:rPr>
          <w:rFonts w:ascii="Times New Roman" w:eastAsia="Times New Roman" w:hAnsi="Times New Roman" w:cs="Times New Roman"/>
          <w:sz w:val="28"/>
          <w:szCs w:val="24"/>
          <w:lang w:val="uk-UA" w:eastAsia="ru-RU"/>
        </w:rPr>
        <w:t>маркери, крім клінічного застосування</w:t>
      </w:r>
      <w:r w:rsidR="00663632">
        <w:rPr>
          <w:rFonts w:ascii="Times New Roman" w:eastAsia="Times New Roman" w:hAnsi="Times New Roman" w:cs="Times New Roman"/>
          <w:sz w:val="28"/>
          <w:szCs w:val="24"/>
          <w:lang w:val="uk-UA" w:eastAsia="ru-RU"/>
        </w:rPr>
        <w:t>, використовуються</w:t>
      </w:r>
      <w:r w:rsidRPr="00E51608">
        <w:rPr>
          <w:rFonts w:ascii="Times New Roman" w:eastAsia="Times New Roman" w:hAnsi="Times New Roman" w:cs="Times New Roman"/>
          <w:sz w:val="28"/>
          <w:szCs w:val="24"/>
          <w:lang w:val="uk-UA" w:eastAsia="ru-RU"/>
        </w:rPr>
        <w:t xml:space="preserve"> для оцінки руйнування пародонту, </w:t>
      </w:r>
      <w:r w:rsidR="001732B7">
        <w:rPr>
          <w:rFonts w:ascii="Times New Roman" w:eastAsia="Times New Roman" w:hAnsi="Times New Roman" w:cs="Times New Roman"/>
          <w:sz w:val="28"/>
          <w:szCs w:val="24"/>
          <w:lang w:val="uk-UA" w:eastAsia="ru-RU"/>
        </w:rPr>
        <w:t>а саме такі</w:t>
      </w:r>
      <w:r w:rsidR="00663632">
        <w:rPr>
          <w:rFonts w:ascii="Times New Roman" w:eastAsia="Times New Roman" w:hAnsi="Times New Roman" w:cs="Times New Roman"/>
          <w:sz w:val="28"/>
          <w:szCs w:val="24"/>
          <w:lang w:val="uk-UA" w:eastAsia="ru-RU"/>
        </w:rPr>
        <w:t>,</w:t>
      </w:r>
      <w:r w:rsidR="001732B7">
        <w:rPr>
          <w:rFonts w:ascii="Times New Roman" w:eastAsia="Times New Roman" w:hAnsi="Times New Roman" w:cs="Times New Roman"/>
          <w:sz w:val="28"/>
          <w:szCs w:val="24"/>
          <w:lang w:val="uk-UA" w:eastAsia="ru-RU"/>
        </w:rPr>
        <w:t xml:space="preserve"> як</w:t>
      </w:r>
      <w:r w:rsidRPr="00E51608">
        <w:rPr>
          <w:rFonts w:ascii="Times New Roman" w:eastAsia="Times New Roman" w:hAnsi="Times New Roman" w:cs="Times New Roman"/>
          <w:sz w:val="28"/>
          <w:szCs w:val="24"/>
          <w:lang w:val="uk-UA" w:eastAsia="ru-RU"/>
        </w:rPr>
        <w:t xml:space="preserve"> </w:t>
      </w:r>
      <w:r w:rsidR="001732B7">
        <w:rPr>
          <w:rFonts w:ascii="Times New Roman" w:eastAsia="Times New Roman" w:hAnsi="Times New Roman" w:cs="Times New Roman"/>
          <w:sz w:val="28"/>
          <w:szCs w:val="24"/>
          <w:lang w:val="uk-UA" w:eastAsia="ru-RU"/>
        </w:rPr>
        <w:t>ферменти, білки</w:t>
      </w:r>
      <w:r w:rsidRPr="00E51608">
        <w:rPr>
          <w:rFonts w:ascii="Times New Roman" w:eastAsia="Times New Roman" w:hAnsi="Times New Roman" w:cs="Times New Roman"/>
          <w:sz w:val="28"/>
          <w:szCs w:val="24"/>
          <w:lang w:val="uk-UA" w:eastAsia="ru-RU"/>
        </w:rPr>
        <w:t xml:space="preserve">, маркери клітинної та гуморальної активності, іони, гормони та маркери окислювального стресу та антиоксидантів. </w:t>
      </w:r>
      <w:r w:rsidR="001732B7">
        <w:rPr>
          <w:rFonts w:ascii="Times New Roman" w:eastAsia="Times New Roman" w:hAnsi="Times New Roman" w:cs="Times New Roman"/>
          <w:sz w:val="28"/>
          <w:szCs w:val="24"/>
          <w:lang w:val="uk-UA" w:eastAsia="ru-RU"/>
        </w:rPr>
        <w:t xml:space="preserve">Такі речовини, як уреаза, супероксиддисмутаза, каталаза, малоновий диальдегід, </w:t>
      </w:r>
      <w:r w:rsidRPr="00E51608">
        <w:rPr>
          <w:rFonts w:ascii="Times New Roman" w:eastAsia="Times New Roman" w:hAnsi="Times New Roman" w:cs="Times New Roman"/>
          <w:sz w:val="28"/>
          <w:szCs w:val="24"/>
          <w:lang w:val="uk-UA" w:eastAsia="ru-RU"/>
        </w:rPr>
        <w:t>є одним</w:t>
      </w:r>
      <w:r w:rsidR="001732B7">
        <w:rPr>
          <w:rFonts w:ascii="Times New Roman" w:eastAsia="Times New Roman" w:hAnsi="Times New Roman" w:cs="Times New Roman"/>
          <w:sz w:val="28"/>
          <w:szCs w:val="24"/>
          <w:lang w:val="uk-UA" w:eastAsia="ru-RU"/>
        </w:rPr>
        <w:t>и</w:t>
      </w:r>
      <w:r w:rsidRPr="00E51608">
        <w:rPr>
          <w:rFonts w:ascii="Times New Roman" w:eastAsia="Times New Roman" w:hAnsi="Times New Roman" w:cs="Times New Roman"/>
          <w:sz w:val="28"/>
          <w:szCs w:val="24"/>
          <w:lang w:val="uk-UA" w:eastAsia="ru-RU"/>
        </w:rPr>
        <w:t xml:space="preserve"> з </w:t>
      </w:r>
      <w:r w:rsidR="001732B7">
        <w:rPr>
          <w:rFonts w:ascii="Times New Roman" w:eastAsia="Times New Roman" w:hAnsi="Times New Roman" w:cs="Times New Roman"/>
          <w:sz w:val="28"/>
          <w:szCs w:val="24"/>
          <w:lang w:val="uk-UA" w:eastAsia="ru-RU"/>
        </w:rPr>
        <w:t>показників антиоксидантного балансу [</w:t>
      </w:r>
      <w:r w:rsidR="001732B7" w:rsidRPr="001732B7">
        <w:rPr>
          <w:rFonts w:ascii="Times New Roman" w:eastAsia="Times New Roman" w:hAnsi="Times New Roman" w:cs="Times New Roman"/>
          <w:sz w:val="28"/>
          <w:szCs w:val="24"/>
          <w:lang w:val="uk-UA" w:eastAsia="ru-RU"/>
        </w:rPr>
        <w:t>165</w:t>
      </w:r>
      <w:r w:rsidR="00451BC5" w:rsidRPr="00451BC5">
        <w:rPr>
          <w:rFonts w:ascii="Times New Roman" w:eastAsia="Times New Roman" w:hAnsi="Times New Roman" w:cs="Times New Roman"/>
          <w:sz w:val="28"/>
          <w:szCs w:val="24"/>
          <w:lang w:val="uk-UA" w:eastAsia="ru-RU"/>
        </w:rPr>
        <w:t>, 166</w:t>
      </w:r>
      <w:r w:rsidR="001732B7">
        <w:rPr>
          <w:rFonts w:ascii="Times New Roman" w:eastAsia="Times New Roman" w:hAnsi="Times New Roman" w:cs="Times New Roman"/>
          <w:sz w:val="28"/>
          <w:szCs w:val="24"/>
          <w:lang w:val="uk-UA" w:eastAsia="ru-RU"/>
        </w:rPr>
        <w:t>], які присутні в слині і можуть</w:t>
      </w:r>
      <w:r w:rsidRPr="00E51608">
        <w:rPr>
          <w:rFonts w:ascii="Times New Roman" w:eastAsia="Times New Roman" w:hAnsi="Times New Roman" w:cs="Times New Roman"/>
          <w:sz w:val="28"/>
          <w:szCs w:val="24"/>
          <w:lang w:val="uk-UA" w:eastAsia="ru-RU"/>
        </w:rPr>
        <w:t xml:space="preserve"> використовуватися для визначення ефекту антиоксидантної терапії при лікуванні захворювань пародонту.</w:t>
      </w:r>
    </w:p>
    <w:p w14:paraId="5038FDC4" w14:textId="72657096" w:rsidR="005E07EA" w:rsidRPr="00C37163" w:rsidRDefault="005E07EA" w:rsidP="005E07EA">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Накопичена велика кількість даних, що визначають провідну роль порушень ферментативного гомеостазу ротової порожнини у виникненні захворювань пародонта. У результаті дисфункції ферментативних систем у першу чергу страждає кровообіг даної ділянки [</w:t>
      </w:r>
      <w:r w:rsidR="00451BC5">
        <w:rPr>
          <w:rFonts w:ascii="Times New Roman" w:eastAsia="Times New Roman" w:hAnsi="Times New Roman" w:cs="Times New Roman"/>
          <w:sz w:val="28"/>
          <w:szCs w:val="24"/>
          <w:lang w:val="ru-RU" w:eastAsia="ru-RU"/>
        </w:rPr>
        <w:t>167</w:t>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При </w:t>
      </w:r>
      <w:r w:rsidRPr="00C37163">
        <w:rPr>
          <w:rFonts w:ascii="Times New Roman" w:eastAsia="Times New Roman" w:hAnsi="Times New Roman" w:cs="Times New Roman"/>
          <w:sz w:val="28"/>
          <w:szCs w:val="24"/>
          <w:lang w:val="uk-UA" w:eastAsia="ru-RU"/>
        </w:rPr>
        <w:t>цьому підвищену увагу приділяють вивченню активності протеолітичних ферментів. Одним з найважливіших об’єктів такого дослідження є еластаза, яка викликає руйнування епідермально-дермального сполучення. Активність еластази пропорційна глибині пародонтальної кишені та ступеню дистрофічно-запальних процесів у пародонті [</w:t>
      </w:r>
      <w:r w:rsidR="00451BC5">
        <w:rPr>
          <w:rFonts w:ascii="Times New Roman" w:eastAsia="Times New Roman" w:hAnsi="Times New Roman" w:cs="Times New Roman"/>
          <w:sz w:val="28"/>
          <w:szCs w:val="24"/>
          <w:lang w:val="ru-RU" w:eastAsia="ru-RU"/>
        </w:rPr>
        <w:t>168, 169</w:t>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w:t>
      </w:r>
      <w:r w:rsidRPr="00C37163">
        <w:rPr>
          <w:rFonts w:ascii="Times New Roman" w:eastAsia="Times New Roman" w:hAnsi="Times New Roman" w:cs="Times New Roman"/>
          <w:sz w:val="28"/>
          <w:szCs w:val="24"/>
          <w:lang w:val="uk-UA" w:eastAsia="ru-RU"/>
        </w:rPr>
        <w:t xml:space="preserve">Група колагеназ також посідає одне з головних місць в </w:t>
      </w:r>
      <w:r w:rsidRPr="00C37163">
        <w:rPr>
          <w:rFonts w:ascii="Times New Roman" w:eastAsia="Times New Roman" w:hAnsi="Times New Roman" w:cs="Times New Roman"/>
          <w:sz w:val="28"/>
          <w:szCs w:val="24"/>
          <w:lang w:val="uk-UA" w:eastAsia="ru-RU"/>
        </w:rPr>
        <w:lastRenderedPageBreak/>
        <w:t>патогенезі пародонтиту. Їх активність збільшується при гострому запаленні та знаходиться у прямій залежності від стадії захворювання. Отже, протеолітичні ферменти тісно асоціюються з деструкцією тканин пародо</w:t>
      </w:r>
      <w:r w:rsidR="00451BC5">
        <w:rPr>
          <w:rFonts w:ascii="Times New Roman" w:eastAsia="Times New Roman" w:hAnsi="Times New Roman" w:cs="Times New Roman"/>
          <w:sz w:val="28"/>
          <w:szCs w:val="24"/>
          <w:lang w:val="uk-UA" w:eastAsia="ru-RU"/>
        </w:rPr>
        <w:t>нта [168, 169, 170, 171</w:t>
      </w:r>
      <w:r w:rsidRPr="00C37163">
        <w:rPr>
          <w:rFonts w:ascii="Times New Roman" w:eastAsia="Times New Roman" w:hAnsi="Times New Roman" w:cs="Times New Roman"/>
          <w:sz w:val="28"/>
          <w:szCs w:val="24"/>
          <w:lang w:val="uk-UA" w:eastAsia="ru-RU"/>
        </w:rPr>
        <w:t>].</w:t>
      </w:r>
    </w:p>
    <w:p w14:paraId="52D84FCB" w14:textId="6B05F15B" w:rsidR="005E07EA" w:rsidRPr="001A7AC0" w:rsidRDefault="005E07EA" w:rsidP="00B411CE">
      <w:pPr>
        <w:spacing w:after="0" w:line="360" w:lineRule="auto"/>
        <w:ind w:firstLine="709"/>
        <w:jc w:val="both"/>
        <w:rPr>
          <w:rFonts w:ascii="Times New Roman" w:eastAsia="Times New Roman" w:hAnsi="Times New Roman" w:cs="Times New Roman"/>
          <w:sz w:val="28"/>
          <w:szCs w:val="24"/>
          <w:lang w:val="uk-UA" w:eastAsia="ru-RU"/>
        </w:rPr>
      </w:pPr>
      <w:r w:rsidRPr="00C37163">
        <w:rPr>
          <w:rFonts w:ascii="Times New Roman" w:eastAsia="Times New Roman" w:hAnsi="Times New Roman" w:cs="Times New Roman"/>
          <w:sz w:val="28"/>
          <w:szCs w:val="24"/>
          <w:lang w:val="uk-UA" w:eastAsia="ru-RU"/>
        </w:rPr>
        <w:t xml:space="preserve">Аналізуючи сучасний стан досліджень у галузі етіології та патогенезу захворювань пародонта, слід визнати, що проблема ще досить далека від вирішення. Існують різноманітні концепції, згідно з якими пародонтит може виникати як достатньо ізольовано, так і бути одним із проявів порушень загального стану організму. Але частіше за все виникнення патологічного процесу в пародонті можливе лише при несприятливому поєднанні ендогенних та екзогенних чинників. При цьому розподіл на місцеві та загальні фактори стає вельми умовним. Хоча місцеві </w:t>
      </w:r>
      <w:r w:rsidR="00A1336F">
        <w:rPr>
          <w:rFonts w:ascii="Times New Roman" w:eastAsia="Times New Roman" w:hAnsi="Times New Roman" w:cs="Times New Roman"/>
          <w:sz w:val="28"/>
          <w:szCs w:val="24"/>
          <w:lang w:val="uk-UA" w:eastAsia="ru-RU"/>
        </w:rPr>
        <w:t>чинники</w:t>
      </w:r>
      <w:r w:rsidRPr="00C37163">
        <w:rPr>
          <w:rFonts w:ascii="Times New Roman" w:eastAsia="Times New Roman" w:hAnsi="Times New Roman" w:cs="Times New Roman"/>
          <w:sz w:val="28"/>
          <w:szCs w:val="24"/>
          <w:lang w:val="uk-UA" w:eastAsia="ru-RU"/>
        </w:rPr>
        <w:t xml:space="preserve"> можуть </w:t>
      </w:r>
      <w:r w:rsidR="00A1336F">
        <w:rPr>
          <w:rFonts w:ascii="Times New Roman" w:eastAsia="Times New Roman" w:hAnsi="Times New Roman" w:cs="Times New Roman"/>
          <w:sz w:val="28"/>
          <w:szCs w:val="24"/>
          <w:lang w:val="uk-UA" w:eastAsia="ru-RU"/>
        </w:rPr>
        <w:t>можуть спричинити локальні прояви</w:t>
      </w:r>
      <w:r w:rsidRPr="00C37163">
        <w:rPr>
          <w:rFonts w:ascii="Times New Roman" w:eastAsia="Times New Roman" w:hAnsi="Times New Roman" w:cs="Times New Roman"/>
          <w:sz w:val="28"/>
          <w:szCs w:val="24"/>
          <w:lang w:val="uk-UA" w:eastAsia="ru-RU"/>
        </w:rPr>
        <w:t xml:space="preserve"> патологічного процесу, відповідь організму завжди буде обумовлена загальними проявами </w:t>
      </w:r>
      <w:r w:rsidRPr="00C37163">
        <w:rPr>
          <w:rFonts w:ascii="Times New Roman" w:eastAsia="Times New Roman" w:hAnsi="Times New Roman" w:cs="Times New Roman"/>
          <w:sz w:val="28"/>
          <w:szCs w:val="24"/>
          <w:lang w:val="uk-UA" w:eastAsia="ru-RU"/>
        </w:rPr>
        <w:sym w:font="Symbol" w:char="F05B"/>
      </w:r>
      <w:r w:rsidR="00A1336F">
        <w:rPr>
          <w:rFonts w:ascii="Times New Roman" w:eastAsia="Times New Roman" w:hAnsi="Times New Roman" w:cs="Times New Roman"/>
          <w:sz w:val="28"/>
          <w:szCs w:val="24"/>
          <w:lang w:val="ru-RU" w:eastAsia="ru-RU"/>
        </w:rPr>
        <w:t>104, 105</w:t>
      </w:r>
      <w:r w:rsidRPr="00C37163">
        <w:rPr>
          <w:rFonts w:ascii="Times New Roman" w:eastAsia="Times New Roman" w:hAnsi="Times New Roman" w:cs="Times New Roman"/>
          <w:sz w:val="28"/>
          <w:szCs w:val="24"/>
          <w:lang w:val="uk-UA" w:eastAsia="ru-RU"/>
        </w:rPr>
        <w:sym w:font="Symbol" w:char="F05D"/>
      </w:r>
      <w:r w:rsidRPr="00C37163">
        <w:rPr>
          <w:rFonts w:ascii="Times New Roman" w:eastAsia="Times New Roman" w:hAnsi="Times New Roman" w:cs="Times New Roman"/>
          <w:sz w:val="28"/>
          <w:szCs w:val="24"/>
          <w:lang w:val="uk-UA" w:eastAsia="ru-RU"/>
        </w:rPr>
        <w:t>.</w:t>
      </w:r>
      <w:r w:rsidRPr="00C37163">
        <w:rPr>
          <w:rFonts w:ascii="Times New Roman" w:eastAsia="Times New Roman" w:hAnsi="Times New Roman" w:cs="Times New Roman"/>
          <w:sz w:val="28"/>
          <w:szCs w:val="24"/>
          <w:lang w:val="ru-RU" w:eastAsia="ru-RU"/>
        </w:rPr>
        <w:t xml:space="preserve"> </w:t>
      </w:r>
      <w:r w:rsidRPr="00C37163">
        <w:rPr>
          <w:rFonts w:ascii="Times New Roman" w:eastAsia="Times New Roman" w:hAnsi="Times New Roman" w:cs="Times New Roman"/>
          <w:sz w:val="28"/>
          <w:szCs w:val="24"/>
          <w:lang w:val="uk-UA" w:eastAsia="ru-RU"/>
        </w:rPr>
        <w:t xml:space="preserve">Визначення дестабілізації діяльності функціональних систем організму як на місцевому, так і на загальному рівні можливе при виснаженні компенсаторних можливостей та резистентності організму. Таким змінам передує розвиток донозологічних станів, які і </w:t>
      </w:r>
      <w:r w:rsidR="001A7AC0">
        <w:rPr>
          <w:rFonts w:ascii="Times New Roman" w:eastAsia="Times New Roman" w:hAnsi="Times New Roman" w:cs="Times New Roman"/>
          <w:sz w:val="28"/>
          <w:szCs w:val="24"/>
          <w:lang w:val="uk-UA" w:eastAsia="ru-RU"/>
        </w:rPr>
        <w:t>є передумовою для виникнення захворювання</w:t>
      </w:r>
      <w:r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 xml:space="preserve">Визначення даного моменту може бути вирішальним для подальшої схеми профілактики та лікування </w:t>
      </w:r>
      <w:r w:rsidRPr="00C37163">
        <w:rPr>
          <w:rFonts w:ascii="Times New Roman" w:eastAsia="Times New Roman" w:hAnsi="Times New Roman" w:cs="Times New Roman"/>
          <w:sz w:val="28"/>
          <w:szCs w:val="24"/>
          <w:lang w:val="uk-UA" w:eastAsia="ru-RU"/>
        </w:rPr>
        <w:t>[</w:t>
      </w:r>
      <w:r w:rsidR="00575745" w:rsidRPr="001A7AC0">
        <w:rPr>
          <w:rFonts w:ascii="Times New Roman" w:eastAsia="Times New Roman" w:hAnsi="Times New Roman" w:cs="Times New Roman"/>
          <w:sz w:val="28"/>
          <w:szCs w:val="24"/>
          <w:lang w:val="uk-UA" w:eastAsia="ru-RU"/>
        </w:rPr>
        <w:t>105, 107</w:t>
      </w:r>
      <w:r w:rsidR="00575745"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Автори визначають поняття передхвороби – наявну у організмі</w:t>
      </w:r>
      <w:r w:rsidRPr="00C37163">
        <w:rPr>
          <w:rFonts w:ascii="Times New Roman" w:eastAsia="Times New Roman" w:hAnsi="Times New Roman" w:cs="Times New Roman"/>
          <w:sz w:val="28"/>
          <w:szCs w:val="24"/>
          <w:lang w:val="uk-UA" w:eastAsia="ru-RU"/>
        </w:rPr>
        <w:t xml:space="preserve"> вірогідність захворювання, що обумовлена факторами ризику. Цей стан означає перехід від етіологічних факторів у патогенетичні, </w:t>
      </w:r>
      <w:r w:rsidR="001A7AC0">
        <w:rPr>
          <w:rFonts w:ascii="Times New Roman" w:eastAsia="Times New Roman" w:hAnsi="Times New Roman" w:cs="Times New Roman"/>
          <w:sz w:val="28"/>
          <w:szCs w:val="24"/>
          <w:lang w:val="uk-UA" w:eastAsia="ru-RU"/>
        </w:rPr>
        <w:t>та, на думку авторів,</w:t>
      </w:r>
      <w:r w:rsidRPr="00C37163">
        <w:rPr>
          <w:rFonts w:ascii="Times New Roman" w:eastAsia="Times New Roman" w:hAnsi="Times New Roman" w:cs="Times New Roman"/>
          <w:sz w:val="28"/>
          <w:szCs w:val="24"/>
          <w:lang w:val="uk-UA" w:eastAsia="ru-RU"/>
        </w:rPr>
        <w:t xml:space="preserve"> відрізняється від захворювання переважанням неспецифічних змін над специфічними</w:t>
      </w:r>
      <w:r w:rsidR="001A7AC0">
        <w:rPr>
          <w:rFonts w:ascii="Times New Roman" w:eastAsia="Times New Roman" w:hAnsi="Times New Roman" w:cs="Times New Roman"/>
          <w:sz w:val="28"/>
          <w:szCs w:val="24"/>
          <w:lang w:val="uk-UA" w:eastAsia="ru-RU"/>
        </w:rPr>
        <w:t xml:space="preserve"> </w:t>
      </w:r>
      <w:r w:rsidR="001A7AC0" w:rsidRPr="001A7AC0">
        <w:rPr>
          <w:rFonts w:ascii="Times New Roman" w:eastAsia="Times New Roman" w:hAnsi="Times New Roman" w:cs="Times New Roman"/>
          <w:sz w:val="28"/>
          <w:szCs w:val="24"/>
          <w:lang w:val="uk-UA" w:eastAsia="ru-RU"/>
        </w:rPr>
        <w:t>[171, 174, 175]</w:t>
      </w:r>
      <w:r w:rsidRPr="00C37163">
        <w:rPr>
          <w:rFonts w:ascii="Times New Roman" w:eastAsia="Times New Roman" w:hAnsi="Times New Roman" w:cs="Times New Roman"/>
          <w:sz w:val="28"/>
          <w:szCs w:val="24"/>
          <w:lang w:val="uk-UA" w:eastAsia="ru-RU"/>
        </w:rPr>
        <w:t xml:space="preserve">. Тому необхідні принципово нові підходи до </w:t>
      </w:r>
      <w:r w:rsidR="001A7AC0">
        <w:rPr>
          <w:rFonts w:ascii="Times New Roman" w:eastAsia="Times New Roman" w:hAnsi="Times New Roman" w:cs="Times New Roman"/>
          <w:sz w:val="28"/>
          <w:szCs w:val="24"/>
          <w:lang w:val="uk-UA" w:eastAsia="ru-RU"/>
        </w:rPr>
        <w:t>ранньої діагностики</w:t>
      </w:r>
      <w:r w:rsidRPr="00C37163">
        <w:rPr>
          <w:rFonts w:ascii="Times New Roman" w:eastAsia="Times New Roman" w:hAnsi="Times New Roman" w:cs="Times New Roman"/>
          <w:sz w:val="28"/>
          <w:szCs w:val="24"/>
          <w:lang w:val="uk-UA" w:eastAsia="ru-RU"/>
        </w:rPr>
        <w:t xml:space="preserve"> функціонування </w:t>
      </w:r>
      <w:r w:rsidR="001A7AC0">
        <w:rPr>
          <w:rFonts w:ascii="Times New Roman" w:eastAsia="Times New Roman" w:hAnsi="Times New Roman" w:cs="Times New Roman"/>
          <w:sz w:val="28"/>
          <w:szCs w:val="24"/>
          <w:lang w:val="uk-UA" w:eastAsia="ru-RU"/>
        </w:rPr>
        <w:t>систем організму</w:t>
      </w:r>
      <w:r w:rsidRPr="00C37163">
        <w:rPr>
          <w:rFonts w:ascii="Times New Roman" w:eastAsia="Times New Roman" w:hAnsi="Times New Roman" w:cs="Times New Roman"/>
          <w:sz w:val="28"/>
          <w:szCs w:val="24"/>
          <w:lang w:val="uk-UA" w:eastAsia="ru-RU"/>
        </w:rPr>
        <w:t xml:space="preserve">. </w:t>
      </w:r>
      <w:r w:rsidR="001A7AC0">
        <w:rPr>
          <w:rFonts w:ascii="Times New Roman" w:eastAsia="Times New Roman" w:hAnsi="Times New Roman" w:cs="Times New Roman"/>
          <w:sz w:val="28"/>
          <w:szCs w:val="24"/>
          <w:lang w:val="uk-UA" w:eastAsia="ru-RU"/>
        </w:rPr>
        <w:t xml:space="preserve">Метою донозологічної діагностики має бути визначення найбільш інформативних біомаркерів, які є першими ознаками патологічних змін до появи клінічних симптомів та тканинних та функціональних порушень. </w:t>
      </w:r>
      <w:r w:rsidRPr="00C37163">
        <w:rPr>
          <w:rFonts w:ascii="Times New Roman" w:eastAsia="Times New Roman" w:hAnsi="Times New Roman" w:cs="Times New Roman"/>
          <w:sz w:val="28"/>
          <w:szCs w:val="24"/>
          <w:lang w:val="uk-UA" w:eastAsia="ru-RU"/>
        </w:rPr>
        <w:t xml:space="preserve">Враховуючи все вищевикладене, можна зробити висновок про необхідність розробки нових прогностичних та діагностичних методик з урахуванням провідних етіопатогенетичних чинників захворювань </w:t>
      </w:r>
      <w:r w:rsidR="001A7AC0">
        <w:rPr>
          <w:rFonts w:ascii="Times New Roman" w:eastAsia="Times New Roman" w:hAnsi="Times New Roman" w:cs="Times New Roman"/>
          <w:sz w:val="28"/>
          <w:szCs w:val="24"/>
          <w:lang w:val="uk-UA" w:eastAsia="ru-RU"/>
        </w:rPr>
        <w:lastRenderedPageBreak/>
        <w:t>тканин пародонта пацієнтів, особливо за наявності загальносоматичних захворювань</w:t>
      </w:r>
      <w:r w:rsidRPr="00C37163">
        <w:rPr>
          <w:rFonts w:ascii="Times New Roman" w:eastAsia="Times New Roman" w:hAnsi="Times New Roman" w:cs="Times New Roman"/>
          <w:sz w:val="28"/>
          <w:szCs w:val="24"/>
          <w:lang w:val="uk-UA" w:eastAsia="ru-RU"/>
        </w:rPr>
        <w:t>.</w:t>
      </w:r>
    </w:p>
    <w:p w14:paraId="612BB44E" w14:textId="73B8C524" w:rsidR="00875AEF" w:rsidRPr="00C37163" w:rsidRDefault="00DF6DA6"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Захворювання пародонту є запальними захворюваннями, які є результатом складних взаємодій між пародонтопатогенами та імунною відповіддю організму людини. Два важливих і взаємозалежних фактори беруть участь у патофізіологічній прогресії захворювань пародонту, тобто у активації імунної системи та виробництві </w:t>
      </w:r>
      <w:r w:rsidR="001C0F68">
        <w:rPr>
          <w:rFonts w:ascii="Times New Roman" w:hAnsi="Times New Roman"/>
          <w:sz w:val="28"/>
          <w:szCs w:val="28"/>
          <w:lang w:val="uk-UA"/>
        </w:rPr>
        <w:t>вільних</w:t>
      </w:r>
      <w:r w:rsidRPr="00C37163">
        <w:rPr>
          <w:rFonts w:ascii="Times New Roman" w:hAnsi="Times New Roman"/>
          <w:sz w:val="28"/>
          <w:szCs w:val="28"/>
          <w:lang w:val="uk-UA"/>
        </w:rPr>
        <w:t xml:space="preserve"> радикалів і пов'язаних з ними метаболітів. Збільшення виробництва вільних радикалів може сприяти окисному стресу, який, як повідомляється, бере участь у багатьох захворюваннях, в тому числі </w:t>
      </w:r>
      <w:r w:rsidR="00C9043A">
        <w:rPr>
          <w:rFonts w:ascii="Times New Roman" w:hAnsi="Times New Roman"/>
          <w:sz w:val="28"/>
          <w:szCs w:val="28"/>
          <w:lang w:val="uk-UA"/>
        </w:rPr>
        <w:t>захворюваннях пародонту</w:t>
      </w:r>
      <w:r w:rsidRPr="00C37163">
        <w:rPr>
          <w:rFonts w:ascii="Times New Roman" w:hAnsi="Times New Roman"/>
          <w:sz w:val="28"/>
          <w:szCs w:val="28"/>
          <w:lang w:val="uk-UA"/>
        </w:rPr>
        <w:t>. Аналіз антиоксидантної системи захисту ротової рідини дітей показав розвиток складних дезадаптуючих механізмів, які характеризуються порушенням показників антиок</w:t>
      </w:r>
      <w:r w:rsidR="00605474" w:rsidRPr="00C37163">
        <w:rPr>
          <w:rFonts w:ascii="Times New Roman" w:hAnsi="Times New Roman"/>
          <w:sz w:val="28"/>
          <w:szCs w:val="28"/>
          <w:lang w:val="uk-UA"/>
        </w:rPr>
        <w:t xml:space="preserve">сидантного захисту організму </w:t>
      </w:r>
      <w:r w:rsidR="00A2282F">
        <w:rPr>
          <w:rFonts w:ascii="Times New Roman" w:hAnsi="Times New Roman"/>
          <w:noProof/>
          <w:sz w:val="28"/>
          <w:szCs w:val="28"/>
          <w:lang w:val="uk-UA"/>
        </w:rPr>
        <w:t>[176-179</w:t>
      </w:r>
      <w:r w:rsidR="00A2282F"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64B0EF12" w14:textId="54D6810B" w:rsidR="00875AEF" w:rsidRPr="00C37163" w:rsidRDefault="00875AEF" w:rsidP="00875AEF">
      <w:pPr>
        <w:spacing w:after="0" w:line="360" w:lineRule="auto"/>
        <w:ind w:firstLine="709"/>
        <w:jc w:val="both"/>
        <w:rPr>
          <w:rFonts w:ascii="Times New Roman" w:hAnsi="Times New Roman"/>
          <w:sz w:val="28"/>
          <w:szCs w:val="28"/>
          <w:lang w:val="ru-RU"/>
        </w:rPr>
      </w:pPr>
      <w:r w:rsidRPr="00C37163">
        <w:rPr>
          <w:rFonts w:ascii="Times New Roman" w:hAnsi="Times New Roman"/>
          <w:sz w:val="28"/>
          <w:szCs w:val="28"/>
          <w:lang w:val="uk-UA"/>
        </w:rPr>
        <w:t xml:space="preserve">Окислювальний стрес призводить до молекулярного пошкодження в результаті порушень балансу між оксидантами та антиоксидантами. Вважається, що даний дисбаланс відіграє важливу роль в патогенезі хронічних запальних захворювань, таких як, наприклад, інсулінозалежний цукровий діабет, серцево-судинних захворювання, метаболічний синдром, гострий респіраторний дистрес-синдром, а також захворювання пародонту </w:t>
      </w:r>
      <w:r w:rsidR="00A2282F">
        <w:rPr>
          <w:rFonts w:ascii="Times New Roman" w:hAnsi="Times New Roman"/>
          <w:noProof/>
          <w:sz w:val="28"/>
          <w:szCs w:val="28"/>
          <w:lang w:val="uk-UA"/>
        </w:rPr>
        <w:t>[171, 166</w:t>
      </w:r>
      <w:r w:rsidR="00575745" w:rsidRPr="00C37163">
        <w:rPr>
          <w:rFonts w:ascii="Times New Roman" w:hAnsi="Times New Roman"/>
          <w:noProof/>
          <w:sz w:val="28"/>
          <w:szCs w:val="28"/>
          <w:lang w:val="uk-UA"/>
        </w:rPr>
        <w:t>]</w:t>
      </w:r>
      <w:r w:rsidRPr="00C37163">
        <w:rPr>
          <w:rFonts w:ascii="Times New Roman" w:hAnsi="Times New Roman"/>
          <w:sz w:val="28"/>
          <w:szCs w:val="28"/>
          <w:lang w:val="uk-UA"/>
        </w:rPr>
        <w:t>. Останнім часом порушення прооксидантно-антиоксидантного балансу було запропоновано в якості центральної ланки між системними захворюваннями та пародонтитом</w:t>
      </w:r>
      <w:r w:rsidRPr="00C37163">
        <w:rPr>
          <w:rFonts w:ascii="Times New Roman" w:hAnsi="Times New Roman"/>
          <w:sz w:val="28"/>
          <w:szCs w:val="28"/>
          <w:lang w:val="ru-RU"/>
        </w:rPr>
        <w:t xml:space="preserve"> </w:t>
      </w:r>
      <w:r w:rsidR="00A2282F">
        <w:rPr>
          <w:rFonts w:ascii="Times New Roman" w:hAnsi="Times New Roman"/>
          <w:noProof/>
          <w:sz w:val="28"/>
          <w:szCs w:val="28"/>
          <w:lang w:val="uk-UA"/>
        </w:rPr>
        <w:t>[178, 179</w:t>
      </w:r>
      <w:r w:rsidR="00575745" w:rsidRPr="00C37163">
        <w:rPr>
          <w:rFonts w:ascii="Times New Roman" w:hAnsi="Times New Roman"/>
          <w:noProof/>
          <w:sz w:val="28"/>
          <w:szCs w:val="28"/>
          <w:lang w:val="uk-UA"/>
        </w:rPr>
        <w:t>]</w:t>
      </w:r>
      <w:r w:rsidRPr="00C37163">
        <w:rPr>
          <w:rFonts w:ascii="Times New Roman" w:hAnsi="Times New Roman"/>
          <w:sz w:val="28"/>
          <w:szCs w:val="28"/>
          <w:lang w:val="ru-RU"/>
        </w:rPr>
        <w:t>.</w:t>
      </w:r>
    </w:p>
    <w:p w14:paraId="05F93DEA" w14:textId="5ECF6429" w:rsidR="00FD7FCB" w:rsidRPr="00C37163" w:rsidRDefault="00FD7FCB"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Існуючу у ротовій рідині систему антиоксидантного захисту можна розділити на кілька рівнів, що забезпечують як зниження інтенсивності генерації оксидантів в тканинах ротової порожнини, так і зменшення ймовірності їх додаткового формування шляхом адаптаційної перебудови швидкості біохімічних процесів на місцевому рівні. Подібний багаторівневий захист клітин слизової оболонки від шкідливої дії вільних радикалів досягається за умови високого ступеня структурованості і впорядкованості клітинних </w:t>
      </w:r>
      <w:r w:rsidRPr="00C37163">
        <w:rPr>
          <w:rFonts w:ascii="Times New Roman" w:hAnsi="Times New Roman"/>
          <w:sz w:val="28"/>
          <w:szCs w:val="28"/>
          <w:lang w:val="uk-UA"/>
        </w:rPr>
        <w:lastRenderedPageBreak/>
        <w:t>фермен</w:t>
      </w:r>
      <w:r w:rsidR="00A2282F">
        <w:rPr>
          <w:rFonts w:ascii="Times New Roman" w:hAnsi="Times New Roman"/>
          <w:sz w:val="28"/>
          <w:szCs w:val="28"/>
          <w:lang w:val="uk-UA"/>
        </w:rPr>
        <w:t>тативних систем, що утилізують кисень</w:t>
      </w:r>
      <w:r w:rsidRPr="00C37163">
        <w:rPr>
          <w:rFonts w:ascii="Times New Roman" w:hAnsi="Times New Roman"/>
          <w:sz w:val="28"/>
          <w:szCs w:val="28"/>
          <w:lang w:val="uk-UA"/>
        </w:rPr>
        <w:t>, а також наявності антиоксидантів в ротовій порожнині</w:t>
      </w:r>
      <w:r w:rsidR="00A2282F">
        <w:rPr>
          <w:rFonts w:ascii="Times New Roman" w:hAnsi="Times New Roman"/>
          <w:sz w:val="28"/>
          <w:szCs w:val="28"/>
          <w:lang w:val="uk-UA"/>
        </w:rPr>
        <w:t xml:space="preserve"> [180-182</w:t>
      </w:r>
      <w:r w:rsidR="00575745" w:rsidRPr="00C37163">
        <w:rPr>
          <w:rFonts w:ascii="Times New Roman" w:hAnsi="Times New Roman"/>
          <w:sz w:val="28"/>
          <w:szCs w:val="28"/>
          <w:lang w:val="uk-UA"/>
        </w:rPr>
        <w:t>]</w:t>
      </w:r>
      <w:r w:rsidRPr="00C37163">
        <w:rPr>
          <w:rFonts w:ascii="Times New Roman" w:hAnsi="Times New Roman"/>
          <w:sz w:val="28"/>
          <w:szCs w:val="28"/>
          <w:lang w:val="uk-UA"/>
        </w:rPr>
        <w:t>.</w:t>
      </w:r>
    </w:p>
    <w:p w14:paraId="361B388F" w14:textId="0887B35E" w:rsidR="00FD7FCB" w:rsidRPr="00C37163" w:rsidRDefault="00FD7FCB"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Традиційно виділяють антирадикальні і антиперекисні рівні організації антиоксидантної системи, що включають ферментні і неферментні ланки антиоксидантної системи, які в свою чергу додатково поділяють залежно від їх локалізації на ендогенні (клітинні) і екзогенні (позаклітинні). Ферменти, які беруть участь в забезпеченні антиоксидантного захисту, можна розділити на 3 лінії: супероксиддисмутаза (1 лінія); селенова глутатіонпероксидаза і каталаза (2 лінія); глутатіонтрансфераза, пероксидаза, глутатіонпероксидаза, деякі купрум-вмісні оксидази, цитохромоксидаза (3 лінія), функціонування яких пов'язано між собою</w:t>
      </w:r>
      <w:r w:rsidR="00575745" w:rsidRPr="00C37163">
        <w:rPr>
          <w:rFonts w:ascii="Times New Roman" w:hAnsi="Times New Roman"/>
          <w:sz w:val="28"/>
          <w:szCs w:val="28"/>
          <w:lang w:val="uk-UA"/>
        </w:rPr>
        <w:t xml:space="preserve"> [</w:t>
      </w:r>
      <w:r w:rsidR="00A2282F">
        <w:rPr>
          <w:rFonts w:ascii="Times New Roman" w:hAnsi="Times New Roman"/>
          <w:sz w:val="28"/>
          <w:szCs w:val="28"/>
          <w:lang w:val="ru-RU"/>
        </w:rPr>
        <w:t>169, 183, 184</w:t>
      </w:r>
      <w:r w:rsidR="00575745" w:rsidRPr="00C37163">
        <w:rPr>
          <w:rFonts w:ascii="Times New Roman" w:hAnsi="Times New Roman"/>
          <w:sz w:val="28"/>
          <w:szCs w:val="28"/>
          <w:lang w:val="ru-RU"/>
        </w:rPr>
        <w:t>]</w:t>
      </w:r>
      <w:r w:rsidRPr="00C37163">
        <w:rPr>
          <w:rFonts w:ascii="Times New Roman" w:hAnsi="Times New Roman"/>
          <w:sz w:val="28"/>
          <w:szCs w:val="28"/>
          <w:lang w:val="uk-UA"/>
        </w:rPr>
        <w:t xml:space="preserve">. </w:t>
      </w:r>
    </w:p>
    <w:p w14:paraId="6837CF11" w14:textId="77F78567" w:rsidR="00E21F7F" w:rsidRPr="00C37163" w:rsidRDefault="00E21F7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Перекисне окислення ліпідів залучене в патогенез багатьох патологічних розладів, включаючи захворювання пародонту. Дослідження використання </w:t>
      </w:r>
      <w:r w:rsidR="00663632">
        <w:rPr>
          <w:rFonts w:ascii="Times New Roman" w:hAnsi="Times New Roman"/>
          <w:sz w:val="28"/>
          <w:szCs w:val="28"/>
          <w:lang w:val="uk-UA"/>
        </w:rPr>
        <w:t>ротової рідини як діагностичного інструменту</w:t>
      </w:r>
      <w:r w:rsidRPr="00C37163">
        <w:rPr>
          <w:rFonts w:ascii="Times New Roman" w:hAnsi="Times New Roman"/>
          <w:sz w:val="28"/>
          <w:szCs w:val="28"/>
          <w:lang w:val="uk-UA"/>
        </w:rPr>
        <w:t xml:space="preserve">, що не потребує інвазивності для вимірювання, мають тривалу історію. В даний час зростає інтерес до зв'язку між антиоксидантами та захворюваннями пародонту. Антиоксиданти включають супероксиддисмутазу (СОД), малоновий диальдегід (МДА) та інші. Такий важливий антиоксидант, як СОД, каталізує дисмутацію супероксидного аніона, захищаючи клітини від небезпечних ефектів ПОЛ </w:t>
      </w:r>
      <w:r w:rsidR="002D2D98">
        <w:rPr>
          <w:rFonts w:ascii="Times New Roman" w:hAnsi="Times New Roman"/>
          <w:noProof/>
          <w:sz w:val="28"/>
          <w:szCs w:val="28"/>
          <w:lang w:val="uk-UA"/>
        </w:rPr>
        <w:t>[18</w:t>
      </w:r>
      <w:r w:rsidR="002D2D98" w:rsidRPr="00C37163">
        <w:rPr>
          <w:rFonts w:ascii="Times New Roman" w:hAnsi="Times New Roman"/>
          <w:noProof/>
          <w:sz w:val="28"/>
          <w:szCs w:val="28"/>
          <w:lang w:val="uk-UA"/>
        </w:rPr>
        <w:t>4]</w:t>
      </w:r>
      <w:r w:rsidRPr="00C37163">
        <w:rPr>
          <w:rFonts w:ascii="Times New Roman" w:hAnsi="Times New Roman"/>
          <w:sz w:val="28"/>
          <w:szCs w:val="28"/>
          <w:lang w:val="uk-UA"/>
        </w:rPr>
        <w:t xml:space="preserve">. Малоновий диальдегід є одним з багатьох кінцевих продуктів ПОЛ </w:t>
      </w:r>
      <w:r w:rsidR="002D2D98">
        <w:rPr>
          <w:rFonts w:ascii="Times New Roman" w:hAnsi="Times New Roman"/>
          <w:noProof/>
          <w:sz w:val="28"/>
          <w:szCs w:val="28"/>
          <w:lang w:val="uk-UA"/>
        </w:rPr>
        <w:t>[185-187</w:t>
      </w:r>
      <w:r w:rsidR="00575745" w:rsidRPr="00C37163">
        <w:rPr>
          <w:rFonts w:ascii="Times New Roman" w:hAnsi="Times New Roman"/>
          <w:noProof/>
          <w:sz w:val="28"/>
          <w:szCs w:val="28"/>
          <w:lang w:val="uk-UA"/>
        </w:rPr>
        <w:t>]</w:t>
      </w:r>
      <w:r w:rsidR="00130435">
        <w:rPr>
          <w:rFonts w:ascii="Times New Roman" w:hAnsi="Times New Roman"/>
          <w:sz w:val="28"/>
          <w:szCs w:val="28"/>
          <w:lang w:val="uk-UA"/>
        </w:rPr>
        <w:t>. Оскільки малоновий ди</w:t>
      </w:r>
      <w:r w:rsidRPr="00C37163">
        <w:rPr>
          <w:rFonts w:ascii="Times New Roman" w:hAnsi="Times New Roman"/>
          <w:sz w:val="28"/>
          <w:szCs w:val="28"/>
          <w:lang w:val="uk-UA"/>
        </w:rPr>
        <w:t>альдегід є високотоксичною молекулою альдегіду, він вважається ідеальним маркером перекисного окислення ліпідів.</w:t>
      </w:r>
    </w:p>
    <w:p w14:paraId="4AE31C3E" w14:textId="7B16F9FA" w:rsidR="00883D03" w:rsidRPr="00C37163" w:rsidRDefault="00883D03"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У науковій літературі зустрічаються дані про зміни різної спрямованості активності супероксиддисмутази у стоматологічних пацієнтів в залежності від нозології і вираженості патологічного процесу, а також наявності ускладнень, умов забору біологічного матеріалу, в якому визначають активність ферменту.</w:t>
      </w:r>
    </w:p>
    <w:p w14:paraId="72D08477" w14:textId="4278CA6D" w:rsidR="00875AEF" w:rsidRPr="00C37163" w:rsidRDefault="00875AEF" w:rsidP="00875AEF">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Пародонтит характеризується появою запальної реакції у тканинах пародонту та втратою кісткової підтримки, з надлишковою продукцією продуктів перекисного окислення і протеолітичних ферментів. Згідно з даними науковців, відомо, що у ротовій рідині пацієнтів з пародонтитом знижується </w:t>
      </w:r>
      <w:r w:rsidRPr="00C37163">
        <w:rPr>
          <w:rFonts w:ascii="Times New Roman" w:hAnsi="Times New Roman"/>
          <w:sz w:val="28"/>
          <w:szCs w:val="28"/>
          <w:lang w:val="uk-UA"/>
        </w:rPr>
        <w:lastRenderedPageBreak/>
        <w:t xml:space="preserve">загальна потужність антиоксидантної системи, а також спостерігаються більш низькі концентрації відновленого глутатіону в сироватці крові і рідини ясенної борозни </w:t>
      </w:r>
      <w:r w:rsidR="002D2D98">
        <w:rPr>
          <w:rFonts w:ascii="Times New Roman" w:hAnsi="Times New Roman"/>
          <w:noProof/>
          <w:sz w:val="28"/>
          <w:szCs w:val="28"/>
          <w:lang w:val="uk-UA"/>
        </w:rPr>
        <w:t>[</w:t>
      </w:r>
      <w:r w:rsidR="0064409F" w:rsidRPr="0064409F">
        <w:rPr>
          <w:rFonts w:ascii="Times New Roman" w:hAnsi="Times New Roman"/>
          <w:noProof/>
          <w:sz w:val="28"/>
          <w:szCs w:val="28"/>
          <w:lang w:val="uk-UA"/>
        </w:rPr>
        <w:t>188-190</w:t>
      </w:r>
      <w:r w:rsidR="00575745" w:rsidRPr="00C37163">
        <w:rPr>
          <w:rFonts w:ascii="Times New Roman" w:hAnsi="Times New Roman"/>
          <w:noProof/>
          <w:sz w:val="28"/>
          <w:szCs w:val="28"/>
          <w:lang w:val="uk-UA"/>
        </w:rPr>
        <w:t>]</w:t>
      </w:r>
      <w:r w:rsidRPr="00C37163">
        <w:rPr>
          <w:rFonts w:ascii="Times New Roman" w:hAnsi="Times New Roman"/>
          <w:sz w:val="28"/>
          <w:szCs w:val="28"/>
          <w:lang w:val="uk-UA"/>
        </w:rPr>
        <w:t xml:space="preserve">. Актуальною задачею сучасної стоматології є розгляд змін показників антиоксидантної системи не тільки у дорослих пацієнтів з пародонтитом, але й вивчення даних показників серед пацієнтів дитячого віку з клінічними проявами гінгівіту та без таких. Розуміння механізмів формування захворювань пародонту, виявлення взаємозв’язку між показниками антиоксидантної системи та розвитком запалення у тканинах пародонту зробить можливим ранню діагностику та профілактику захворювань пародонту </w:t>
      </w:r>
      <w:r w:rsidR="0064409F">
        <w:rPr>
          <w:rFonts w:ascii="Times New Roman" w:hAnsi="Times New Roman"/>
          <w:noProof/>
          <w:sz w:val="28"/>
          <w:szCs w:val="28"/>
          <w:lang w:val="uk-UA"/>
        </w:rPr>
        <w:t>[191-194</w:t>
      </w:r>
      <w:r w:rsidR="002D2D98" w:rsidRPr="00C37163">
        <w:rPr>
          <w:rFonts w:ascii="Times New Roman" w:hAnsi="Times New Roman"/>
          <w:noProof/>
          <w:sz w:val="28"/>
          <w:szCs w:val="28"/>
          <w:lang w:val="uk-UA"/>
        </w:rPr>
        <w:t>]</w:t>
      </w:r>
      <w:r w:rsidRPr="00C37163">
        <w:rPr>
          <w:rFonts w:ascii="Times New Roman" w:hAnsi="Times New Roman"/>
          <w:sz w:val="28"/>
          <w:szCs w:val="28"/>
          <w:lang w:val="uk-UA"/>
        </w:rPr>
        <w:t>.</w:t>
      </w:r>
    </w:p>
    <w:p w14:paraId="4476BDE5" w14:textId="0817275B" w:rsidR="00875AEF" w:rsidRPr="00C37163" w:rsidRDefault="0064409F" w:rsidP="00875A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Супероксиддисмутаза</w:t>
      </w:r>
      <w:r w:rsidR="00875AEF" w:rsidRPr="00C37163">
        <w:rPr>
          <w:rFonts w:ascii="Times New Roman" w:hAnsi="Times New Roman"/>
          <w:sz w:val="28"/>
          <w:szCs w:val="28"/>
          <w:lang w:val="uk-UA"/>
        </w:rPr>
        <w:t xml:space="preserve"> є антиоксидантним ферментом, який діє проти вільних радикалів, які є чинниками запалення у тканинах пародонту та викликають пошкодження сполучної тканини </w:t>
      </w:r>
      <w:r>
        <w:rPr>
          <w:rFonts w:ascii="Times New Roman" w:hAnsi="Times New Roman"/>
          <w:noProof/>
          <w:sz w:val="28"/>
          <w:szCs w:val="28"/>
          <w:lang w:val="uk-UA"/>
        </w:rPr>
        <w:t>[195</w:t>
      </w:r>
      <w:r w:rsidR="00575745" w:rsidRPr="00C37163">
        <w:rPr>
          <w:rFonts w:ascii="Times New Roman" w:hAnsi="Times New Roman"/>
          <w:noProof/>
          <w:sz w:val="28"/>
          <w:szCs w:val="28"/>
          <w:lang w:val="uk-UA"/>
        </w:rPr>
        <w:t>]</w:t>
      </w:r>
      <w:r w:rsidR="00875AEF" w:rsidRPr="00C37163">
        <w:rPr>
          <w:rFonts w:ascii="Times New Roman" w:hAnsi="Times New Roman"/>
          <w:sz w:val="28"/>
          <w:szCs w:val="28"/>
          <w:lang w:val="uk-UA"/>
        </w:rPr>
        <w:t>. У зв’язку з високою розповсюдженістю гінгівіту серед дитячого населення, пошук шляхів ранньої діагностики, профілактики та оптимізації лікування</w:t>
      </w:r>
      <w:r w:rsidRPr="0064409F">
        <w:rPr>
          <w:rFonts w:ascii="Times New Roman" w:hAnsi="Times New Roman"/>
          <w:sz w:val="28"/>
          <w:szCs w:val="28"/>
          <w:lang w:val="uk-UA"/>
        </w:rPr>
        <w:t xml:space="preserve"> </w:t>
      </w:r>
      <w:r>
        <w:rPr>
          <w:rFonts w:ascii="Times New Roman" w:hAnsi="Times New Roman"/>
          <w:sz w:val="28"/>
          <w:szCs w:val="28"/>
          <w:lang w:val="uk-UA"/>
        </w:rPr>
        <w:t>за допомогою інформативних біомаркерів, таких як СОД,</w:t>
      </w:r>
      <w:r w:rsidR="00875AEF" w:rsidRPr="00C37163">
        <w:rPr>
          <w:rFonts w:ascii="Times New Roman" w:hAnsi="Times New Roman"/>
          <w:sz w:val="28"/>
          <w:szCs w:val="28"/>
          <w:lang w:val="uk-UA"/>
        </w:rPr>
        <w:t xml:space="preserve"> є надзвичайно актуальним завданням для науковців.</w:t>
      </w:r>
    </w:p>
    <w:p w14:paraId="670DF73A" w14:textId="77777777" w:rsidR="008B1CF7" w:rsidRDefault="005E07EA" w:rsidP="00B97AF2">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Відомо, що захисну дію від впливу перекисів ліпідів на клітинному рівні має відновлений глутатіон та його ключові ферменти. Виключно висока реакційна здатність даних сполук робить можливою їх участь у різноманітних хімічних перетвореннях. Але найважливішу в біологічному сенсі роль учені надають окислювально-відновлювальним реакціям, у ході яких тіолові групи легко окислюються з утворенням, як правило, дисульфідних груп та знов регенерують при їх відновлювальному розщепленні. Відновлені тіоли мають високий антиокислювальний потенціал, антирадикальні, антиперекисні властивості та здатні захищати від ушкодження ферменти, нуклеїнові кислоти, л</w:t>
      </w:r>
      <w:r w:rsidR="00575745" w:rsidRPr="00C37163">
        <w:rPr>
          <w:rFonts w:ascii="Times New Roman" w:hAnsi="Times New Roman"/>
          <w:sz w:val="28"/>
          <w:szCs w:val="28"/>
          <w:lang w:val="uk-UA"/>
        </w:rPr>
        <w:t>іпіди та інші активні сполуки [159,1</w:t>
      </w:r>
      <w:r w:rsidRPr="00C37163">
        <w:rPr>
          <w:rFonts w:ascii="Times New Roman" w:hAnsi="Times New Roman"/>
          <w:sz w:val="28"/>
          <w:szCs w:val="28"/>
          <w:lang w:val="uk-UA"/>
        </w:rPr>
        <w:t xml:space="preserve">60]. </w:t>
      </w:r>
    </w:p>
    <w:p w14:paraId="2418C692" w14:textId="56B7C2B7" w:rsidR="005E07EA" w:rsidRPr="00476AD5" w:rsidRDefault="005E07EA" w:rsidP="00B97AF2">
      <w:pPr>
        <w:spacing w:after="0" w:line="360" w:lineRule="auto"/>
        <w:ind w:firstLine="709"/>
        <w:jc w:val="both"/>
        <w:rPr>
          <w:rFonts w:ascii="Times New Roman" w:hAnsi="Times New Roman"/>
          <w:sz w:val="28"/>
          <w:szCs w:val="28"/>
          <w:lang w:val="uk-UA"/>
        </w:rPr>
      </w:pPr>
      <w:r w:rsidRPr="00C37163">
        <w:rPr>
          <w:rFonts w:ascii="Times New Roman" w:hAnsi="Times New Roman"/>
          <w:sz w:val="28"/>
          <w:szCs w:val="28"/>
          <w:lang w:val="uk-UA"/>
        </w:rPr>
        <w:t xml:space="preserve">У разі дослідження патологічних впливів на пародонт визначення стану системи глутатіону набуває особливого діагностичного значення. Оскільки сульфгідрильні групи глутатіону першими підпадають під дію перекисів, </w:t>
      </w:r>
      <w:r w:rsidRPr="00C37163">
        <w:rPr>
          <w:rFonts w:ascii="Times New Roman" w:hAnsi="Times New Roman"/>
          <w:sz w:val="28"/>
          <w:szCs w:val="28"/>
          <w:lang w:val="uk-UA"/>
        </w:rPr>
        <w:lastRenderedPageBreak/>
        <w:t xml:space="preserve">зниження концентрації глутатіону може відображати його безпосередню взаємодію з пероксидами або участь у глутатіонпероксидазній реакції. </w:t>
      </w:r>
      <w:r w:rsidRPr="00476AD5">
        <w:rPr>
          <w:rFonts w:ascii="Times New Roman" w:hAnsi="Times New Roman"/>
          <w:sz w:val="28"/>
          <w:szCs w:val="28"/>
          <w:lang w:val="uk-UA"/>
        </w:rPr>
        <w:t>При цьому особливістю глутатіонпероксидази є її висока специфічність до глутатіону та неспецифічність до субстрату, що дозволяє ферменту інактивувати як органічні, так і неорганічні пероксиди. Це само по собі забезпечує посилення процесів ПОЛ і може розглядатися як індикатор глибоких метаболічних порушень у клітинах, пригнічення синтезу білка в організмі та глюконеогенеза н</w:t>
      </w:r>
      <w:r w:rsidR="00575745" w:rsidRPr="00476AD5">
        <w:rPr>
          <w:rFonts w:ascii="Times New Roman" w:hAnsi="Times New Roman"/>
          <w:sz w:val="28"/>
          <w:szCs w:val="28"/>
          <w:lang w:val="uk-UA"/>
        </w:rPr>
        <w:t>а тл</w:t>
      </w:r>
      <w:r w:rsidR="008B1CF7">
        <w:rPr>
          <w:rFonts w:ascii="Times New Roman" w:hAnsi="Times New Roman"/>
          <w:sz w:val="28"/>
          <w:szCs w:val="28"/>
          <w:lang w:val="uk-UA"/>
        </w:rPr>
        <w:t>і активації глюкогенолізу</w:t>
      </w:r>
      <w:r w:rsidRPr="00476AD5">
        <w:rPr>
          <w:rFonts w:ascii="Times New Roman" w:hAnsi="Times New Roman"/>
          <w:sz w:val="28"/>
          <w:szCs w:val="28"/>
          <w:lang w:val="uk-UA"/>
        </w:rPr>
        <w:t>. Є дані, що функціонування системи глутатіону при генералізованому пародонтит</w:t>
      </w:r>
      <w:r w:rsidR="00575745" w:rsidRPr="00476AD5">
        <w:rPr>
          <w:rFonts w:ascii="Times New Roman" w:hAnsi="Times New Roman"/>
          <w:sz w:val="28"/>
          <w:szCs w:val="28"/>
          <w:lang w:val="uk-UA"/>
        </w:rPr>
        <w:t>і тр</w:t>
      </w:r>
      <w:r w:rsidR="008B1CF7">
        <w:rPr>
          <w:rFonts w:ascii="Times New Roman" w:hAnsi="Times New Roman"/>
          <w:sz w:val="28"/>
          <w:szCs w:val="28"/>
          <w:lang w:val="uk-UA"/>
        </w:rPr>
        <w:t>етього ступеня змінюється [189, 190, 194, 195</w:t>
      </w:r>
      <w:r w:rsidR="00130435">
        <w:rPr>
          <w:rFonts w:ascii="Times New Roman" w:hAnsi="Times New Roman"/>
          <w:sz w:val="28"/>
          <w:szCs w:val="28"/>
          <w:lang w:val="uk-UA"/>
        </w:rPr>
        <w:t>]. Але недостатними є знання</w:t>
      </w:r>
      <w:r w:rsidRPr="00476AD5">
        <w:rPr>
          <w:rFonts w:ascii="Times New Roman" w:hAnsi="Times New Roman"/>
          <w:sz w:val="28"/>
          <w:szCs w:val="28"/>
          <w:lang w:val="uk-UA"/>
        </w:rPr>
        <w:t xml:space="preserve"> про дану систему при захворюваннях пародонта, що обумовлені загальносоматичними факторами, особливо на початкових стадіях хвороби та стадії передхвороби. Незначні зміни у відновленому глутатіоні визначені у хворих на генералізований пародонтит першого ступеня при його поєднанні з </w:t>
      </w:r>
      <w:r w:rsidR="008B1CF7">
        <w:rPr>
          <w:rFonts w:ascii="Times New Roman" w:hAnsi="Times New Roman"/>
          <w:sz w:val="28"/>
          <w:szCs w:val="28"/>
          <w:lang w:val="uk-UA"/>
        </w:rPr>
        <w:t>загальносоматичними захворюваннями</w:t>
      </w:r>
      <w:r w:rsidRPr="00476AD5">
        <w:rPr>
          <w:rFonts w:ascii="Times New Roman" w:hAnsi="Times New Roman"/>
          <w:sz w:val="28"/>
          <w:szCs w:val="28"/>
          <w:lang w:val="uk-UA"/>
        </w:rPr>
        <w:t>. Даний факт розглядається дослідниками як компенсаторна реакція, що спрямована на детоксикацію перекисів при ум</w:t>
      </w:r>
      <w:r w:rsidR="008B1CF7">
        <w:rPr>
          <w:rFonts w:ascii="Times New Roman" w:hAnsi="Times New Roman"/>
          <w:sz w:val="28"/>
          <w:szCs w:val="28"/>
          <w:lang w:val="uk-UA"/>
        </w:rPr>
        <w:t xml:space="preserve">овах супероксидазної активності </w:t>
      </w:r>
      <w:r w:rsidR="008B1CF7" w:rsidRPr="008B1CF7">
        <w:rPr>
          <w:rFonts w:ascii="Times New Roman" w:hAnsi="Times New Roman"/>
          <w:sz w:val="28"/>
          <w:szCs w:val="28"/>
          <w:lang w:val="ru-RU"/>
        </w:rPr>
        <w:t>[</w:t>
      </w:r>
      <w:r w:rsidR="008B1CF7">
        <w:rPr>
          <w:rFonts w:ascii="Times New Roman" w:hAnsi="Times New Roman"/>
          <w:sz w:val="28"/>
          <w:szCs w:val="28"/>
          <w:lang w:val="ru-RU"/>
        </w:rPr>
        <w:t>150, 154, 156, 157</w:t>
      </w:r>
      <w:r w:rsidR="008B1CF7" w:rsidRPr="008B1CF7">
        <w:rPr>
          <w:rFonts w:ascii="Times New Roman" w:hAnsi="Times New Roman"/>
          <w:sz w:val="28"/>
          <w:szCs w:val="28"/>
          <w:lang w:val="ru-RU"/>
        </w:rPr>
        <w:t>, 190]</w:t>
      </w:r>
      <w:r w:rsidR="00B97AF2">
        <w:rPr>
          <w:rFonts w:ascii="Times New Roman" w:hAnsi="Times New Roman"/>
          <w:sz w:val="28"/>
          <w:szCs w:val="28"/>
          <w:lang w:val="uk-UA"/>
        </w:rPr>
        <w:t>.</w:t>
      </w:r>
    </w:p>
    <w:p w14:paraId="6847D4BC" w14:textId="070FE7A3" w:rsidR="00875AEF" w:rsidRPr="00C9043A" w:rsidRDefault="005E07EA" w:rsidP="005E07EA">
      <w:pPr>
        <w:spacing w:after="0" w:line="360" w:lineRule="auto"/>
        <w:ind w:firstLine="709"/>
        <w:jc w:val="both"/>
        <w:rPr>
          <w:rFonts w:ascii="Times New Roman" w:hAnsi="Times New Roman"/>
          <w:sz w:val="28"/>
          <w:szCs w:val="28"/>
          <w:lang w:val="uk-UA"/>
        </w:rPr>
      </w:pPr>
      <w:r w:rsidRPr="00C9043A">
        <w:rPr>
          <w:rFonts w:ascii="Times New Roman" w:hAnsi="Times New Roman"/>
          <w:sz w:val="28"/>
          <w:szCs w:val="28"/>
          <w:lang w:val="uk-UA"/>
        </w:rPr>
        <w:t xml:space="preserve">Отже, </w:t>
      </w:r>
      <w:r w:rsidR="00C9043A">
        <w:rPr>
          <w:rFonts w:ascii="Times New Roman" w:hAnsi="Times New Roman"/>
          <w:sz w:val="28"/>
          <w:szCs w:val="28"/>
          <w:lang w:val="uk-UA"/>
        </w:rPr>
        <w:t xml:space="preserve">аналіз літературних даних доводить </w:t>
      </w:r>
      <w:r w:rsidR="00130435">
        <w:rPr>
          <w:rFonts w:ascii="Times New Roman" w:hAnsi="Times New Roman"/>
          <w:sz w:val="28"/>
          <w:szCs w:val="28"/>
          <w:lang w:val="uk-UA"/>
        </w:rPr>
        <w:t>взаємозв</w:t>
      </w:r>
      <w:r w:rsidR="00130435" w:rsidRPr="00130435">
        <w:rPr>
          <w:rFonts w:ascii="Times New Roman" w:hAnsi="Times New Roman"/>
          <w:sz w:val="28"/>
          <w:szCs w:val="28"/>
          <w:lang w:val="ru-RU"/>
        </w:rPr>
        <w:t>’</w:t>
      </w:r>
      <w:r w:rsidR="00130435">
        <w:rPr>
          <w:rFonts w:ascii="Times New Roman" w:hAnsi="Times New Roman"/>
          <w:sz w:val="28"/>
          <w:szCs w:val="28"/>
          <w:lang w:val="uk-UA"/>
        </w:rPr>
        <w:t>язок</w:t>
      </w:r>
      <w:r w:rsidRPr="00C9043A">
        <w:rPr>
          <w:rFonts w:ascii="Times New Roman" w:hAnsi="Times New Roman"/>
          <w:sz w:val="28"/>
          <w:szCs w:val="28"/>
          <w:lang w:val="uk-UA"/>
        </w:rPr>
        <w:t xml:space="preserve"> розвитку патологічного процесу у тканинах пародонта на стан прооксидантно-антиоксидантного гомеостазу тканин пародонта.</w:t>
      </w:r>
    </w:p>
    <w:p w14:paraId="24452CB3" w14:textId="1A800877" w:rsidR="009C4FDC" w:rsidRPr="009C4FDC" w:rsidRDefault="00F64ECC" w:rsidP="0057574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дослідженнями науковців</w:t>
      </w:r>
      <w:r w:rsidR="009C4FDC">
        <w:rPr>
          <w:rFonts w:ascii="Times New Roman" w:hAnsi="Times New Roman"/>
          <w:sz w:val="28"/>
          <w:szCs w:val="28"/>
          <w:lang w:val="uk-UA"/>
        </w:rPr>
        <w:t>, гінгівіт</w:t>
      </w:r>
      <w:r w:rsidR="009C4FDC" w:rsidRPr="009C4FDC">
        <w:rPr>
          <w:rFonts w:ascii="Times New Roman" w:hAnsi="Times New Roman"/>
          <w:sz w:val="28"/>
          <w:szCs w:val="28"/>
          <w:lang w:val="uk-UA"/>
        </w:rPr>
        <w:t xml:space="preserve"> </w:t>
      </w:r>
      <w:r w:rsidR="009C4FDC">
        <w:rPr>
          <w:rFonts w:ascii="Times New Roman" w:hAnsi="Times New Roman"/>
          <w:sz w:val="28"/>
          <w:szCs w:val="28"/>
          <w:lang w:val="uk-UA"/>
        </w:rPr>
        <w:t>обумовлений</w:t>
      </w:r>
      <w:r w:rsidR="009C4FDC" w:rsidRPr="009C4FDC">
        <w:rPr>
          <w:rFonts w:ascii="Times New Roman" w:hAnsi="Times New Roman"/>
          <w:sz w:val="28"/>
          <w:szCs w:val="28"/>
          <w:lang w:val="uk-UA"/>
        </w:rPr>
        <w:t xml:space="preserve"> розвитком </w:t>
      </w:r>
      <w:r w:rsidR="009C4FDC">
        <w:rPr>
          <w:rFonts w:ascii="Times New Roman" w:hAnsi="Times New Roman"/>
          <w:sz w:val="28"/>
          <w:szCs w:val="28"/>
          <w:lang w:val="uk-UA"/>
        </w:rPr>
        <w:t xml:space="preserve">запалення, наявністю </w:t>
      </w:r>
      <w:r w:rsidR="009C4FDC" w:rsidRPr="009C4FDC">
        <w:rPr>
          <w:rFonts w:ascii="Times New Roman" w:hAnsi="Times New Roman"/>
          <w:sz w:val="28"/>
          <w:szCs w:val="28"/>
          <w:lang w:val="uk-UA"/>
        </w:rPr>
        <w:t>пародонтопатогенної мікрофлори, накопиченням екзо- та ендотоксинів на тлі зниження імунол</w:t>
      </w:r>
      <w:r w:rsidR="009C4FDC">
        <w:rPr>
          <w:rFonts w:ascii="Times New Roman" w:hAnsi="Times New Roman"/>
          <w:sz w:val="28"/>
          <w:szCs w:val="28"/>
          <w:lang w:val="uk-UA"/>
        </w:rPr>
        <w:t xml:space="preserve">огічної реактивності організму </w:t>
      </w:r>
      <w:r>
        <w:rPr>
          <w:rFonts w:ascii="Times New Roman" w:hAnsi="Times New Roman"/>
          <w:noProof/>
          <w:sz w:val="28"/>
          <w:szCs w:val="28"/>
          <w:lang w:val="uk-UA"/>
        </w:rPr>
        <w:t>[195</w:t>
      </w:r>
      <w:r w:rsidRPr="000953B6">
        <w:rPr>
          <w:rFonts w:ascii="Times New Roman" w:hAnsi="Times New Roman"/>
          <w:noProof/>
          <w:sz w:val="28"/>
          <w:szCs w:val="28"/>
          <w:lang w:val="uk-UA"/>
        </w:rPr>
        <w:t>]</w:t>
      </w:r>
      <w:r w:rsidR="007F3F93">
        <w:rPr>
          <w:rFonts w:ascii="Times New Roman" w:hAnsi="Times New Roman"/>
          <w:sz w:val="28"/>
          <w:szCs w:val="28"/>
          <w:lang w:val="uk-UA"/>
        </w:rPr>
        <w:t xml:space="preserve">. За даними різних досліджень </w:t>
      </w:r>
      <w:r w:rsidR="009C4FDC" w:rsidRPr="009C4FDC">
        <w:rPr>
          <w:rFonts w:ascii="Times New Roman" w:hAnsi="Times New Roman"/>
          <w:sz w:val="28"/>
          <w:szCs w:val="28"/>
          <w:lang w:val="uk-UA"/>
        </w:rPr>
        <w:t>ураженість цими захворюваннями дорослого населення в різних популяціях сягає 15-90 %</w:t>
      </w:r>
      <w:r>
        <w:rPr>
          <w:rFonts w:ascii="Times New Roman" w:hAnsi="Times New Roman"/>
          <w:sz w:val="28"/>
          <w:szCs w:val="28"/>
          <w:lang w:val="uk-UA"/>
        </w:rPr>
        <w:t xml:space="preserve"> </w:t>
      </w:r>
      <w:r w:rsidRPr="00F64ECC">
        <w:rPr>
          <w:rFonts w:ascii="Times New Roman" w:hAnsi="Times New Roman"/>
          <w:sz w:val="28"/>
          <w:szCs w:val="28"/>
          <w:lang w:val="ru-RU"/>
        </w:rPr>
        <w:t>[</w:t>
      </w:r>
      <w:r w:rsidR="007F3F93">
        <w:rPr>
          <w:rFonts w:ascii="Times New Roman" w:hAnsi="Times New Roman"/>
          <w:sz w:val="28"/>
          <w:szCs w:val="28"/>
          <w:lang w:val="ru-RU"/>
        </w:rPr>
        <w:t>196, 197</w:t>
      </w:r>
      <w:r w:rsidRPr="00F64ECC">
        <w:rPr>
          <w:rFonts w:ascii="Times New Roman" w:hAnsi="Times New Roman"/>
          <w:sz w:val="28"/>
          <w:szCs w:val="28"/>
          <w:lang w:val="ru-RU"/>
        </w:rPr>
        <w:t>]</w:t>
      </w:r>
      <w:r w:rsidR="009C4FDC" w:rsidRPr="009C4FDC">
        <w:rPr>
          <w:rFonts w:ascii="Times New Roman" w:hAnsi="Times New Roman"/>
          <w:sz w:val="28"/>
          <w:szCs w:val="28"/>
          <w:lang w:val="uk-UA"/>
        </w:rPr>
        <w:t>. Приблизно в 10-15 % пацієнтів із хронічним гінгівітом зг</w:t>
      </w:r>
      <w:r w:rsidR="009E2988">
        <w:rPr>
          <w:rFonts w:ascii="Times New Roman" w:hAnsi="Times New Roman"/>
          <w:sz w:val="28"/>
          <w:szCs w:val="28"/>
          <w:lang w:val="uk-UA"/>
        </w:rPr>
        <w:t xml:space="preserve">одом діагностують хронічний пародонтит. </w:t>
      </w:r>
      <w:r w:rsidR="009C4FDC" w:rsidRPr="009C4FDC">
        <w:rPr>
          <w:rFonts w:ascii="Times New Roman" w:hAnsi="Times New Roman"/>
          <w:sz w:val="28"/>
          <w:szCs w:val="28"/>
          <w:lang w:val="uk-UA"/>
        </w:rPr>
        <w:t xml:space="preserve">Постійне запалення та мікробне навантаження при </w:t>
      </w:r>
      <w:r w:rsidR="009E2988">
        <w:rPr>
          <w:rFonts w:ascii="Times New Roman" w:hAnsi="Times New Roman"/>
          <w:sz w:val="28"/>
          <w:szCs w:val="28"/>
          <w:lang w:val="uk-UA"/>
        </w:rPr>
        <w:t>гінгівіті</w:t>
      </w:r>
      <w:r w:rsidR="009C4FDC" w:rsidRPr="009C4FDC">
        <w:rPr>
          <w:rFonts w:ascii="Times New Roman" w:hAnsi="Times New Roman"/>
          <w:sz w:val="28"/>
          <w:szCs w:val="28"/>
          <w:lang w:val="uk-UA"/>
        </w:rPr>
        <w:t xml:space="preserve"> можуть бути фактором схильності таких пацієнтів до системних ускладнень</w:t>
      </w:r>
      <w:r w:rsidR="009E2988">
        <w:rPr>
          <w:rFonts w:ascii="Times New Roman" w:hAnsi="Times New Roman"/>
          <w:sz w:val="28"/>
          <w:szCs w:val="28"/>
          <w:lang w:val="uk-UA"/>
        </w:rPr>
        <w:t>, серцево-судинних</w:t>
      </w:r>
      <w:r w:rsidR="009C4FDC" w:rsidRPr="009C4FDC">
        <w:rPr>
          <w:rFonts w:ascii="Times New Roman" w:hAnsi="Times New Roman"/>
          <w:sz w:val="28"/>
          <w:szCs w:val="28"/>
          <w:lang w:val="uk-UA"/>
        </w:rPr>
        <w:t xml:space="preserve"> зах</w:t>
      </w:r>
      <w:r w:rsidR="009E2988">
        <w:rPr>
          <w:rFonts w:ascii="Times New Roman" w:hAnsi="Times New Roman"/>
          <w:sz w:val="28"/>
          <w:szCs w:val="28"/>
          <w:lang w:val="uk-UA"/>
        </w:rPr>
        <w:t>ворювань</w:t>
      </w:r>
      <w:r w:rsidR="009C4FDC" w:rsidRPr="009C4FDC">
        <w:rPr>
          <w:rFonts w:ascii="Times New Roman" w:hAnsi="Times New Roman"/>
          <w:sz w:val="28"/>
          <w:szCs w:val="28"/>
          <w:lang w:val="uk-UA"/>
        </w:rPr>
        <w:t xml:space="preserve"> та, навіть, до розвитку раку</w:t>
      </w:r>
      <w:r w:rsidR="00EE07AC" w:rsidRPr="00EE07AC">
        <w:rPr>
          <w:rFonts w:ascii="Times New Roman" w:hAnsi="Times New Roman"/>
          <w:sz w:val="28"/>
          <w:szCs w:val="28"/>
          <w:lang w:val="ru-RU"/>
        </w:rPr>
        <w:t xml:space="preserve"> [198-200]</w:t>
      </w:r>
      <w:r w:rsidR="009C4FDC" w:rsidRPr="009C4FDC">
        <w:rPr>
          <w:rFonts w:ascii="Times New Roman" w:hAnsi="Times New Roman"/>
          <w:sz w:val="28"/>
          <w:szCs w:val="28"/>
          <w:lang w:val="uk-UA"/>
        </w:rPr>
        <w:t xml:space="preserve">. Останнім часом </w:t>
      </w:r>
      <w:r w:rsidR="009E2988" w:rsidRPr="009C4FDC">
        <w:rPr>
          <w:rFonts w:ascii="Times New Roman" w:hAnsi="Times New Roman"/>
          <w:sz w:val="28"/>
          <w:szCs w:val="28"/>
          <w:lang w:val="uk-UA"/>
        </w:rPr>
        <w:t>з’явились</w:t>
      </w:r>
      <w:r w:rsidR="009E2988">
        <w:rPr>
          <w:rFonts w:ascii="Times New Roman" w:hAnsi="Times New Roman"/>
          <w:sz w:val="28"/>
          <w:szCs w:val="28"/>
          <w:lang w:val="uk-UA"/>
        </w:rPr>
        <w:t xml:space="preserve"> дослідж</w:t>
      </w:r>
      <w:r w:rsidR="009C4FDC" w:rsidRPr="009C4FDC">
        <w:rPr>
          <w:rFonts w:ascii="Times New Roman" w:hAnsi="Times New Roman"/>
          <w:sz w:val="28"/>
          <w:szCs w:val="28"/>
          <w:lang w:val="uk-UA"/>
        </w:rPr>
        <w:t xml:space="preserve">ення, що демонструють статистичну асоціацію між </w:t>
      </w:r>
      <w:r w:rsidR="009E2988">
        <w:rPr>
          <w:rFonts w:ascii="Times New Roman" w:hAnsi="Times New Roman"/>
          <w:sz w:val="28"/>
          <w:szCs w:val="28"/>
          <w:lang w:val="uk-UA"/>
        </w:rPr>
        <w:t>гінгівітом</w:t>
      </w:r>
      <w:r w:rsidR="009C4FDC" w:rsidRPr="009C4FDC">
        <w:rPr>
          <w:rFonts w:ascii="Times New Roman" w:hAnsi="Times New Roman"/>
          <w:sz w:val="28"/>
          <w:szCs w:val="28"/>
          <w:lang w:val="uk-UA"/>
        </w:rPr>
        <w:t xml:space="preserve"> </w:t>
      </w:r>
      <w:r w:rsidR="009C4FDC" w:rsidRPr="009C4FDC">
        <w:rPr>
          <w:rFonts w:ascii="Times New Roman" w:hAnsi="Times New Roman"/>
          <w:sz w:val="28"/>
          <w:szCs w:val="28"/>
          <w:lang w:val="uk-UA"/>
        </w:rPr>
        <w:lastRenderedPageBreak/>
        <w:t>та розвитком раку</w:t>
      </w:r>
      <w:r w:rsidR="00EE07AC" w:rsidRPr="00EE07AC">
        <w:rPr>
          <w:rFonts w:ascii="Times New Roman" w:hAnsi="Times New Roman"/>
          <w:sz w:val="28"/>
          <w:szCs w:val="28"/>
          <w:lang w:val="ru-RU"/>
        </w:rPr>
        <w:t xml:space="preserve"> [201, 196]</w:t>
      </w:r>
      <w:r w:rsidR="009C4FDC" w:rsidRPr="009C4FDC">
        <w:rPr>
          <w:rFonts w:ascii="Times New Roman" w:hAnsi="Times New Roman"/>
          <w:sz w:val="28"/>
          <w:szCs w:val="28"/>
          <w:lang w:val="uk-UA"/>
        </w:rPr>
        <w:t>.</w:t>
      </w:r>
      <w:r w:rsidR="009E2988">
        <w:rPr>
          <w:rFonts w:ascii="Times New Roman" w:hAnsi="Times New Roman"/>
          <w:sz w:val="28"/>
          <w:szCs w:val="28"/>
          <w:lang w:val="uk-UA"/>
        </w:rPr>
        <w:t xml:space="preserve"> Наявність та</w:t>
      </w:r>
      <w:r w:rsidR="0025200C">
        <w:rPr>
          <w:rFonts w:ascii="Times New Roman" w:hAnsi="Times New Roman"/>
          <w:sz w:val="28"/>
          <w:szCs w:val="28"/>
          <w:lang w:val="uk-UA"/>
        </w:rPr>
        <w:t>ких даних не може не свідчити про</w:t>
      </w:r>
      <w:r w:rsidR="009E2988">
        <w:rPr>
          <w:rFonts w:ascii="Times New Roman" w:hAnsi="Times New Roman"/>
          <w:sz w:val="28"/>
          <w:szCs w:val="28"/>
          <w:lang w:val="uk-UA"/>
        </w:rPr>
        <w:t xml:space="preserve"> тісний взаємозвязок між системними захворюваннями та станом тканини пародонту.</w:t>
      </w:r>
    </w:p>
    <w:p w14:paraId="0CD08C8C" w14:textId="332193EC" w:rsidR="009C4FDC" w:rsidRPr="009C4FDC" w:rsidRDefault="00130435" w:rsidP="009C4F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даними літератури, дослідниками запропонована класифікація</w:t>
      </w:r>
      <w:r w:rsidR="00B778D7">
        <w:rPr>
          <w:rFonts w:ascii="Times New Roman" w:hAnsi="Times New Roman"/>
          <w:sz w:val="28"/>
          <w:szCs w:val="28"/>
          <w:lang w:val="uk-UA"/>
        </w:rPr>
        <w:t xml:space="preserve"> гінгівіту за етіологічним</w:t>
      </w:r>
      <w:r>
        <w:rPr>
          <w:rFonts w:ascii="Times New Roman" w:hAnsi="Times New Roman"/>
          <w:sz w:val="28"/>
          <w:szCs w:val="28"/>
          <w:lang w:val="uk-UA"/>
        </w:rPr>
        <w:t>и чинниками</w:t>
      </w:r>
      <w:r w:rsidR="009C4FDC" w:rsidRPr="009C4FDC">
        <w:rPr>
          <w:rFonts w:ascii="Times New Roman" w:hAnsi="Times New Roman"/>
          <w:sz w:val="28"/>
          <w:szCs w:val="28"/>
          <w:lang w:val="uk-UA"/>
        </w:rPr>
        <w:t>,</w:t>
      </w:r>
      <w:r>
        <w:rPr>
          <w:rFonts w:ascii="Times New Roman" w:hAnsi="Times New Roman"/>
          <w:sz w:val="28"/>
          <w:szCs w:val="28"/>
          <w:lang w:val="uk-UA"/>
        </w:rPr>
        <w:t xml:space="preserve"> відповідно до якої</w:t>
      </w:r>
      <w:r w:rsidR="009C4FDC" w:rsidRPr="009C4FDC">
        <w:rPr>
          <w:rFonts w:ascii="Times New Roman" w:hAnsi="Times New Roman"/>
          <w:sz w:val="28"/>
          <w:szCs w:val="28"/>
          <w:lang w:val="uk-UA"/>
        </w:rPr>
        <w:t xml:space="preserve"> захворювання </w:t>
      </w:r>
      <w:r w:rsidR="00B778D7">
        <w:rPr>
          <w:rFonts w:ascii="Times New Roman" w:hAnsi="Times New Roman"/>
          <w:sz w:val="28"/>
          <w:szCs w:val="28"/>
          <w:lang w:val="uk-UA"/>
        </w:rPr>
        <w:t xml:space="preserve">тканин пародонту </w:t>
      </w:r>
      <w:r w:rsidR="009C4FDC" w:rsidRPr="009C4FDC">
        <w:rPr>
          <w:rFonts w:ascii="Times New Roman" w:hAnsi="Times New Roman"/>
          <w:sz w:val="28"/>
          <w:szCs w:val="28"/>
          <w:lang w:val="uk-UA"/>
        </w:rPr>
        <w:t>можуть бути розподілені на чотири основні групи: (1) індуковані зубним нальотом, (2) модифіковані системними факторами, (3) модифіковані медикаментами, (4) модифіковані поганим харчуванням</w:t>
      </w:r>
      <w:r w:rsidR="00EE07AC" w:rsidRPr="00EE07AC">
        <w:rPr>
          <w:rFonts w:ascii="Times New Roman" w:hAnsi="Times New Roman"/>
          <w:sz w:val="28"/>
          <w:szCs w:val="28"/>
          <w:lang w:val="uk-UA"/>
        </w:rPr>
        <w:t xml:space="preserve"> [195]</w:t>
      </w:r>
      <w:r w:rsidR="009C4FDC" w:rsidRPr="009C4FDC">
        <w:rPr>
          <w:rFonts w:ascii="Times New Roman" w:hAnsi="Times New Roman"/>
          <w:sz w:val="28"/>
          <w:szCs w:val="28"/>
          <w:lang w:val="uk-UA"/>
        </w:rPr>
        <w:t>. Наявність 2-4 груп свідчать про те, що будь-яке системне захворювання</w:t>
      </w:r>
      <w:r>
        <w:rPr>
          <w:rFonts w:ascii="Times New Roman" w:hAnsi="Times New Roman"/>
          <w:sz w:val="28"/>
          <w:szCs w:val="28"/>
          <w:lang w:val="uk-UA"/>
        </w:rPr>
        <w:t>, які часто</w:t>
      </w:r>
      <w:r w:rsidR="009C4FDC" w:rsidRPr="009C4FDC">
        <w:rPr>
          <w:rFonts w:ascii="Times New Roman" w:hAnsi="Times New Roman"/>
          <w:sz w:val="28"/>
          <w:szCs w:val="28"/>
          <w:lang w:val="uk-UA"/>
        </w:rPr>
        <w:t xml:space="preserve"> супроводжуються</w:t>
      </w:r>
      <w:r w:rsidR="00B778D7">
        <w:rPr>
          <w:rFonts w:ascii="Times New Roman" w:hAnsi="Times New Roman"/>
          <w:sz w:val="28"/>
          <w:szCs w:val="28"/>
          <w:lang w:val="uk-UA"/>
        </w:rPr>
        <w:t xml:space="preserve"> постійним вживанням медикаменті</w:t>
      </w:r>
      <w:r>
        <w:rPr>
          <w:rFonts w:ascii="Times New Roman" w:hAnsi="Times New Roman"/>
          <w:sz w:val="28"/>
          <w:szCs w:val="28"/>
          <w:lang w:val="uk-UA"/>
        </w:rPr>
        <w:t>в та змінами дієти,</w:t>
      </w:r>
      <w:r w:rsidR="009C4FDC" w:rsidRPr="009C4FDC">
        <w:rPr>
          <w:rFonts w:ascii="Times New Roman" w:hAnsi="Times New Roman"/>
          <w:sz w:val="28"/>
          <w:szCs w:val="28"/>
          <w:lang w:val="uk-UA"/>
        </w:rPr>
        <w:t xml:space="preserve"> може супроводжуватись запальними процесами ясен, а за дани</w:t>
      </w:r>
      <w:r w:rsidR="00B778D7">
        <w:rPr>
          <w:rFonts w:ascii="Times New Roman" w:hAnsi="Times New Roman"/>
          <w:sz w:val="28"/>
          <w:szCs w:val="28"/>
          <w:lang w:val="uk-UA"/>
        </w:rPr>
        <w:t>ми деяких досліджень</w:t>
      </w:r>
      <w:r w:rsidR="009C4FDC" w:rsidRPr="009C4FDC">
        <w:rPr>
          <w:rFonts w:ascii="Times New Roman" w:hAnsi="Times New Roman"/>
          <w:sz w:val="28"/>
          <w:szCs w:val="28"/>
          <w:lang w:val="uk-UA"/>
        </w:rPr>
        <w:t xml:space="preserve">, прояв гінгівіту на тлі супутніх хвороб є, навіть, більш агресивним. Атопічні захворювання, у цьому </w:t>
      </w:r>
      <w:r w:rsidR="00B778D7" w:rsidRPr="009C4FDC">
        <w:rPr>
          <w:rFonts w:ascii="Times New Roman" w:hAnsi="Times New Roman"/>
          <w:sz w:val="28"/>
          <w:szCs w:val="28"/>
          <w:lang w:val="uk-UA"/>
        </w:rPr>
        <w:t>зв’язку</w:t>
      </w:r>
      <w:r w:rsidR="009C4FDC" w:rsidRPr="009C4FDC">
        <w:rPr>
          <w:rFonts w:ascii="Times New Roman" w:hAnsi="Times New Roman"/>
          <w:sz w:val="28"/>
          <w:szCs w:val="28"/>
          <w:lang w:val="uk-UA"/>
        </w:rPr>
        <w:t>, посідають особливе місце, адже атопія визначається як аномально гіпе</w:t>
      </w:r>
      <w:r w:rsidR="00B778D7">
        <w:rPr>
          <w:rFonts w:ascii="Times New Roman" w:hAnsi="Times New Roman"/>
          <w:sz w:val="28"/>
          <w:szCs w:val="28"/>
          <w:lang w:val="uk-UA"/>
        </w:rPr>
        <w:t>рактивний стан імунної системи</w:t>
      </w:r>
      <w:r w:rsidR="00EE07AC" w:rsidRPr="00EE07AC">
        <w:rPr>
          <w:rFonts w:ascii="Times New Roman" w:hAnsi="Times New Roman"/>
          <w:sz w:val="28"/>
          <w:szCs w:val="28"/>
          <w:lang w:val="uk-UA"/>
        </w:rPr>
        <w:t xml:space="preserve"> [202]</w:t>
      </w:r>
      <w:r w:rsidR="009C4FDC" w:rsidRPr="009C4FDC">
        <w:rPr>
          <w:rFonts w:ascii="Times New Roman" w:hAnsi="Times New Roman"/>
          <w:sz w:val="28"/>
          <w:szCs w:val="28"/>
          <w:lang w:val="uk-UA"/>
        </w:rPr>
        <w:t>, тобто вони мають спільні механізми з запальними за</w:t>
      </w:r>
      <w:r w:rsidR="00B778D7">
        <w:rPr>
          <w:rFonts w:ascii="Times New Roman" w:hAnsi="Times New Roman"/>
          <w:sz w:val="28"/>
          <w:szCs w:val="28"/>
          <w:lang w:val="uk-UA"/>
        </w:rPr>
        <w:t>хворюваннями ротової порожнини</w:t>
      </w:r>
      <w:r w:rsidR="00EE07AC" w:rsidRPr="00EE07AC">
        <w:rPr>
          <w:rFonts w:ascii="Times New Roman" w:hAnsi="Times New Roman"/>
          <w:sz w:val="28"/>
          <w:szCs w:val="28"/>
          <w:lang w:val="uk-UA"/>
        </w:rPr>
        <w:t xml:space="preserve"> [203]</w:t>
      </w:r>
      <w:r w:rsidR="00B778D7">
        <w:rPr>
          <w:rFonts w:ascii="Times New Roman" w:hAnsi="Times New Roman"/>
          <w:sz w:val="28"/>
          <w:szCs w:val="28"/>
          <w:lang w:val="uk-UA"/>
        </w:rPr>
        <w:t>.</w:t>
      </w:r>
      <w:r w:rsidR="009C4FDC" w:rsidRPr="009C4FDC">
        <w:rPr>
          <w:rFonts w:ascii="Times New Roman" w:hAnsi="Times New Roman"/>
          <w:sz w:val="28"/>
          <w:szCs w:val="28"/>
          <w:lang w:val="uk-UA"/>
        </w:rPr>
        <w:t xml:space="preserve"> </w:t>
      </w:r>
    </w:p>
    <w:p w14:paraId="37AC8F35" w14:textId="32B5A4BE" w:rsidR="00875AEF" w:rsidRDefault="009C4FDC" w:rsidP="009C4FDC">
      <w:pPr>
        <w:spacing w:after="0" w:line="360" w:lineRule="auto"/>
        <w:ind w:firstLine="709"/>
        <w:jc w:val="both"/>
        <w:rPr>
          <w:rFonts w:ascii="Times New Roman" w:hAnsi="Times New Roman"/>
          <w:sz w:val="28"/>
          <w:szCs w:val="28"/>
          <w:lang w:val="uk-UA"/>
        </w:rPr>
      </w:pPr>
      <w:r w:rsidRPr="009C4FDC">
        <w:rPr>
          <w:rFonts w:ascii="Times New Roman" w:hAnsi="Times New Roman"/>
          <w:sz w:val="28"/>
          <w:szCs w:val="28"/>
          <w:lang w:val="uk-UA"/>
        </w:rPr>
        <w:t>Все вище сказане зумовлює необхідність якнайранішої діагностики індивідуальної схильності до розвитку запальних процесів ясен у осіб з системними захворюваннями, зокрема, атопічними, з метою формування груп підвищеного ризику, застосування до них індивідуально підібраних комплексних профілактичних заходів, недопущен</w:t>
      </w:r>
      <w:r w:rsidR="002C3D20">
        <w:rPr>
          <w:rFonts w:ascii="Times New Roman" w:hAnsi="Times New Roman"/>
          <w:sz w:val="28"/>
          <w:szCs w:val="28"/>
          <w:lang w:val="uk-UA"/>
        </w:rPr>
        <w:t>ня ускладнення гінгівіту до паро</w:t>
      </w:r>
      <w:r w:rsidRPr="009C4FDC">
        <w:rPr>
          <w:rFonts w:ascii="Times New Roman" w:hAnsi="Times New Roman"/>
          <w:sz w:val="28"/>
          <w:szCs w:val="28"/>
          <w:lang w:val="uk-UA"/>
        </w:rPr>
        <w:t>донтиту</w:t>
      </w:r>
      <w:r w:rsidR="002C3D20">
        <w:rPr>
          <w:rFonts w:ascii="Times New Roman" w:hAnsi="Times New Roman"/>
          <w:sz w:val="28"/>
          <w:szCs w:val="28"/>
          <w:lang w:val="uk-UA"/>
        </w:rPr>
        <w:t>.</w:t>
      </w:r>
    </w:p>
    <w:p w14:paraId="71FEAE81" w14:textId="2C126EE0" w:rsidR="00605474" w:rsidRDefault="00875AEF" w:rsidP="00DF6DA6">
      <w:pPr>
        <w:spacing w:after="0" w:line="360" w:lineRule="auto"/>
        <w:ind w:firstLine="709"/>
        <w:jc w:val="both"/>
        <w:rPr>
          <w:rFonts w:ascii="Times New Roman" w:hAnsi="Times New Roman"/>
          <w:sz w:val="28"/>
          <w:szCs w:val="28"/>
          <w:lang w:val="uk-UA"/>
        </w:rPr>
      </w:pPr>
      <w:r w:rsidRPr="002804DE">
        <w:rPr>
          <w:rFonts w:ascii="Times New Roman" w:eastAsia="Andale Sans UI" w:hAnsi="Times New Roman" w:cs="Tahoma"/>
          <w:kern w:val="3"/>
          <w:sz w:val="28"/>
          <w:szCs w:val="28"/>
          <w:lang w:val="uk-UA" w:eastAsia="ja-JP" w:bidi="fa-IR"/>
        </w:rPr>
        <w:t>Одним з сучасних підходів до розв’язання завдань</w:t>
      </w:r>
      <w:r w:rsidR="003C3F92">
        <w:rPr>
          <w:rFonts w:ascii="Times New Roman" w:eastAsia="Andale Sans UI" w:hAnsi="Times New Roman" w:cs="Tahoma"/>
          <w:kern w:val="3"/>
          <w:sz w:val="28"/>
          <w:szCs w:val="28"/>
          <w:lang w:val="uk-UA" w:eastAsia="ja-JP" w:bidi="fa-IR"/>
        </w:rPr>
        <w:t xml:space="preserve"> ранньої діагностики</w:t>
      </w:r>
      <w:r w:rsidRPr="002804DE">
        <w:rPr>
          <w:rFonts w:ascii="Times New Roman" w:eastAsia="Andale Sans UI" w:hAnsi="Times New Roman" w:cs="Tahoma"/>
          <w:kern w:val="3"/>
          <w:sz w:val="28"/>
          <w:szCs w:val="28"/>
          <w:lang w:val="uk-UA" w:eastAsia="ja-JP" w:bidi="fa-IR"/>
        </w:rPr>
        <w:t xml:space="preserve"> є пошук генетичних маркерів, наприклад, однонуклеотидних поліморфізмів, асоційованих з певними мультифакторними захворюваннями у конкретних популяціях</w:t>
      </w:r>
      <w:r w:rsidR="003C3F92">
        <w:rPr>
          <w:rFonts w:ascii="Times New Roman" w:eastAsia="Andale Sans UI" w:hAnsi="Times New Roman" w:cs="Tahoma"/>
          <w:kern w:val="3"/>
          <w:sz w:val="28"/>
          <w:szCs w:val="28"/>
          <w:lang w:val="uk-UA" w:eastAsia="ja-JP" w:bidi="fa-IR"/>
        </w:rPr>
        <w:t xml:space="preserve"> </w:t>
      </w:r>
      <w:r w:rsidR="00EE07AC">
        <w:rPr>
          <w:rFonts w:ascii="Times New Roman" w:eastAsia="Andale Sans UI" w:hAnsi="Times New Roman" w:cs="Tahoma"/>
          <w:kern w:val="3"/>
          <w:sz w:val="28"/>
          <w:szCs w:val="28"/>
          <w:lang w:val="uk-UA" w:eastAsia="ja-JP" w:bidi="fa-IR"/>
        </w:rPr>
        <w:t>[204</w:t>
      </w:r>
      <w:r w:rsidR="003C3F92" w:rsidRPr="00C9043A">
        <w:rPr>
          <w:rFonts w:ascii="Times New Roman" w:eastAsia="Andale Sans UI" w:hAnsi="Times New Roman" w:cs="Tahoma"/>
          <w:kern w:val="3"/>
          <w:sz w:val="28"/>
          <w:szCs w:val="28"/>
          <w:lang w:val="uk-UA" w:eastAsia="ja-JP" w:bidi="fa-IR"/>
        </w:rPr>
        <w:t>]</w:t>
      </w:r>
      <w:r w:rsidRPr="002804DE">
        <w:rPr>
          <w:rFonts w:ascii="Times New Roman" w:eastAsia="Andale Sans UI" w:hAnsi="Times New Roman" w:cs="Tahoma"/>
          <w:kern w:val="3"/>
          <w:sz w:val="28"/>
          <w:szCs w:val="28"/>
          <w:lang w:val="uk-UA" w:eastAsia="ja-JP" w:bidi="fa-IR"/>
        </w:rPr>
        <w:t>.</w:t>
      </w:r>
      <w:r w:rsidR="00130435">
        <w:rPr>
          <w:rFonts w:ascii="Times New Roman" w:eastAsia="Andale Sans UI" w:hAnsi="Times New Roman" w:cs="Tahoma"/>
          <w:kern w:val="3"/>
          <w:sz w:val="28"/>
          <w:szCs w:val="28"/>
          <w:lang w:val="uk-UA" w:eastAsia="ja-JP" w:bidi="fa-IR"/>
        </w:rPr>
        <w:t xml:space="preserve"> Даний напрямок є перспективним для визначення груп ризику захворювань пародонту.</w:t>
      </w:r>
    </w:p>
    <w:p w14:paraId="52798B4A" w14:textId="4E21F048" w:rsidR="00605474" w:rsidRDefault="009721E3" w:rsidP="003C3F92">
      <w:pPr>
        <w:spacing w:after="0" w:line="360" w:lineRule="auto"/>
        <w:ind w:firstLine="709"/>
        <w:jc w:val="both"/>
        <w:rPr>
          <w:rFonts w:ascii="Times New Roman" w:hAnsi="Times New Roman"/>
          <w:noProof/>
          <w:sz w:val="28"/>
          <w:szCs w:val="28"/>
          <w:lang w:val="uk-UA"/>
        </w:rPr>
      </w:pPr>
      <w:r>
        <w:rPr>
          <w:rFonts w:ascii="Times New Roman" w:hAnsi="Times New Roman"/>
          <w:sz w:val="28"/>
          <w:szCs w:val="28"/>
          <w:lang w:val="uk-UA"/>
        </w:rPr>
        <w:t>Як відомо, захворювання пародонту характеризую</w:t>
      </w:r>
      <w:r w:rsidRPr="003E41BA">
        <w:rPr>
          <w:rFonts w:ascii="Times New Roman" w:hAnsi="Times New Roman"/>
          <w:sz w:val="28"/>
          <w:szCs w:val="28"/>
          <w:lang w:val="uk-UA"/>
        </w:rPr>
        <w:t>ться руйнуванням сполучної т</w:t>
      </w:r>
      <w:r>
        <w:rPr>
          <w:rFonts w:ascii="Times New Roman" w:hAnsi="Times New Roman"/>
          <w:sz w:val="28"/>
          <w:szCs w:val="28"/>
          <w:lang w:val="uk-UA"/>
        </w:rPr>
        <w:t xml:space="preserve">канини, втратою зубо-ясенного прикріплення </w:t>
      </w:r>
      <w:r w:rsidRPr="003E41BA">
        <w:rPr>
          <w:rFonts w:ascii="Times New Roman" w:hAnsi="Times New Roman"/>
          <w:sz w:val="28"/>
          <w:szCs w:val="28"/>
          <w:lang w:val="uk-UA"/>
        </w:rPr>
        <w:t xml:space="preserve">та </w:t>
      </w:r>
      <w:r>
        <w:rPr>
          <w:rFonts w:ascii="Times New Roman" w:hAnsi="Times New Roman"/>
          <w:sz w:val="28"/>
          <w:szCs w:val="28"/>
          <w:lang w:val="uk-UA"/>
        </w:rPr>
        <w:t>деструкцією</w:t>
      </w:r>
      <w:r w:rsidRPr="003E41BA">
        <w:rPr>
          <w:rFonts w:ascii="Times New Roman" w:hAnsi="Times New Roman"/>
          <w:sz w:val="28"/>
          <w:szCs w:val="28"/>
          <w:lang w:val="uk-UA"/>
        </w:rPr>
        <w:t xml:space="preserve"> альвеолярної кістки. Руйнування тканин при захворюваннях пародонту виникає </w:t>
      </w:r>
      <w:r w:rsidRPr="003E41BA">
        <w:rPr>
          <w:rFonts w:ascii="Times New Roman" w:hAnsi="Times New Roman"/>
          <w:sz w:val="28"/>
          <w:szCs w:val="28"/>
          <w:lang w:val="uk-UA"/>
        </w:rPr>
        <w:lastRenderedPageBreak/>
        <w:t xml:space="preserve">як результат взаємодії між патогенними бактеріями та імунними та запальними реакціями </w:t>
      </w:r>
      <w:r>
        <w:rPr>
          <w:rFonts w:ascii="Times New Roman" w:hAnsi="Times New Roman"/>
          <w:sz w:val="28"/>
          <w:szCs w:val="28"/>
          <w:lang w:val="uk-UA"/>
        </w:rPr>
        <w:t>організму</w:t>
      </w:r>
      <w:r w:rsidRPr="003E41BA">
        <w:rPr>
          <w:rFonts w:ascii="Times New Roman" w:hAnsi="Times New Roman"/>
          <w:sz w:val="28"/>
          <w:szCs w:val="28"/>
          <w:lang w:val="uk-UA"/>
        </w:rPr>
        <w:t xml:space="preserve">. Імунна система активується для захисту від </w:t>
      </w:r>
      <w:r>
        <w:rPr>
          <w:rFonts w:ascii="Times New Roman" w:hAnsi="Times New Roman"/>
          <w:sz w:val="28"/>
          <w:szCs w:val="28"/>
          <w:lang w:val="uk-UA"/>
        </w:rPr>
        <w:t>локального мікробного нападу та</w:t>
      </w:r>
      <w:r w:rsidRPr="003E41BA">
        <w:rPr>
          <w:rFonts w:ascii="Times New Roman" w:hAnsi="Times New Roman"/>
          <w:sz w:val="28"/>
          <w:szCs w:val="28"/>
          <w:lang w:val="uk-UA"/>
        </w:rPr>
        <w:t xml:space="preserve"> пошкоджень від </w:t>
      </w:r>
      <w:r>
        <w:rPr>
          <w:rFonts w:ascii="Times New Roman" w:hAnsi="Times New Roman"/>
          <w:sz w:val="28"/>
          <w:szCs w:val="28"/>
          <w:lang w:val="uk-UA"/>
        </w:rPr>
        <w:t>дії його продуктів на</w:t>
      </w:r>
      <w:r w:rsidRPr="003E41BA">
        <w:rPr>
          <w:rFonts w:ascii="Times New Roman" w:hAnsi="Times New Roman"/>
          <w:sz w:val="28"/>
          <w:szCs w:val="28"/>
          <w:lang w:val="uk-UA"/>
        </w:rPr>
        <w:t xml:space="preserve"> тканини ясен. Цей захисний механізм може бути шкідливим для </w:t>
      </w:r>
      <w:r>
        <w:rPr>
          <w:rFonts w:ascii="Times New Roman" w:hAnsi="Times New Roman"/>
          <w:sz w:val="28"/>
          <w:szCs w:val="28"/>
          <w:lang w:val="uk-UA"/>
        </w:rPr>
        <w:t>організму через</w:t>
      </w:r>
      <w:r w:rsidRPr="003E41BA">
        <w:rPr>
          <w:rFonts w:ascii="Times New Roman" w:hAnsi="Times New Roman"/>
          <w:sz w:val="28"/>
          <w:szCs w:val="28"/>
          <w:lang w:val="uk-UA"/>
        </w:rPr>
        <w:t xml:space="preserve"> руйнування оточуючих клітин </w:t>
      </w:r>
      <w:r>
        <w:rPr>
          <w:rFonts w:ascii="Times New Roman" w:hAnsi="Times New Roman"/>
          <w:sz w:val="28"/>
          <w:szCs w:val="28"/>
          <w:lang w:val="uk-UA"/>
        </w:rPr>
        <w:t>та структур сполучної тканини</w:t>
      </w:r>
      <w:r w:rsidR="004125DA" w:rsidRPr="004125DA">
        <w:rPr>
          <w:rFonts w:ascii="Times New Roman" w:hAnsi="Times New Roman"/>
          <w:sz w:val="28"/>
          <w:szCs w:val="28"/>
          <w:lang w:val="ru-RU"/>
        </w:rPr>
        <w:t xml:space="preserve"> [205]</w:t>
      </w:r>
      <w:r>
        <w:rPr>
          <w:rFonts w:ascii="Times New Roman" w:hAnsi="Times New Roman"/>
          <w:sz w:val="28"/>
          <w:szCs w:val="28"/>
          <w:lang w:val="uk-UA"/>
        </w:rPr>
        <w:t>.</w:t>
      </w:r>
      <w:r w:rsidRPr="003E41BA">
        <w:rPr>
          <w:rFonts w:ascii="Times New Roman" w:hAnsi="Times New Roman"/>
          <w:sz w:val="28"/>
          <w:szCs w:val="28"/>
          <w:lang w:val="uk-UA"/>
        </w:rPr>
        <w:t xml:space="preserve"> Діагностика захворювань </w:t>
      </w:r>
      <w:r>
        <w:rPr>
          <w:rFonts w:ascii="Times New Roman" w:hAnsi="Times New Roman"/>
          <w:sz w:val="28"/>
          <w:szCs w:val="28"/>
          <w:lang w:val="uk-UA"/>
        </w:rPr>
        <w:t>тканин пародонту, як правило базується на вже наявних клінічних ознаках, таких як</w:t>
      </w:r>
      <w:r w:rsidRPr="003E41BA">
        <w:rPr>
          <w:rFonts w:ascii="Times New Roman" w:hAnsi="Times New Roman"/>
          <w:sz w:val="28"/>
          <w:szCs w:val="28"/>
          <w:lang w:val="uk-UA"/>
        </w:rPr>
        <w:t xml:space="preserve"> </w:t>
      </w:r>
      <w:r>
        <w:rPr>
          <w:rFonts w:ascii="Times New Roman" w:hAnsi="Times New Roman"/>
          <w:sz w:val="28"/>
          <w:szCs w:val="28"/>
          <w:lang w:val="uk-UA"/>
        </w:rPr>
        <w:t>зміна кольору тканин</w:t>
      </w:r>
      <w:r w:rsidRPr="003E41BA">
        <w:rPr>
          <w:rFonts w:ascii="Times New Roman" w:hAnsi="Times New Roman"/>
          <w:sz w:val="28"/>
          <w:szCs w:val="28"/>
          <w:lang w:val="uk-UA"/>
        </w:rPr>
        <w:t xml:space="preserve"> та </w:t>
      </w:r>
      <w:r>
        <w:rPr>
          <w:rFonts w:ascii="Times New Roman" w:hAnsi="Times New Roman"/>
          <w:sz w:val="28"/>
          <w:szCs w:val="28"/>
          <w:lang w:val="uk-UA"/>
        </w:rPr>
        <w:t xml:space="preserve">їх </w:t>
      </w:r>
      <w:r w:rsidRPr="003E41BA">
        <w:rPr>
          <w:rFonts w:ascii="Times New Roman" w:hAnsi="Times New Roman"/>
          <w:sz w:val="28"/>
          <w:szCs w:val="28"/>
          <w:lang w:val="uk-UA"/>
        </w:rPr>
        <w:t>контур</w:t>
      </w:r>
      <w:r>
        <w:rPr>
          <w:rFonts w:ascii="Times New Roman" w:hAnsi="Times New Roman"/>
          <w:sz w:val="28"/>
          <w:szCs w:val="28"/>
          <w:lang w:val="uk-UA"/>
        </w:rPr>
        <w:t>ів</w:t>
      </w:r>
      <w:r w:rsidRPr="003E41BA">
        <w:rPr>
          <w:rFonts w:ascii="Times New Roman" w:hAnsi="Times New Roman"/>
          <w:sz w:val="28"/>
          <w:szCs w:val="28"/>
          <w:lang w:val="uk-UA"/>
        </w:rPr>
        <w:t xml:space="preserve">, наявність або відсутність кровотеч </w:t>
      </w:r>
      <w:r>
        <w:rPr>
          <w:rFonts w:ascii="Times New Roman" w:hAnsi="Times New Roman"/>
          <w:sz w:val="28"/>
          <w:szCs w:val="28"/>
          <w:lang w:val="uk-UA"/>
        </w:rPr>
        <w:t>при зондуванні, рецесії ясен, зондуванні та вимірюванні</w:t>
      </w:r>
      <w:r w:rsidRPr="003E41BA">
        <w:rPr>
          <w:rFonts w:ascii="Times New Roman" w:hAnsi="Times New Roman"/>
          <w:sz w:val="28"/>
          <w:szCs w:val="28"/>
          <w:lang w:val="uk-UA"/>
        </w:rPr>
        <w:t xml:space="preserve"> глибини кишені, рівні </w:t>
      </w:r>
      <w:r>
        <w:rPr>
          <w:rFonts w:ascii="Times New Roman" w:hAnsi="Times New Roman"/>
          <w:sz w:val="28"/>
          <w:szCs w:val="28"/>
          <w:lang w:val="uk-UA"/>
        </w:rPr>
        <w:t>прикріплення, наявності ексудату</w:t>
      </w:r>
      <w:r w:rsidRPr="003E41BA">
        <w:rPr>
          <w:rFonts w:ascii="Times New Roman" w:hAnsi="Times New Roman"/>
          <w:sz w:val="28"/>
          <w:szCs w:val="28"/>
          <w:lang w:val="uk-UA"/>
        </w:rPr>
        <w:t xml:space="preserve"> та рух</w:t>
      </w:r>
      <w:r>
        <w:rPr>
          <w:rFonts w:ascii="Times New Roman" w:hAnsi="Times New Roman"/>
          <w:sz w:val="28"/>
          <w:szCs w:val="28"/>
          <w:lang w:val="uk-UA"/>
        </w:rPr>
        <w:t xml:space="preserve">ливості зубів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206, 207</w:t>
      </w:r>
      <w:r w:rsidR="003C3F92" w:rsidRPr="000953B6">
        <w:rPr>
          <w:rFonts w:ascii="Times New Roman" w:hAnsi="Times New Roman"/>
          <w:noProof/>
          <w:sz w:val="28"/>
          <w:szCs w:val="28"/>
          <w:lang w:val="uk-UA"/>
        </w:rPr>
        <w:t>]</w:t>
      </w:r>
      <w:r>
        <w:rPr>
          <w:rFonts w:ascii="Times New Roman" w:hAnsi="Times New Roman"/>
          <w:sz w:val="28"/>
          <w:szCs w:val="28"/>
          <w:lang w:val="uk-UA"/>
        </w:rPr>
        <w:t>. Рентгенологічні методи</w:t>
      </w:r>
      <w:r w:rsidRPr="003E41BA">
        <w:rPr>
          <w:rFonts w:ascii="Times New Roman" w:hAnsi="Times New Roman"/>
          <w:sz w:val="28"/>
          <w:szCs w:val="28"/>
          <w:lang w:val="uk-UA"/>
        </w:rPr>
        <w:t xml:space="preserve"> використовуються як додатковий інструмент</w:t>
      </w:r>
      <w:r>
        <w:rPr>
          <w:rFonts w:ascii="Times New Roman" w:hAnsi="Times New Roman"/>
          <w:sz w:val="28"/>
          <w:szCs w:val="28"/>
          <w:lang w:val="uk-UA"/>
        </w:rPr>
        <w:t xml:space="preserve"> для візуалізації втрати тканин пародонту</w:t>
      </w:r>
      <w:r w:rsidRPr="003E41BA">
        <w:rPr>
          <w:rFonts w:ascii="Times New Roman" w:hAnsi="Times New Roman"/>
          <w:sz w:val="28"/>
          <w:szCs w:val="28"/>
          <w:lang w:val="uk-UA"/>
        </w:rPr>
        <w:t xml:space="preserve"> шляхом визначення кількості </w:t>
      </w:r>
      <w:r w:rsidR="0025200C">
        <w:rPr>
          <w:rFonts w:ascii="Times New Roman" w:hAnsi="Times New Roman"/>
          <w:sz w:val="28"/>
          <w:szCs w:val="28"/>
          <w:lang w:val="uk-UA"/>
        </w:rPr>
        <w:t>кісткової резорбції</w:t>
      </w:r>
      <w:r>
        <w:rPr>
          <w:rFonts w:ascii="Times New Roman" w:hAnsi="Times New Roman"/>
          <w:sz w:val="28"/>
          <w:szCs w:val="28"/>
          <w:lang w:val="uk-UA"/>
        </w:rPr>
        <w:t xml:space="preserve"> навколо зубів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205, 207</w:t>
      </w:r>
      <w:r w:rsidR="003C3F92" w:rsidRPr="000953B6">
        <w:rPr>
          <w:rFonts w:ascii="Times New Roman" w:hAnsi="Times New Roman"/>
          <w:noProof/>
          <w:sz w:val="28"/>
          <w:szCs w:val="28"/>
          <w:lang w:val="uk-UA"/>
        </w:rPr>
        <w:t>]</w:t>
      </w:r>
      <w:r>
        <w:rPr>
          <w:rFonts w:ascii="Times New Roman" w:hAnsi="Times New Roman"/>
          <w:sz w:val="28"/>
          <w:szCs w:val="28"/>
          <w:lang w:val="uk-UA"/>
        </w:rPr>
        <w:t>. Однак ці методи є</w:t>
      </w:r>
      <w:r w:rsidRPr="003E41BA">
        <w:rPr>
          <w:rFonts w:ascii="Times New Roman" w:hAnsi="Times New Roman"/>
          <w:sz w:val="28"/>
          <w:szCs w:val="28"/>
          <w:lang w:val="uk-UA"/>
        </w:rPr>
        <w:t xml:space="preserve"> корисними лише для оцінки </w:t>
      </w:r>
      <w:r>
        <w:rPr>
          <w:rFonts w:ascii="Times New Roman" w:hAnsi="Times New Roman"/>
          <w:sz w:val="28"/>
          <w:szCs w:val="28"/>
          <w:lang w:val="uk-UA"/>
        </w:rPr>
        <w:t>анамнезу</w:t>
      </w:r>
      <w:r w:rsidRPr="003E41BA">
        <w:rPr>
          <w:rFonts w:ascii="Times New Roman" w:hAnsi="Times New Roman"/>
          <w:sz w:val="28"/>
          <w:szCs w:val="28"/>
          <w:lang w:val="uk-UA"/>
        </w:rPr>
        <w:t xml:space="preserve"> захворювань. Надійні методи діагностики є важливими для оцінки стану активного захворювання та моніторингу відповіді на терапію </w:t>
      </w:r>
      <w:r>
        <w:rPr>
          <w:rFonts w:ascii="Times New Roman" w:hAnsi="Times New Roman"/>
          <w:sz w:val="28"/>
          <w:szCs w:val="28"/>
          <w:lang w:val="uk-UA"/>
        </w:rPr>
        <w:t xml:space="preserve">захворювань тканин </w:t>
      </w:r>
      <w:r w:rsidRPr="003E41BA">
        <w:rPr>
          <w:rFonts w:ascii="Times New Roman" w:hAnsi="Times New Roman"/>
          <w:sz w:val="28"/>
          <w:szCs w:val="28"/>
          <w:lang w:val="uk-UA"/>
        </w:rPr>
        <w:t>пародонту</w:t>
      </w:r>
      <w:r>
        <w:rPr>
          <w:rFonts w:ascii="Times New Roman" w:hAnsi="Times New Roman"/>
          <w:sz w:val="28"/>
          <w:szCs w:val="28"/>
          <w:lang w:val="uk-UA"/>
        </w:rPr>
        <w:t>.</w:t>
      </w:r>
    </w:p>
    <w:p w14:paraId="317D450D" w14:textId="4C901B21" w:rsidR="009721E3" w:rsidRDefault="009721E3" w:rsidP="002C3D20">
      <w:pPr>
        <w:spacing w:after="0" w:line="360" w:lineRule="auto"/>
        <w:ind w:firstLine="709"/>
        <w:jc w:val="both"/>
        <w:rPr>
          <w:rFonts w:ascii="Times New Roman" w:hAnsi="Times New Roman"/>
          <w:sz w:val="28"/>
          <w:szCs w:val="28"/>
          <w:lang w:val="uk-UA"/>
        </w:rPr>
      </w:pPr>
      <w:r w:rsidRPr="009721E3">
        <w:rPr>
          <w:rFonts w:ascii="Times New Roman" w:hAnsi="Times New Roman"/>
          <w:sz w:val="28"/>
          <w:szCs w:val="28"/>
          <w:lang w:val="uk-UA"/>
        </w:rPr>
        <w:t>Поточне розуміння патогенезу захворювань пародонту показало велику різницю в величині запальної реакції, що свідчить про підгрупу високого ризику розвитку пародонтиту з швидким прогресуванням. Такі чинники, як куріння, діабет,</w:t>
      </w:r>
      <w:r w:rsidR="00E433D4">
        <w:rPr>
          <w:rFonts w:ascii="Times New Roman" w:hAnsi="Times New Roman"/>
          <w:sz w:val="28"/>
          <w:szCs w:val="28"/>
          <w:lang w:val="uk-UA"/>
        </w:rPr>
        <w:t xml:space="preserve"> бронхіальна астма,</w:t>
      </w:r>
      <w:r w:rsidRPr="009721E3">
        <w:rPr>
          <w:rFonts w:ascii="Times New Roman" w:hAnsi="Times New Roman"/>
          <w:sz w:val="28"/>
          <w:szCs w:val="28"/>
          <w:lang w:val="uk-UA"/>
        </w:rPr>
        <w:t xml:space="preserve"> психологічний стрес, зниження сироваткових антитіл або біохімічні медіатори запалення також можуть сприяти прогресуванню хвороби.</w:t>
      </w:r>
      <w:r w:rsidR="00E433D4">
        <w:rPr>
          <w:rFonts w:ascii="Times New Roman" w:hAnsi="Times New Roman"/>
          <w:sz w:val="28"/>
          <w:szCs w:val="28"/>
          <w:lang w:val="uk-UA"/>
        </w:rPr>
        <w:t xml:space="preserve"> </w:t>
      </w:r>
    </w:p>
    <w:p w14:paraId="037D1058" w14:textId="647F6E2E" w:rsidR="00E433D4" w:rsidRPr="00E433D4" w:rsidRDefault="00E433D4" w:rsidP="00E433D4">
      <w:pPr>
        <w:spacing w:after="0" w:line="360" w:lineRule="auto"/>
        <w:ind w:firstLine="709"/>
        <w:jc w:val="both"/>
        <w:rPr>
          <w:rFonts w:ascii="Times New Roman" w:hAnsi="Times New Roman"/>
          <w:sz w:val="28"/>
          <w:szCs w:val="28"/>
          <w:lang w:val="uk-UA"/>
        </w:rPr>
      </w:pPr>
      <w:r w:rsidRPr="00E433D4">
        <w:rPr>
          <w:rFonts w:ascii="Times New Roman" w:hAnsi="Times New Roman"/>
          <w:sz w:val="28"/>
          <w:szCs w:val="28"/>
          <w:lang w:val="uk-UA"/>
        </w:rPr>
        <w:t>Отже, тяжкість і прогрес</w:t>
      </w:r>
      <w:r>
        <w:rPr>
          <w:rFonts w:ascii="Times New Roman" w:hAnsi="Times New Roman"/>
          <w:sz w:val="28"/>
          <w:szCs w:val="28"/>
          <w:lang w:val="uk-UA"/>
        </w:rPr>
        <w:t>ування</w:t>
      </w:r>
      <w:r w:rsidRPr="00E433D4">
        <w:rPr>
          <w:rFonts w:ascii="Times New Roman" w:hAnsi="Times New Roman"/>
          <w:sz w:val="28"/>
          <w:szCs w:val="28"/>
          <w:lang w:val="uk-UA"/>
        </w:rPr>
        <w:t xml:space="preserve"> захворювань</w:t>
      </w:r>
      <w:r>
        <w:rPr>
          <w:rFonts w:ascii="Times New Roman" w:hAnsi="Times New Roman"/>
          <w:sz w:val="28"/>
          <w:szCs w:val="28"/>
          <w:lang w:val="uk-UA"/>
        </w:rPr>
        <w:t xml:space="preserve"> тканин пародонту</w:t>
      </w:r>
      <w:r w:rsidRPr="00E433D4">
        <w:rPr>
          <w:rFonts w:ascii="Times New Roman" w:hAnsi="Times New Roman"/>
          <w:sz w:val="28"/>
          <w:szCs w:val="28"/>
          <w:lang w:val="uk-UA"/>
        </w:rPr>
        <w:t xml:space="preserve"> </w:t>
      </w:r>
      <w:r>
        <w:rPr>
          <w:rFonts w:ascii="Times New Roman" w:hAnsi="Times New Roman"/>
          <w:sz w:val="28"/>
          <w:szCs w:val="28"/>
          <w:lang w:val="uk-UA"/>
        </w:rPr>
        <w:t>на сьогоднішній день</w:t>
      </w:r>
      <w:r w:rsidRPr="00E433D4">
        <w:rPr>
          <w:rFonts w:ascii="Times New Roman" w:hAnsi="Times New Roman"/>
          <w:sz w:val="28"/>
          <w:szCs w:val="28"/>
          <w:lang w:val="uk-UA"/>
        </w:rPr>
        <w:t xml:space="preserve"> пов'язані з поєднанням</w:t>
      </w:r>
      <w:r>
        <w:rPr>
          <w:rFonts w:ascii="Times New Roman" w:hAnsi="Times New Roman"/>
          <w:sz w:val="28"/>
          <w:szCs w:val="28"/>
          <w:lang w:val="uk-UA"/>
        </w:rPr>
        <w:t xml:space="preserve"> комплексу факторів - генетичних</w:t>
      </w:r>
      <w:r w:rsidRPr="00E433D4">
        <w:rPr>
          <w:rFonts w:ascii="Times New Roman" w:hAnsi="Times New Roman"/>
          <w:sz w:val="28"/>
          <w:szCs w:val="28"/>
          <w:lang w:val="uk-UA"/>
        </w:rPr>
        <w:t xml:space="preserve">, </w:t>
      </w:r>
      <w:r>
        <w:rPr>
          <w:rFonts w:ascii="Times New Roman" w:hAnsi="Times New Roman"/>
          <w:sz w:val="28"/>
          <w:szCs w:val="28"/>
          <w:lang w:val="uk-UA"/>
        </w:rPr>
        <w:t>імунної відповіді, мікробного компоненту</w:t>
      </w:r>
      <w:r w:rsidRPr="00E433D4">
        <w:rPr>
          <w:rFonts w:ascii="Times New Roman" w:hAnsi="Times New Roman"/>
          <w:sz w:val="28"/>
          <w:szCs w:val="28"/>
          <w:lang w:val="uk-UA"/>
        </w:rPr>
        <w:t xml:space="preserve"> та місцевих ф</w:t>
      </w:r>
      <w:r>
        <w:rPr>
          <w:rFonts w:ascii="Times New Roman" w:hAnsi="Times New Roman"/>
          <w:sz w:val="28"/>
          <w:szCs w:val="28"/>
          <w:lang w:val="uk-UA"/>
        </w:rPr>
        <w:t xml:space="preserve">акторів, які присутні у ротовій порожнині, в тому числі компонентів ротової рідини </w:t>
      </w:r>
      <w:r w:rsidR="004125DA">
        <w:rPr>
          <w:rFonts w:ascii="Times New Roman" w:hAnsi="Times New Roman"/>
          <w:noProof/>
          <w:sz w:val="28"/>
          <w:szCs w:val="28"/>
          <w:lang w:val="uk-UA"/>
        </w:rPr>
        <w:t>[</w:t>
      </w:r>
      <w:r w:rsidR="004125DA" w:rsidRPr="004125DA">
        <w:rPr>
          <w:rFonts w:ascii="Times New Roman" w:hAnsi="Times New Roman"/>
          <w:noProof/>
          <w:sz w:val="28"/>
          <w:szCs w:val="28"/>
          <w:lang w:val="uk-UA"/>
        </w:rPr>
        <w:t>206, 206, 195</w:t>
      </w:r>
      <w:r w:rsidR="003C3F92" w:rsidRPr="000953B6">
        <w:rPr>
          <w:rFonts w:ascii="Times New Roman" w:hAnsi="Times New Roman"/>
          <w:noProof/>
          <w:sz w:val="28"/>
          <w:szCs w:val="28"/>
          <w:lang w:val="uk-UA"/>
        </w:rPr>
        <w:t>]</w:t>
      </w:r>
      <w:r w:rsidRPr="00E433D4">
        <w:rPr>
          <w:rFonts w:ascii="Times New Roman" w:hAnsi="Times New Roman"/>
          <w:sz w:val="28"/>
          <w:szCs w:val="28"/>
          <w:lang w:val="uk-UA"/>
        </w:rPr>
        <w:t>.</w:t>
      </w:r>
    </w:p>
    <w:p w14:paraId="6FE8AA60" w14:textId="521A30AC" w:rsidR="00E433D4" w:rsidRPr="00E433D4" w:rsidRDefault="00E433D4"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Біомаркери захворювань пародонту, а саме гінгівіту,</w:t>
      </w:r>
      <w:r w:rsidRPr="00E433D4">
        <w:rPr>
          <w:rFonts w:ascii="Times New Roman" w:hAnsi="Times New Roman"/>
          <w:sz w:val="28"/>
          <w:szCs w:val="28"/>
          <w:lang w:val="uk-UA"/>
        </w:rPr>
        <w:t xml:space="preserve"> </w:t>
      </w:r>
      <w:r>
        <w:rPr>
          <w:rFonts w:ascii="Times New Roman" w:hAnsi="Times New Roman"/>
          <w:sz w:val="28"/>
          <w:szCs w:val="28"/>
          <w:lang w:val="uk-UA"/>
        </w:rPr>
        <w:t>набули</w:t>
      </w:r>
      <w:r w:rsidRPr="00E433D4">
        <w:rPr>
          <w:rFonts w:ascii="Times New Roman" w:hAnsi="Times New Roman"/>
          <w:sz w:val="28"/>
          <w:szCs w:val="28"/>
          <w:lang w:val="uk-UA"/>
        </w:rPr>
        <w:t xml:space="preserve"> </w:t>
      </w:r>
      <w:r>
        <w:rPr>
          <w:rFonts w:ascii="Times New Roman" w:hAnsi="Times New Roman"/>
          <w:sz w:val="28"/>
          <w:szCs w:val="28"/>
          <w:lang w:val="uk-UA"/>
        </w:rPr>
        <w:t>особливого значення</w:t>
      </w:r>
      <w:r w:rsidRPr="00E433D4">
        <w:rPr>
          <w:rFonts w:ascii="Times New Roman" w:hAnsi="Times New Roman"/>
          <w:sz w:val="28"/>
          <w:szCs w:val="28"/>
          <w:lang w:val="uk-UA"/>
        </w:rPr>
        <w:t xml:space="preserve"> протягом останнього десятиліття. Ці маркери зазвичай відносяться до трьох категорій:</w:t>
      </w:r>
    </w:p>
    <w:p w14:paraId="4BDD1DBC" w14:textId="2100650D" w:rsidR="00E433D4" w:rsidRPr="00E433D4" w:rsidRDefault="00130435"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E433D4" w:rsidRPr="00E433D4">
        <w:rPr>
          <w:rFonts w:ascii="Times New Roman" w:hAnsi="Times New Roman"/>
          <w:sz w:val="28"/>
          <w:szCs w:val="28"/>
          <w:lang w:val="uk-UA"/>
        </w:rPr>
        <w:t>Показники поточної активності захворювання;</w:t>
      </w:r>
    </w:p>
    <w:p w14:paraId="7CCA8EAF" w14:textId="176AC07F" w:rsidR="00E433D4" w:rsidRPr="00E433D4" w:rsidRDefault="00130435"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E433D4" w:rsidRPr="00E433D4">
        <w:rPr>
          <w:rFonts w:ascii="Times New Roman" w:hAnsi="Times New Roman"/>
          <w:sz w:val="28"/>
          <w:szCs w:val="28"/>
          <w:lang w:val="uk-UA"/>
        </w:rPr>
        <w:t>Прогноз розвитку майбутньої хвороби;</w:t>
      </w:r>
    </w:p>
    <w:p w14:paraId="4F6DB20E" w14:textId="2C1603C0" w:rsidR="00E433D4" w:rsidRPr="003C3F92" w:rsidRDefault="00E433D4" w:rsidP="00E433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3</w:t>
      </w:r>
      <w:r w:rsidR="00130435">
        <w:rPr>
          <w:rFonts w:ascii="Times New Roman" w:hAnsi="Times New Roman"/>
          <w:sz w:val="28"/>
          <w:szCs w:val="28"/>
          <w:lang w:val="uk-UA"/>
        </w:rPr>
        <w:t>.Прогноз</w:t>
      </w:r>
      <w:r w:rsidRPr="003C3F92">
        <w:rPr>
          <w:rFonts w:ascii="Times New Roman" w:hAnsi="Times New Roman"/>
          <w:sz w:val="28"/>
          <w:szCs w:val="28"/>
          <w:lang w:val="uk-UA"/>
        </w:rPr>
        <w:t xml:space="preserve"> майбутньої ініціації захворювання у теперішніх</w:t>
      </w:r>
      <w:r w:rsidR="00DA4C4F" w:rsidRPr="003C3F92">
        <w:rPr>
          <w:rFonts w:ascii="Times New Roman" w:hAnsi="Times New Roman"/>
          <w:sz w:val="28"/>
          <w:szCs w:val="28"/>
          <w:lang w:val="uk-UA"/>
        </w:rPr>
        <w:t xml:space="preserve"> пародонтологічно</w:t>
      </w:r>
      <w:r w:rsidRPr="003C3F92">
        <w:rPr>
          <w:rFonts w:ascii="Times New Roman" w:hAnsi="Times New Roman"/>
          <w:sz w:val="28"/>
          <w:szCs w:val="28"/>
          <w:lang w:val="uk-UA"/>
        </w:rPr>
        <w:t xml:space="preserve"> здорових осіб</w:t>
      </w:r>
      <w:r w:rsidR="004125DA" w:rsidRPr="004125DA">
        <w:rPr>
          <w:rFonts w:ascii="Times New Roman" w:hAnsi="Times New Roman"/>
          <w:sz w:val="28"/>
          <w:szCs w:val="28"/>
          <w:lang w:val="uk-UA"/>
        </w:rPr>
        <w:t xml:space="preserve"> [206]</w:t>
      </w:r>
      <w:r w:rsidRPr="003C3F92">
        <w:rPr>
          <w:rFonts w:ascii="Times New Roman" w:hAnsi="Times New Roman"/>
          <w:sz w:val="28"/>
          <w:szCs w:val="28"/>
          <w:lang w:val="uk-UA"/>
        </w:rPr>
        <w:t>.</w:t>
      </w:r>
    </w:p>
    <w:p w14:paraId="7EF46F19" w14:textId="2980F917" w:rsidR="00262A1C" w:rsidRPr="003D70F3" w:rsidRDefault="00262A1C" w:rsidP="00262A1C">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Оскільки гінгівіт є поліетіологічним захворюванням, його діагностика також має бути різносторонньою. На сьогоднішній день все більш актуальними стають неінвазивні експрес-методи діагностики. </w:t>
      </w:r>
      <w:r w:rsidRPr="003D70F3">
        <w:rPr>
          <w:rFonts w:ascii="Times New Roman" w:hAnsi="Times New Roman"/>
          <w:sz w:val="28"/>
          <w:szCs w:val="28"/>
          <w:lang w:val="uk-UA"/>
        </w:rPr>
        <w:t>Питання ранньої та неінвазивної діагностики стану організму завжди були актуальними. Клітини букального епітелію є зручним об'єктом для оцінки фун</w:t>
      </w:r>
      <w:r>
        <w:rPr>
          <w:rFonts w:ascii="Times New Roman" w:hAnsi="Times New Roman"/>
          <w:sz w:val="28"/>
          <w:szCs w:val="28"/>
          <w:lang w:val="uk-UA"/>
        </w:rPr>
        <w:t xml:space="preserve">кціонального стану організму </w:t>
      </w:r>
      <w:r w:rsidR="004125DA" w:rsidRPr="004125DA">
        <w:rPr>
          <w:rFonts w:ascii="Times New Roman" w:hAnsi="Times New Roman"/>
          <w:sz w:val="28"/>
          <w:szCs w:val="28"/>
          <w:lang w:val="ru-RU"/>
        </w:rPr>
        <w:t>[207]</w:t>
      </w:r>
      <w:r w:rsidRPr="003D70F3">
        <w:rPr>
          <w:rFonts w:ascii="Times New Roman" w:hAnsi="Times New Roman"/>
          <w:sz w:val="28"/>
          <w:szCs w:val="28"/>
          <w:lang w:val="uk-UA"/>
        </w:rPr>
        <w:t xml:space="preserve"> та</w:t>
      </w:r>
      <w:r>
        <w:rPr>
          <w:rFonts w:ascii="Times New Roman" w:hAnsi="Times New Roman"/>
          <w:sz w:val="28"/>
          <w:szCs w:val="28"/>
          <w:lang w:val="uk-UA"/>
        </w:rPr>
        <w:t xml:space="preserve"> впливу чинників довкілля</w:t>
      </w:r>
      <w:r w:rsidR="004125DA" w:rsidRPr="004125DA">
        <w:rPr>
          <w:rFonts w:ascii="Times New Roman" w:hAnsi="Times New Roman"/>
          <w:sz w:val="28"/>
          <w:szCs w:val="28"/>
          <w:lang w:val="ru-RU"/>
        </w:rPr>
        <w:t xml:space="preserve"> [208, 209]</w:t>
      </w:r>
      <w:r w:rsidRPr="003D70F3">
        <w:rPr>
          <w:rFonts w:ascii="Times New Roman" w:hAnsi="Times New Roman"/>
          <w:sz w:val="28"/>
          <w:szCs w:val="28"/>
          <w:lang w:val="uk-UA"/>
        </w:rPr>
        <w:t xml:space="preserve">. Цитологічне дослідження даних клітин є можливим завдяки їх достатньо великому розміру та можливості вивчення ядра, яке зазвичай займає в клітинах центральне положення та близько 10 мкм в діаметрі. </w:t>
      </w:r>
      <w:r w:rsidRPr="003D70F3">
        <w:rPr>
          <w:rFonts w:ascii="Times New Roman" w:hAnsi="Times New Roman"/>
          <w:sz w:val="28"/>
          <w:szCs w:val="28"/>
          <w:lang w:val="ru-RU"/>
        </w:rPr>
        <w:t>Клітини букального епітелію залишаються життєздатними і після перенесення в спеціальний фізіологічний розчин. До того ж для спостереження за їх ядрами потребує лише наявності мікроскопа, процес вилучення клітин буккального епітелію є неінвазивним, не пов'язаний з ризиком зараження і н</w:t>
      </w:r>
      <w:r>
        <w:rPr>
          <w:rFonts w:ascii="Times New Roman" w:hAnsi="Times New Roman"/>
          <w:sz w:val="28"/>
          <w:szCs w:val="28"/>
          <w:lang w:val="ru-RU"/>
        </w:rPr>
        <w:t xml:space="preserve">е вимагає складної апаратури </w:t>
      </w:r>
      <w:r w:rsidR="003C3F92" w:rsidRPr="000953B6">
        <w:rPr>
          <w:rFonts w:ascii="Times New Roman" w:hAnsi="Times New Roman"/>
          <w:noProof/>
          <w:sz w:val="28"/>
          <w:szCs w:val="28"/>
          <w:lang w:val="uk-UA"/>
        </w:rPr>
        <w:t>[</w:t>
      </w:r>
      <w:r w:rsidR="004125DA" w:rsidRPr="004125DA">
        <w:rPr>
          <w:rFonts w:ascii="Times New Roman" w:hAnsi="Times New Roman"/>
          <w:noProof/>
          <w:sz w:val="28"/>
          <w:szCs w:val="28"/>
          <w:lang w:val="ru-RU"/>
        </w:rPr>
        <w:t>208</w:t>
      </w:r>
      <w:r w:rsidR="003C3F92" w:rsidRPr="000953B6">
        <w:rPr>
          <w:rFonts w:ascii="Times New Roman" w:hAnsi="Times New Roman"/>
          <w:noProof/>
          <w:sz w:val="28"/>
          <w:szCs w:val="28"/>
          <w:lang w:val="uk-UA"/>
        </w:rPr>
        <w:t>]</w:t>
      </w:r>
      <w:r w:rsidRPr="003D70F3">
        <w:rPr>
          <w:rFonts w:ascii="Times New Roman" w:hAnsi="Times New Roman"/>
          <w:sz w:val="28"/>
          <w:szCs w:val="28"/>
          <w:lang w:val="ru-RU"/>
        </w:rPr>
        <w:t>.</w:t>
      </w:r>
    </w:p>
    <w:p w14:paraId="428D3D60" w14:textId="2C2BA961" w:rsidR="00E433D4" w:rsidRPr="00476AD5" w:rsidRDefault="00262A1C" w:rsidP="00262A1C">
      <w:pPr>
        <w:spacing w:after="0" w:line="360" w:lineRule="auto"/>
        <w:ind w:firstLine="709"/>
        <w:jc w:val="both"/>
        <w:rPr>
          <w:rFonts w:ascii="Times New Roman" w:hAnsi="Times New Roman"/>
          <w:sz w:val="28"/>
          <w:szCs w:val="28"/>
          <w:lang w:val="uk-UA"/>
        </w:rPr>
      </w:pPr>
      <w:r w:rsidRPr="00262A1C">
        <w:rPr>
          <w:rFonts w:ascii="Times New Roman" w:hAnsi="Times New Roman"/>
          <w:sz w:val="28"/>
          <w:szCs w:val="28"/>
          <w:lang w:val="uk-UA"/>
        </w:rPr>
        <w:t>Водночас, лікування запальних</w:t>
      </w:r>
      <w:r>
        <w:rPr>
          <w:rFonts w:ascii="Times New Roman" w:hAnsi="Times New Roman"/>
          <w:sz w:val="28"/>
          <w:szCs w:val="28"/>
          <w:lang w:val="uk-UA"/>
        </w:rPr>
        <w:t xml:space="preserve"> </w:t>
      </w:r>
      <w:r w:rsidRPr="00262A1C">
        <w:rPr>
          <w:rFonts w:ascii="Times New Roman" w:hAnsi="Times New Roman"/>
          <w:sz w:val="28"/>
          <w:szCs w:val="28"/>
          <w:lang w:val="uk-UA"/>
        </w:rPr>
        <w:t>захворювань пародо</w:t>
      </w:r>
      <w:r>
        <w:rPr>
          <w:rFonts w:ascii="Times New Roman" w:hAnsi="Times New Roman"/>
          <w:sz w:val="28"/>
          <w:szCs w:val="28"/>
          <w:lang w:val="uk-UA"/>
        </w:rPr>
        <w:t>нту залишається актуальною про</w:t>
      </w:r>
      <w:r w:rsidR="004125DA">
        <w:rPr>
          <w:rFonts w:ascii="Times New Roman" w:hAnsi="Times New Roman"/>
          <w:sz w:val="28"/>
          <w:szCs w:val="28"/>
          <w:lang w:val="uk-UA"/>
        </w:rPr>
        <w:t>блемою стоматології в</w:t>
      </w:r>
      <w:r>
        <w:rPr>
          <w:rFonts w:ascii="Times New Roman" w:hAnsi="Times New Roman"/>
          <w:sz w:val="28"/>
          <w:szCs w:val="28"/>
          <w:lang w:val="uk-UA"/>
        </w:rPr>
        <w:t xml:space="preserve">наслідок </w:t>
      </w:r>
      <w:r w:rsidR="004125DA">
        <w:rPr>
          <w:rFonts w:ascii="Times New Roman" w:hAnsi="Times New Roman"/>
          <w:sz w:val="28"/>
          <w:szCs w:val="28"/>
          <w:lang w:val="uk-UA"/>
        </w:rPr>
        <w:t>швидкого та неспинного прогресування даного виду патології</w:t>
      </w:r>
      <w:r>
        <w:rPr>
          <w:rFonts w:ascii="Times New Roman" w:hAnsi="Times New Roman"/>
          <w:sz w:val="28"/>
          <w:szCs w:val="28"/>
          <w:lang w:val="uk-UA"/>
        </w:rPr>
        <w:t xml:space="preserve">. </w:t>
      </w:r>
      <w:r w:rsidR="004125DA">
        <w:rPr>
          <w:rFonts w:ascii="Times New Roman" w:hAnsi="Times New Roman"/>
          <w:sz w:val="28"/>
          <w:szCs w:val="28"/>
          <w:lang w:val="uk-UA"/>
        </w:rPr>
        <w:t>Варто відзначити</w:t>
      </w:r>
      <w:r w:rsidRPr="00262A1C">
        <w:rPr>
          <w:rFonts w:ascii="Times New Roman" w:hAnsi="Times New Roman"/>
          <w:sz w:val="28"/>
          <w:szCs w:val="28"/>
          <w:lang w:val="uk-UA"/>
        </w:rPr>
        <w:t xml:space="preserve">, що гінгівіт </w:t>
      </w:r>
      <w:r w:rsidR="004125DA">
        <w:rPr>
          <w:rFonts w:ascii="Times New Roman" w:hAnsi="Times New Roman"/>
          <w:sz w:val="28"/>
          <w:szCs w:val="28"/>
          <w:lang w:val="uk-UA"/>
        </w:rPr>
        <w:t xml:space="preserve">серед дитячого контингенту </w:t>
      </w:r>
      <w:r w:rsidRPr="00262A1C">
        <w:rPr>
          <w:rFonts w:ascii="Times New Roman" w:hAnsi="Times New Roman"/>
          <w:sz w:val="28"/>
          <w:szCs w:val="28"/>
          <w:lang w:val="uk-UA"/>
        </w:rPr>
        <w:t>є самостійною нозологічною</w:t>
      </w:r>
      <w:r>
        <w:rPr>
          <w:rFonts w:ascii="Times New Roman" w:hAnsi="Times New Roman"/>
          <w:sz w:val="28"/>
          <w:szCs w:val="28"/>
          <w:lang w:val="uk-UA"/>
        </w:rPr>
        <w:t xml:space="preserve"> </w:t>
      </w:r>
      <w:r w:rsidRPr="00262A1C">
        <w:rPr>
          <w:rFonts w:ascii="Times New Roman" w:hAnsi="Times New Roman"/>
          <w:sz w:val="28"/>
          <w:szCs w:val="28"/>
          <w:lang w:val="uk-UA"/>
        </w:rPr>
        <w:t xml:space="preserve">одиницею, </w:t>
      </w:r>
      <w:r w:rsidR="004125DA">
        <w:rPr>
          <w:rFonts w:ascii="Times New Roman" w:hAnsi="Times New Roman"/>
          <w:sz w:val="28"/>
          <w:szCs w:val="28"/>
          <w:lang w:val="uk-UA"/>
        </w:rPr>
        <w:t>з якої розпочинаються запальні процеси тканин пародонту</w:t>
      </w:r>
      <w:r w:rsidR="004125DA" w:rsidRPr="004125DA">
        <w:rPr>
          <w:rFonts w:ascii="Times New Roman" w:hAnsi="Times New Roman"/>
          <w:sz w:val="28"/>
          <w:szCs w:val="28"/>
          <w:lang w:val="uk-UA"/>
        </w:rPr>
        <w:t xml:space="preserve">. </w:t>
      </w:r>
      <w:r w:rsidR="004125DA">
        <w:rPr>
          <w:rFonts w:ascii="Times New Roman" w:hAnsi="Times New Roman"/>
          <w:sz w:val="28"/>
          <w:szCs w:val="28"/>
          <w:lang w:val="uk-UA"/>
        </w:rPr>
        <w:t>Враховуючи високу розповсюдженість запальних захворювань пародонту серед дітей та дорослих, очевидною є низбка ефективність запропонованих схем лікування</w:t>
      </w:r>
      <w:r>
        <w:rPr>
          <w:rFonts w:ascii="Times New Roman" w:hAnsi="Times New Roman"/>
          <w:sz w:val="28"/>
          <w:szCs w:val="28"/>
          <w:lang w:val="uk-UA"/>
        </w:rPr>
        <w:t xml:space="preserve">, слід зробити висновок про </w:t>
      </w:r>
      <w:r w:rsidRPr="00262A1C">
        <w:rPr>
          <w:rFonts w:ascii="Times New Roman" w:hAnsi="Times New Roman"/>
          <w:sz w:val="28"/>
          <w:szCs w:val="28"/>
          <w:lang w:val="uk-UA"/>
        </w:rPr>
        <w:t>недостатню ефективніс</w:t>
      </w:r>
      <w:r>
        <w:rPr>
          <w:rFonts w:ascii="Times New Roman" w:hAnsi="Times New Roman"/>
          <w:sz w:val="28"/>
          <w:szCs w:val="28"/>
          <w:lang w:val="uk-UA"/>
        </w:rPr>
        <w:t xml:space="preserve">ть профілактичних і лікувальних </w:t>
      </w:r>
      <w:r w:rsidRPr="00262A1C">
        <w:rPr>
          <w:rFonts w:ascii="Times New Roman" w:hAnsi="Times New Roman"/>
          <w:sz w:val="28"/>
          <w:szCs w:val="28"/>
          <w:lang w:val="uk-UA"/>
        </w:rPr>
        <w:t xml:space="preserve">заходів. </w:t>
      </w:r>
      <w:r w:rsidR="004125DA">
        <w:rPr>
          <w:rFonts w:ascii="Times New Roman" w:hAnsi="Times New Roman"/>
          <w:sz w:val="28"/>
          <w:szCs w:val="28"/>
          <w:lang w:val="uk-UA"/>
        </w:rPr>
        <w:t xml:space="preserve">Незважаючи на призначення доволі широкого спектру фармакологічних засобів для лікування захворювань пародонту, практикуюючі лікарі та дослідники всеодно спостерігають рецидиви захворювань. </w:t>
      </w:r>
      <w:r w:rsidRPr="00262A1C">
        <w:rPr>
          <w:rFonts w:ascii="Times New Roman" w:hAnsi="Times New Roman"/>
          <w:sz w:val="28"/>
          <w:szCs w:val="28"/>
          <w:lang w:val="uk-UA"/>
        </w:rPr>
        <w:t>Водночас, проведені раніше екс</w:t>
      </w:r>
      <w:r>
        <w:rPr>
          <w:rFonts w:ascii="Times New Roman" w:hAnsi="Times New Roman"/>
          <w:sz w:val="28"/>
          <w:szCs w:val="28"/>
          <w:lang w:val="uk-UA"/>
        </w:rPr>
        <w:t xml:space="preserve">периментальні </w:t>
      </w:r>
      <w:r w:rsidR="004125DA">
        <w:rPr>
          <w:rFonts w:ascii="Times New Roman" w:hAnsi="Times New Roman"/>
          <w:sz w:val="28"/>
          <w:szCs w:val="28"/>
          <w:lang w:val="uk-UA"/>
        </w:rPr>
        <w:t xml:space="preserve">та клінічні </w:t>
      </w:r>
      <w:r>
        <w:rPr>
          <w:rFonts w:ascii="Times New Roman" w:hAnsi="Times New Roman"/>
          <w:sz w:val="28"/>
          <w:szCs w:val="28"/>
          <w:lang w:val="uk-UA"/>
        </w:rPr>
        <w:t>дослі</w:t>
      </w:r>
      <w:r w:rsidR="004125DA">
        <w:rPr>
          <w:rFonts w:ascii="Times New Roman" w:hAnsi="Times New Roman"/>
          <w:sz w:val="28"/>
          <w:szCs w:val="28"/>
          <w:lang w:val="uk-UA"/>
        </w:rPr>
        <w:t xml:space="preserve">дження, які засновані на патогенетичній корекції схем лікування та профілактики, </w:t>
      </w:r>
      <w:r w:rsidRPr="00262A1C">
        <w:rPr>
          <w:rFonts w:ascii="Times New Roman" w:hAnsi="Times New Roman"/>
          <w:sz w:val="28"/>
          <w:szCs w:val="28"/>
          <w:lang w:val="uk-UA"/>
        </w:rPr>
        <w:t>дозволяю</w:t>
      </w:r>
      <w:r>
        <w:rPr>
          <w:rFonts w:ascii="Times New Roman" w:hAnsi="Times New Roman"/>
          <w:sz w:val="28"/>
          <w:szCs w:val="28"/>
          <w:lang w:val="uk-UA"/>
        </w:rPr>
        <w:t xml:space="preserve">ть віддати перевагу в лікуванні </w:t>
      </w:r>
      <w:r w:rsidRPr="00262A1C">
        <w:rPr>
          <w:rFonts w:ascii="Times New Roman" w:hAnsi="Times New Roman"/>
          <w:sz w:val="28"/>
          <w:szCs w:val="28"/>
          <w:lang w:val="uk-UA"/>
        </w:rPr>
        <w:t>гінгівіту препарат</w:t>
      </w:r>
      <w:r>
        <w:rPr>
          <w:rFonts w:ascii="Times New Roman" w:hAnsi="Times New Roman"/>
          <w:sz w:val="28"/>
          <w:szCs w:val="28"/>
          <w:lang w:val="uk-UA"/>
        </w:rPr>
        <w:t>ам</w:t>
      </w:r>
      <w:r w:rsidR="00946C7E">
        <w:rPr>
          <w:rFonts w:ascii="Times New Roman" w:hAnsi="Times New Roman"/>
          <w:sz w:val="28"/>
          <w:szCs w:val="28"/>
          <w:lang w:val="uk-UA"/>
        </w:rPr>
        <w:t xml:space="preserve"> з вмістом антиоксидантів</w:t>
      </w:r>
      <w:r>
        <w:rPr>
          <w:rFonts w:ascii="Times New Roman" w:hAnsi="Times New Roman"/>
          <w:sz w:val="28"/>
          <w:szCs w:val="28"/>
          <w:lang w:val="uk-UA"/>
        </w:rPr>
        <w:t xml:space="preserve">, </w:t>
      </w:r>
      <w:r w:rsidR="004125DA">
        <w:rPr>
          <w:rFonts w:ascii="Times New Roman" w:hAnsi="Times New Roman"/>
          <w:sz w:val="28"/>
          <w:szCs w:val="28"/>
          <w:lang w:val="uk-UA"/>
        </w:rPr>
        <w:t>що знижують ступінь</w:t>
      </w:r>
      <w:r w:rsidRPr="00262A1C">
        <w:rPr>
          <w:rFonts w:ascii="Times New Roman" w:hAnsi="Times New Roman"/>
          <w:sz w:val="28"/>
          <w:szCs w:val="28"/>
          <w:lang w:val="uk-UA"/>
        </w:rPr>
        <w:t xml:space="preserve"> сенсибіл</w:t>
      </w:r>
      <w:r w:rsidR="0025200C">
        <w:rPr>
          <w:rFonts w:ascii="Times New Roman" w:hAnsi="Times New Roman"/>
          <w:sz w:val="28"/>
          <w:szCs w:val="28"/>
          <w:lang w:val="uk-UA"/>
        </w:rPr>
        <w:t>ізації, стимулюють адаптаційну</w:t>
      </w:r>
      <w:r>
        <w:rPr>
          <w:rFonts w:ascii="Times New Roman" w:hAnsi="Times New Roman"/>
          <w:sz w:val="28"/>
          <w:szCs w:val="28"/>
          <w:lang w:val="uk-UA"/>
        </w:rPr>
        <w:t xml:space="preserve"> </w:t>
      </w:r>
      <w:r w:rsidR="0025200C">
        <w:rPr>
          <w:rFonts w:ascii="Times New Roman" w:hAnsi="Times New Roman"/>
          <w:sz w:val="28"/>
          <w:szCs w:val="28"/>
          <w:lang w:val="uk-UA"/>
        </w:rPr>
        <w:t>спроможність</w:t>
      </w:r>
      <w:r w:rsidRPr="00262A1C">
        <w:rPr>
          <w:rFonts w:ascii="Times New Roman" w:hAnsi="Times New Roman"/>
          <w:sz w:val="28"/>
          <w:szCs w:val="28"/>
          <w:lang w:val="uk-UA"/>
        </w:rPr>
        <w:t xml:space="preserve"> організму</w:t>
      </w:r>
      <w:r>
        <w:rPr>
          <w:rFonts w:ascii="Times New Roman" w:hAnsi="Times New Roman"/>
          <w:sz w:val="28"/>
          <w:szCs w:val="28"/>
          <w:lang w:val="uk-UA"/>
        </w:rPr>
        <w:t xml:space="preserve"> [</w:t>
      </w:r>
      <w:r w:rsidR="00946C7E">
        <w:rPr>
          <w:rFonts w:ascii="Times New Roman" w:hAnsi="Times New Roman"/>
          <w:sz w:val="28"/>
          <w:szCs w:val="28"/>
          <w:lang w:val="uk-UA"/>
        </w:rPr>
        <w:t>209-211]</w:t>
      </w:r>
      <w:r w:rsidRPr="00476AD5">
        <w:rPr>
          <w:rFonts w:ascii="Times New Roman" w:hAnsi="Times New Roman"/>
          <w:sz w:val="28"/>
          <w:szCs w:val="28"/>
          <w:lang w:val="uk-UA"/>
        </w:rPr>
        <w:t>.</w:t>
      </w:r>
    </w:p>
    <w:p w14:paraId="69F91206" w14:textId="404D5CAF"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lastRenderedPageBreak/>
        <w:t xml:space="preserve">На сучасному рівні розвитку профілактики, діагностики та лікування захворювань пародонта значна увага надається </w:t>
      </w:r>
      <w:r w:rsidR="00946C7E">
        <w:rPr>
          <w:rFonts w:ascii="Times New Roman" w:hAnsi="Times New Roman"/>
          <w:sz w:val="28"/>
          <w:szCs w:val="28"/>
          <w:lang w:val="uk-UA"/>
        </w:rPr>
        <w:t xml:space="preserve">виявленню факторів ініціації захворювання та </w:t>
      </w:r>
      <w:r w:rsidRPr="00EA04CC">
        <w:rPr>
          <w:rFonts w:ascii="Times New Roman" w:hAnsi="Times New Roman"/>
          <w:sz w:val="28"/>
          <w:szCs w:val="28"/>
          <w:lang w:val="uk-UA"/>
        </w:rPr>
        <w:t xml:space="preserve">попередженню </w:t>
      </w:r>
      <w:r w:rsidR="00946C7E">
        <w:rPr>
          <w:rFonts w:ascii="Times New Roman" w:hAnsi="Times New Roman"/>
          <w:sz w:val="28"/>
          <w:szCs w:val="28"/>
          <w:lang w:val="uk-UA"/>
        </w:rPr>
        <w:t>подальшого прогресування</w:t>
      </w:r>
      <w:r w:rsidRPr="00EA04CC">
        <w:rPr>
          <w:rFonts w:ascii="Times New Roman" w:hAnsi="Times New Roman"/>
          <w:sz w:val="28"/>
          <w:szCs w:val="28"/>
          <w:lang w:val="uk-UA"/>
        </w:rPr>
        <w:t xml:space="preserve"> захворювання. Для </w:t>
      </w:r>
      <w:r w:rsidR="00946C7E">
        <w:rPr>
          <w:rFonts w:ascii="Times New Roman" w:hAnsi="Times New Roman"/>
          <w:sz w:val="28"/>
          <w:szCs w:val="28"/>
          <w:lang w:val="uk-UA"/>
        </w:rPr>
        <w:t xml:space="preserve">досягнення даної мети </w:t>
      </w:r>
      <w:r w:rsidR="00130435">
        <w:rPr>
          <w:rFonts w:ascii="Times New Roman" w:hAnsi="Times New Roman"/>
          <w:sz w:val="28"/>
          <w:szCs w:val="28"/>
          <w:lang w:val="uk-UA"/>
        </w:rPr>
        <w:t xml:space="preserve">необхідне ретельне вивчення </w:t>
      </w:r>
      <w:r w:rsidR="00946C7E">
        <w:rPr>
          <w:rFonts w:ascii="Times New Roman" w:hAnsi="Times New Roman"/>
          <w:sz w:val="28"/>
          <w:szCs w:val="28"/>
          <w:lang w:val="uk-UA"/>
        </w:rPr>
        <w:t>патогенетичних механізмів розвитку гінгівіту, особливо якщо розглядати запальні захворювання пародонту у дітей групи ризику зі змінами імунного статусу</w:t>
      </w:r>
      <w:r w:rsidRPr="00EA04CC">
        <w:rPr>
          <w:rFonts w:ascii="Times New Roman" w:hAnsi="Times New Roman"/>
          <w:sz w:val="28"/>
          <w:szCs w:val="28"/>
          <w:lang w:val="uk-UA"/>
        </w:rPr>
        <w:t>.</w:t>
      </w:r>
    </w:p>
    <w:p w14:paraId="7C80F8E1" w14:textId="46686792" w:rsidR="00EA04CC" w:rsidRPr="00EA04CC" w:rsidRDefault="00656F5C"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авторів вказують на необхідність врахування етіологічних факторів та факторів ризику для ефективного лікування захворювань тканин пародонту. Так, Цепов Л.М. виді</w:t>
      </w:r>
      <w:r w:rsidR="00EA04CC" w:rsidRPr="00EA04CC">
        <w:rPr>
          <w:rFonts w:ascii="Times New Roman" w:hAnsi="Times New Roman"/>
          <w:sz w:val="28"/>
          <w:szCs w:val="28"/>
          <w:lang w:val="uk-UA"/>
        </w:rPr>
        <w:t>лив дві групи факторів ризику захворювань пародонта: 1) ті, що піддаються корекції (керовані); 2) ті, що не піддаються корекції (некеро</w:t>
      </w:r>
      <w:r w:rsidR="0025200C">
        <w:rPr>
          <w:rFonts w:ascii="Times New Roman" w:hAnsi="Times New Roman"/>
          <w:sz w:val="28"/>
          <w:szCs w:val="28"/>
          <w:lang w:val="uk-UA"/>
        </w:rPr>
        <w:t>вані). До першої групи належать</w:t>
      </w:r>
      <w:r w:rsidR="00EA04CC" w:rsidRPr="00EA04CC">
        <w:rPr>
          <w:rFonts w:ascii="Times New Roman" w:hAnsi="Times New Roman"/>
          <w:sz w:val="28"/>
          <w:szCs w:val="28"/>
          <w:lang w:val="uk-UA"/>
        </w:rPr>
        <w:t xml:space="preserve"> соціальні, організаційні та біологічні чинники. Це –</w:t>
      </w:r>
      <w:r>
        <w:rPr>
          <w:rFonts w:ascii="Times New Roman" w:hAnsi="Times New Roman"/>
          <w:sz w:val="28"/>
          <w:szCs w:val="28"/>
          <w:lang w:val="uk-UA"/>
        </w:rPr>
        <w:t xml:space="preserve"> </w:t>
      </w:r>
      <w:r w:rsidR="00EA04CC" w:rsidRPr="00EA04CC">
        <w:rPr>
          <w:rFonts w:ascii="Times New Roman" w:hAnsi="Times New Roman"/>
          <w:sz w:val="28"/>
          <w:szCs w:val="28"/>
          <w:lang w:val="uk-UA"/>
        </w:rPr>
        <w:t>соціально-економічний статус людини, її емоційний стан (стрес та хронічне психоемоційне напруження), забруднення</w:t>
      </w:r>
      <w:r w:rsidR="00DB07F5">
        <w:rPr>
          <w:rFonts w:ascii="Times New Roman" w:hAnsi="Times New Roman"/>
          <w:sz w:val="28"/>
          <w:szCs w:val="28"/>
          <w:lang w:val="uk-UA"/>
        </w:rPr>
        <w:t xml:space="preserve"> навколишнього середовища, шкід</w:t>
      </w:r>
      <w:r w:rsidR="00EA04CC" w:rsidRPr="00EA04CC">
        <w:rPr>
          <w:rFonts w:ascii="Times New Roman" w:hAnsi="Times New Roman"/>
          <w:sz w:val="28"/>
          <w:szCs w:val="28"/>
          <w:lang w:val="uk-UA"/>
        </w:rPr>
        <w:t>ливі звички, вторинні імунодефіцити, гіпо- та авітамінози, захворювання шлунковокишкового тракту, центральної, п</w:t>
      </w:r>
      <w:r>
        <w:rPr>
          <w:rFonts w:ascii="Times New Roman" w:hAnsi="Times New Roman"/>
          <w:sz w:val="28"/>
          <w:szCs w:val="28"/>
          <w:lang w:val="uk-UA"/>
        </w:rPr>
        <w:t>ериферичної та вегетативної нер</w:t>
      </w:r>
      <w:r w:rsidR="00EA04CC" w:rsidRPr="00EA04CC">
        <w:rPr>
          <w:rFonts w:ascii="Times New Roman" w:hAnsi="Times New Roman"/>
          <w:sz w:val="28"/>
          <w:szCs w:val="28"/>
          <w:lang w:val="uk-UA"/>
        </w:rPr>
        <w:t>вової систем, порушення обміну речовин, мікрофлора зубної бляшки, хрон</w:t>
      </w:r>
      <w:r>
        <w:rPr>
          <w:rFonts w:ascii="Times New Roman" w:hAnsi="Times New Roman"/>
          <w:sz w:val="28"/>
          <w:szCs w:val="28"/>
          <w:lang w:val="uk-UA"/>
        </w:rPr>
        <w:t>і</w:t>
      </w:r>
      <w:r w:rsidR="00EA04CC" w:rsidRPr="00EA04CC">
        <w:rPr>
          <w:rFonts w:ascii="Times New Roman" w:hAnsi="Times New Roman"/>
          <w:sz w:val="28"/>
          <w:szCs w:val="28"/>
          <w:lang w:val="uk-UA"/>
        </w:rPr>
        <w:t xml:space="preserve">чні травми пародонта, травматична оклюзія </w:t>
      </w:r>
      <w:r w:rsidR="0025200C">
        <w:rPr>
          <w:rFonts w:ascii="Times New Roman" w:hAnsi="Times New Roman"/>
          <w:sz w:val="28"/>
          <w:szCs w:val="28"/>
          <w:lang w:val="uk-UA"/>
        </w:rPr>
        <w:t>тощо. До другої групи відносять</w:t>
      </w:r>
      <w:r w:rsidR="00EA04CC" w:rsidRPr="00EA04CC">
        <w:rPr>
          <w:rFonts w:ascii="Times New Roman" w:hAnsi="Times New Roman"/>
          <w:sz w:val="28"/>
          <w:szCs w:val="28"/>
          <w:lang w:val="uk-UA"/>
        </w:rPr>
        <w:t xml:space="preserve"> вік, стать, генетичні захворювання, вроджені біологічні дефекти органного, клітинного та субклітинного рівнів структурних елементів пародонтального комплексу, структурно–функціональні особливості пародонта та генетично зумовлена неспроможність механізмів захисту останнього. Для профілактики найбільш значимо</w:t>
      </w:r>
      <w:r>
        <w:rPr>
          <w:rFonts w:ascii="Times New Roman" w:hAnsi="Times New Roman"/>
          <w:sz w:val="28"/>
          <w:szCs w:val="28"/>
          <w:lang w:val="uk-UA"/>
        </w:rPr>
        <w:t>ю є перша група факторів ризику, оскільки вона піддається корекції.</w:t>
      </w:r>
      <w:r w:rsidR="00EA04CC" w:rsidRPr="00EA04CC">
        <w:rPr>
          <w:rFonts w:ascii="Times New Roman" w:hAnsi="Times New Roman"/>
          <w:sz w:val="28"/>
          <w:szCs w:val="28"/>
          <w:lang w:val="uk-UA"/>
        </w:rPr>
        <w:t xml:space="preserve"> Друга група чинників ризику </w:t>
      </w:r>
      <w:r>
        <w:rPr>
          <w:rFonts w:ascii="Times New Roman" w:hAnsi="Times New Roman"/>
          <w:sz w:val="28"/>
          <w:szCs w:val="28"/>
          <w:lang w:val="uk-UA"/>
        </w:rPr>
        <w:t xml:space="preserve">також </w:t>
      </w:r>
      <w:r w:rsidR="00EA04CC" w:rsidRPr="00EA04CC">
        <w:rPr>
          <w:rFonts w:ascii="Times New Roman" w:hAnsi="Times New Roman"/>
          <w:sz w:val="28"/>
          <w:szCs w:val="28"/>
          <w:lang w:val="uk-UA"/>
        </w:rPr>
        <w:t>може бути використана</w:t>
      </w:r>
      <w:r>
        <w:rPr>
          <w:rFonts w:ascii="Times New Roman" w:hAnsi="Times New Roman"/>
          <w:sz w:val="28"/>
          <w:szCs w:val="28"/>
          <w:lang w:val="uk-UA"/>
        </w:rPr>
        <w:t>, але</w:t>
      </w:r>
      <w:r w:rsidR="00EA04CC" w:rsidRPr="00EA04CC">
        <w:rPr>
          <w:rFonts w:ascii="Times New Roman" w:hAnsi="Times New Roman"/>
          <w:sz w:val="28"/>
          <w:szCs w:val="28"/>
          <w:lang w:val="uk-UA"/>
        </w:rPr>
        <w:t xml:space="preserve"> для прогно</w:t>
      </w:r>
      <w:r>
        <w:rPr>
          <w:rFonts w:ascii="Times New Roman" w:hAnsi="Times New Roman"/>
          <w:sz w:val="28"/>
          <w:szCs w:val="28"/>
          <w:lang w:val="uk-UA"/>
        </w:rPr>
        <w:t>зування виникнення та прогресу</w:t>
      </w:r>
      <w:r w:rsidR="00EA04CC" w:rsidRPr="00EA04CC">
        <w:rPr>
          <w:rFonts w:ascii="Times New Roman" w:hAnsi="Times New Roman"/>
          <w:sz w:val="28"/>
          <w:szCs w:val="28"/>
          <w:lang w:val="uk-UA"/>
        </w:rPr>
        <w:t>вання захворювання</w:t>
      </w:r>
      <w:r w:rsidR="0046708A">
        <w:rPr>
          <w:rFonts w:ascii="Times New Roman" w:hAnsi="Times New Roman"/>
          <w:sz w:val="28"/>
          <w:szCs w:val="28"/>
          <w:lang w:val="uk-UA"/>
        </w:rPr>
        <w:t xml:space="preserve"> [212, 213</w:t>
      </w:r>
      <w:r w:rsidR="00EA04CC" w:rsidRPr="00EA04CC">
        <w:rPr>
          <w:rFonts w:ascii="Times New Roman" w:hAnsi="Times New Roman"/>
          <w:sz w:val="28"/>
          <w:szCs w:val="28"/>
          <w:lang w:val="uk-UA"/>
        </w:rPr>
        <w:t>].</w:t>
      </w:r>
    </w:p>
    <w:p w14:paraId="0DD0D19F" w14:textId="4661D1CC"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t xml:space="preserve">Крім етіологічних факторів та чинників ризику на виникнення, розвиток і перебіг захворювань пародонта впливають також і інші, додаткові фактори. </w:t>
      </w:r>
      <w:r w:rsidR="0046708A">
        <w:rPr>
          <w:rFonts w:ascii="Times New Roman" w:hAnsi="Times New Roman"/>
          <w:sz w:val="28"/>
          <w:szCs w:val="28"/>
          <w:lang w:val="uk-UA"/>
        </w:rPr>
        <w:t>Курякіна Н.В.</w:t>
      </w:r>
      <w:r w:rsidRPr="00EA04CC">
        <w:rPr>
          <w:rFonts w:ascii="Times New Roman" w:hAnsi="Times New Roman"/>
          <w:sz w:val="28"/>
          <w:szCs w:val="28"/>
          <w:lang w:val="uk-UA"/>
        </w:rPr>
        <w:t xml:space="preserve"> поділяє їх на екзогенні (зумовлені впливом зовнішньо</w:t>
      </w:r>
      <w:r w:rsidR="0046708A">
        <w:rPr>
          <w:rFonts w:ascii="Times New Roman" w:hAnsi="Times New Roman"/>
          <w:sz w:val="28"/>
          <w:szCs w:val="28"/>
          <w:lang w:val="uk-UA"/>
        </w:rPr>
        <w:t>го середовища) та ендогенні (зу</w:t>
      </w:r>
      <w:r w:rsidRPr="00EA04CC">
        <w:rPr>
          <w:rFonts w:ascii="Times New Roman" w:hAnsi="Times New Roman"/>
          <w:sz w:val="28"/>
          <w:szCs w:val="28"/>
          <w:lang w:val="uk-UA"/>
        </w:rPr>
        <w:t>мовлені станом орга</w:t>
      </w:r>
      <w:r w:rsidR="0046708A">
        <w:rPr>
          <w:rFonts w:ascii="Times New Roman" w:hAnsi="Times New Roman"/>
          <w:sz w:val="28"/>
          <w:szCs w:val="28"/>
          <w:lang w:val="uk-UA"/>
        </w:rPr>
        <w:t>нізму) [214</w:t>
      </w:r>
      <w:r w:rsidRPr="00EA04CC">
        <w:rPr>
          <w:rFonts w:ascii="Times New Roman" w:hAnsi="Times New Roman"/>
          <w:sz w:val="28"/>
          <w:szCs w:val="28"/>
          <w:lang w:val="uk-UA"/>
        </w:rPr>
        <w:t>].</w:t>
      </w:r>
    </w:p>
    <w:p w14:paraId="58DC34D8" w14:textId="0C41878D" w:rsidR="00EA04CC" w:rsidRPr="00EA04CC" w:rsidRDefault="00AF508F"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Існують різні підходи до лікування та профілактики захворювань пародонту. Так,</w:t>
      </w:r>
      <w:r w:rsidR="00EA04CC" w:rsidRPr="00EA04CC">
        <w:rPr>
          <w:rFonts w:ascii="Times New Roman" w:hAnsi="Times New Roman"/>
          <w:sz w:val="28"/>
          <w:szCs w:val="28"/>
          <w:lang w:val="uk-UA"/>
        </w:rPr>
        <w:t xml:space="preserve"> ВООЗ </w:t>
      </w:r>
      <w:r>
        <w:rPr>
          <w:rFonts w:ascii="Times New Roman" w:hAnsi="Times New Roman"/>
          <w:sz w:val="28"/>
          <w:szCs w:val="28"/>
          <w:lang w:val="uk-UA"/>
        </w:rPr>
        <w:t>вважає</w:t>
      </w:r>
      <w:r w:rsidR="00EA04CC" w:rsidRPr="00EA04CC">
        <w:rPr>
          <w:rFonts w:ascii="Times New Roman" w:hAnsi="Times New Roman"/>
          <w:sz w:val="28"/>
          <w:szCs w:val="28"/>
          <w:lang w:val="uk-UA"/>
        </w:rPr>
        <w:t>, що існують незаперечні дані щодо наявності невеликої кількості чинників ризик</w:t>
      </w:r>
      <w:r>
        <w:rPr>
          <w:rFonts w:ascii="Times New Roman" w:hAnsi="Times New Roman"/>
          <w:sz w:val="28"/>
          <w:szCs w:val="28"/>
          <w:lang w:val="uk-UA"/>
        </w:rPr>
        <w:t>у та причинних умов, які є зага</w:t>
      </w:r>
      <w:r w:rsidR="00EA04CC" w:rsidRPr="00EA04CC">
        <w:rPr>
          <w:rFonts w:ascii="Times New Roman" w:hAnsi="Times New Roman"/>
          <w:sz w:val="28"/>
          <w:szCs w:val="28"/>
          <w:lang w:val="uk-UA"/>
        </w:rPr>
        <w:t>льними для осн</w:t>
      </w:r>
      <w:r w:rsidR="003D7714">
        <w:rPr>
          <w:rFonts w:ascii="Times New Roman" w:hAnsi="Times New Roman"/>
          <w:sz w:val="28"/>
          <w:szCs w:val="28"/>
          <w:lang w:val="uk-UA"/>
        </w:rPr>
        <w:t xml:space="preserve">овних неінфекційних захворювань, а </w:t>
      </w:r>
      <w:r w:rsidR="00EA04CC" w:rsidRPr="00EA04CC">
        <w:rPr>
          <w:rFonts w:ascii="Times New Roman" w:hAnsi="Times New Roman"/>
          <w:sz w:val="28"/>
          <w:szCs w:val="28"/>
          <w:lang w:val="uk-UA"/>
        </w:rPr>
        <w:t xml:space="preserve">комплексні заходи проти чинників ризику, які здійснені в медико-соціальному аспекті, можуть снижувати </w:t>
      </w:r>
      <w:r w:rsidR="00143EB6">
        <w:rPr>
          <w:rFonts w:ascii="Times New Roman" w:hAnsi="Times New Roman"/>
          <w:sz w:val="28"/>
          <w:szCs w:val="28"/>
          <w:lang w:val="uk-UA"/>
        </w:rPr>
        <w:t>захворюваність основними неінфе</w:t>
      </w:r>
      <w:r w:rsidR="00EA04CC" w:rsidRPr="00EA04CC">
        <w:rPr>
          <w:rFonts w:ascii="Times New Roman" w:hAnsi="Times New Roman"/>
          <w:sz w:val="28"/>
          <w:szCs w:val="28"/>
          <w:lang w:val="uk-UA"/>
        </w:rPr>
        <w:t>кційними хворобами та покращувати стан здоров'я населення</w:t>
      </w:r>
      <w:r w:rsidR="003D7714" w:rsidRPr="003D7714">
        <w:rPr>
          <w:rFonts w:ascii="Times New Roman" w:hAnsi="Times New Roman"/>
          <w:sz w:val="28"/>
          <w:szCs w:val="28"/>
          <w:lang w:val="uk-UA"/>
        </w:rPr>
        <w:t xml:space="preserve"> [214-219]</w:t>
      </w:r>
      <w:r w:rsidR="00EA04CC" w:rsidRPr="00EA04CC">
        <w:rPr>
          <w:rFonts w:ascii="Times New Roman" w:hAnsi="Times New Roman"/>
          <w:sz w:val="28"/>
          <w:szCs w:val="28"/>
          <w:lang w:val="uk-UA"/>
        </w:rPr>
        <w:t>.</w:t>
      </w:r>
    </w:p>
    <w:p w14:paraId="12E42680" w14:textId="2E5A160F" w:rsidR="00EA04CC" w:rsidRPr="00EA04CC" w:rsidRDefault="00DB07F5" w:rsidP="00EA04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Ефективним для попередження розвитку захворювання є врахування етіологічних чинників його виникнення при створенні протоколів лікування. Однак</w:t>
      </w:r>
      <w:r w:rsidR="00EA04CC" w:rsidRPr="00EA04CC">
        <w:rPr>
          <w:rFonts w:ascii="Times New Roman" w:hAnsi="Times New Roman"/>
          <w:sz w:val="28"/>
          <w:szCs w:val="28"/>
          <w:lang w:val="uk-UA"/>
        </w:rPr>
        <w:t xml:space="preserve"> </w:t>
      </w:r>
      <w:r>
        <w:rPr>
          <w:rFonts w:ascii="Times New Roman" w:hAnsi="Times New Roman"/>
          <w:sz w:val="28"/>
          <w:szCs w:val="28"/>
          <w:lang w:val="uk-UA"/>
        </w:rPr>
        <w:t>на сьогоднішній день не пред</w:t>
      </w:r>
      <w:r w:rsidR="003D7714">
        <w:rPr>
          <w:rFonts w:ascii="Times New Roman" w:hAnsi="Times New Roman"/>
          <w:sz w:val="28"/>
          <w:szCs w:val="28"/>
          <w:lang w:val="uk-UA"/>
        </w:rPr>
        <w:t>ставлена програма лікування та профілактики запальних захворювань пародонту, в основі якої були визначені серед певної популяції</w:t>
      </w:r>
      <w:r w:rsidR="0025200C">
        <w:rPr>
          <w:rFonts w:ascii="Times New Roman" w:hAnsi="Times New Roman"/>
          <w:sz w:val="28"/>
          <w:szCs w:val="28"/>
          <w:lang w:val="uk-UA"/>
        </w:rPr>
        <w:t>,</w:t>
      </w:r>
      <w:r w:rsidR="003D7714">
        <w:rPr>
          <w:rFonts w:ascii="Times New Roman" w:hAnsi="Times New Roman"/>
          <w:sz w:val="28"/>
          <w:szCs w:val="28"/>
          <w:lang w:val="uk-UA"/>
        </w:rPr>
        <w:t xml:space="preserve"> чинники ризику.</w:t>
      </w:r>
      <w:r w:rsidR="00EA04CC" w:rsidRPr="00EA04CC">
        <w:rPr>
          <w:rFonts w:ascii="Times New Roman" w:hAnsi="Times New Roman"/>
          <w:sz w:val="28"/>
          <w:szCs w:val="28"/>
          <w:lang w:val="uk-UA"/>
        </w:rPr>
        <w:t xml:space="preserve"> Тому поши</w:t>
      </w:r>
      <w:r>
        <w:rPr>
          <w:rFonts w:ascii="Times New Roman" w:hAnsi="Times New Roman"/>
          <w:sz w:val="28"/>
          <w:szCs w:val="28"/>
          <w:lang w:val="uk-UA"/>
        </w:rPr>
        <w:t xml:space="preserve">реність хронічних </w:t>
      </w:r>
      <w:r w:rsidR="00EA04CC" w:rsidRPr="00EA04CC">
        <w:rPr>
          <w:rFonts w:ascii="Times New Roman" w:hAnsi="Times New Roman"/>
          <w:sz w:val="28"/>
          <w:szCs w:val="28"/>
          <w:lang w:val="uk-UA"/>
        </w:rPr>
        <w:t>захворювань, пов'язананих зі способом життя</w:t>
      </w:r>
      <w:r w:rsidR="003D7714">
        <w:rPr>
          <w:rFonts w:ascii="Times New Roman" w:hAnsi="Times New Roman"/>
          <w:sz w:val="28"/>
          <w:szCs w:val="28"/>
          <w:lang w:val="uk-UA"/>
        </w:rPr>
        <w:t>, станом здоров</w:t>
      </w:r>
      <w:r w:rsidR="003D7714" w:rsidRPr="003D7714">
        <w:rPr>
          <w:rFonts w:ascii="Times New Roman" w:hAnsi="Times New Roman"/>
          <w:sz w:val="28"/>
          <w:szCs w:val="28"/>
          <w:lang w:val="uk-UA"/>
        </w:rPr>
        <w:t>’</w:t>
      </w:r>
      <w:r w:rsidR="003D7714">
        <w:rPr>
          <w:rFonts w:ascii="Times New Roman" w:hAnsi="Times New Roman"/>
          <w:sz w:val="28"/>
          <w:szCs w:val="28"/>
          <w:lang w:val="uk-UA"/>
        </w:rPr>
        <w:t>я</w:t>
      </w:r>
      <w:r w:rsidR="00EA04CC" w:rsidRPr="00EA04CC">
        <w:rPr>
          <w:rFonts w:ascii="Times New Roman" w:hAnsi="Times New Roman"/>
          <w:sz w:val="28"/>
          <w:szCs w:val="28"/>
          <w:lang w:val="uk-UA"/>
        </w:rPr>
        <w:t xml:space="preserve"> та нераціональним харчуванням, залишається актуальною проблемою</w:t>
      </w:r>
      <w:r w:rsidR="003D7714">
        <w:rPr>
          <w:rFonts w:ascii="Times New Roman" w:hAnsi="Times New Roman"/>
          <w:sz w:val="28"/>
          <w:szCs w:val="28"/>
          <w:lang w:val="uk-UA"/>
        </w:rPr>
        <w:t xml:space="preserve"> для</w:t>
      </w:r>
      <w:r w:rsidR="00EA04CC" w:rsidRPr="00EA04CC">
        <w:rPr>
          <w:rFonts w:ascii="Times New Roman" w:hAnsi="Times New Roman"/>
          <w:sz w:val="28"/>
          <w:szCs w:val="28"/>
          <w:lang w:val="uk-UA"/>
        </w:rPr>
        <w:t xml:space="preserve"> охорони здоров'я України</w:t>
      </w:r>
      <w:r w:rsidR="003D7714">
        <w:rPr>
          <w:rFonts w:ascii="Times New Roman" w:hAnsi="Times New Roman"/>
          <w:sz w:val="28"/>
          <w:szCs w:val="28"/>
          <w:lang w:val="uk-UA"/>
        </w:rPr>
        <w:t xml:space="preserve"> </w:t>
      </w:r>
      <w:r w:rsidR="003D7714" w:rsidRPr="003D7714">
        <w:rPr>
          <w:rFonts w:ascii="Times New Roman" w:hAnsi="Times New Roman"/>
          <w:sz w:val="28"/>
          <w:szCs w:val="28"/>
          <w:lang w:val="ru-RU"/>
        </w:rPr>
        <w:t>[</w:t>
      </w:r>
      <w:r w:rsidR="003D7714">
        <w:rPr>
          <w:rFonts w:ascii="Times New Roman" w:hAnsi="Times New Roman"/>
          <w:sz w:val="28"/>
          <w:szCs w:val="28"/>
          <w:lang w:val="ru-RU"/>
        </w:rPr>
        <w:t>215</w:t>
      </w:r>
      <w:r w:rsidR="003D7714" w:rsidRPr="003D7714">
        <w:rPr>
          <w:rFonts w:ascii="Times New Roman" w:hAnsi="Times New Roman"/>
          <w:sz w:val="28"/>
          <w:szCs w:val="28"/>
          <w:lang w:val="ru-RU"/>
        </w:rPr>
        <w:t>]</w:t>
      </w:r>
      <w:r w:rsidR="00EA04CC" w:rsidRPr="00EA04CC">
        <w:rPr>
          <w:rFonts w:ascii="Times New Roman" w:hAnsi="Times New Roman"/>
          <w:sz w:val="28"/>
          <w:szCs w:val="28"/>
          <w:lang w:val="uk-UA"/>
        </w:rPr>
        <w:t>.</w:t>
      </w:r>
    </w:p>
    <w:p w14:paraId="7DC12264" w14:textId="5FE9C290" w:rsidR="00EA04CC" w:rsidRPr="00EA04CC" w:rsidRDefault="00EA04CC" w:rsidP="00EA04CC">
      <w:pPr>
        <w:spacing w:after="0" w:line="360" w:lineRule="auto"/>
        <w:ind w:firstLine="709"/>
        <w:jc w:val="both"/>
        <w:rPr>
          <w:rFonts w:ascii="Times New Roman" w:hAnsi="Times New Roman"/>
          <w:sz w:val="28"/>
          <w:szCs w:val="28"/>
          <w:lang w:val="uk-UA"/>
        </w:rPr>
      </w:pPr>
      <w:r w:rsidRPr="00EA04CC">
        <w:rPr>
          <w:rFonts w:ascii="Times New Roman" w:hAnsi="Times New Roman"/>
          <w:sz w:val="28"/>
          <w:szCs w:val="28"/>
          <w:lang w:val="uk-UA"/>
        </w:rPr>
        <w:t xml:space="preserve">Ханс-Петер Мюллер </w:t>
      </w:r>
      <w:r w:rsidR="003D7714" w:rsidRPr="003D7714">
        <w:rPr>
          <w:rFonts w:ascii="Times New Roman" w:hAnsi="Times New Roman"/>
          <w:sz w:val="28"/>
          <w:szCs w:val="28"/>
          <w:lang w:val="uk-UA"/>
        </w:rPr>
        <w:t xml:space="preserve">виділяє місцеві та загальні фактори ризику </w:t>
      </w:r>
      <w:r w:rsidR="00700B4C" w:rsidRPr="00700B4C">
        <w:rPr>
          <w:rFonts w:ascii="Times New Roman" w:hAnsi="Times New Roman"/>
          <w:sz w:val="28"/>
          <w:szCs w:val="28"/>
          <w:lang w:val="ru-RU"/>
        </w:rPr>
        <w:t>та</w:t>
      </w:r>
      <w:r w:rsidR="003D7714" w:rsidRPr="003D7714">
        <w:rPr>
          <w:rFonts w:ascii="Times New Roman" w:hAnsi="Times New Roman"/>
          <w:sz w:val="28"/>
          <w:szCs w:val="28"/>
          <w:lang w:val="uk-UA"/>
        </w:rPr>
        <w:t xml:space="preserve"> </w:t>
      </w:r>
      <w:r w:rsidRPr="00EA04CC">
        <w:rPr>
          <w:rFonts w:ascii="Times New Roman" w:hAnsi="Times New Roman"/>
          <w:sz w:val="28"/>
          <w:szCs w:val="28"/>
          <w:lang w:val="uk-UA"/>
        </w:rPr>
        <w:t xml:space="preserve">звертає увагу </w:t>
      </w:r>
      <w:r w:rsidR="00143EB6">
        <w:rPr>
          <w:rFonts w:ascii="Times New Roman" w:hAnsi="Times New Roman"/>
          <w:sz w:val="28"/>
          <w:szCs w:val="28"/>
          <w:lang w:val="uk-UA"/>
        </w:rPr>
        <w:t>на те, що при хронічних захворю</w:t>
      </w:r>
      <w:r w:rsidRPr="00EA04CC">
        <w:rPr>
          <w:rFonts w:ascii="Times New Roman" w:hAnsi="Times New Roman"/>
          <w:sz w:val="28"/>
          <w:szCs w:val="28"/>
          <w:lang w:val="uk-UA"/>
        </w:rPr>
        <w:t>ваннях пародонта, викликаних різними при</w:t>
      </w:r>
      <w:r w:rsidR="003D7714">
        <w:rPr>
          <w:rFonts w:ascii="Times New Roman" w:hAnsi="Times New Roman"/>
          <w:sz w:val="28"/>
          <w:szCs w:val="28"/>
          <w:lang w:val="uk-UA"/>
        </w:rPr>
        <w:t xml:space="preserve">чинами. Успішне лікування та профілактика неможлива без </w:t>
      </w:r>
      <w:r w:rsidRPr="00EA04CC">
        <w:rPr>
          <w:rFonts w:ascii="Times New Roman" w:hAnsi="Times New Roman"/>
          <w:sz w:val="28"/>
          <w:szCs w:val="28"/>
          <w:lang w:val="uk-UA"/>
        </w:rPr>
        <w:t>зниження шкідливого впливу факт</w:t>
      </w:r>
      <w:r w:rsidR="003D7714">
        <w:rPr>
          <w:rFonts w:ascii="Times New Roman" w:hAnsi="Times New Roman"/>
          <w:sz w:val="28"/>
          <w:szCs w:val="28"/>
          <w:lang w:val="uk-UA"/>
        </w:rPr>
        <w:t>орів ризику як частини</w:t>
      </w:r>
      <w:r w:rsidRPr="00EA04CC">
        <w:rPr>
          <w:rFonts w:ascii="Times New Roman" w:hAnsi="Times New Roman"/>
          <w:sz w:val="28"/>
          <w:szCs w:val="28"/>
          <w:lang w:val="uk-UA"/>
        </w:rPr>
        <w:t xml:space="preserve"> етіологічного ла</w:t>
      </w:r>
      <w:r w:rsidR="003D7714">
        <w:rPr>
          <w:rFonts w:ascii="Times New Roman" w:hAnsi="Times New Roman"/>
          <w:sz w:val="28"/>
          <w:szCs w:val="28"/>
          <w:lang w:val="uk-UA"/>
        </w:rPr>
        <w:t>нцюга патологічного процесу.</w:t>
      </w:r>
      <w:r w:rsidRPr="00EA04CC">
        <w:rPr>
          <w:rFonts w:ascii="Times New Roman" w:hAnsi="Times New Roman"/>
          <w:sz w:val="28"/>
          <w:szCs w:val="28"/>
          <w:lang w:val="uk-UA"/>
        </w:rPr>
        <w:t xml:space="preserve"> </w:t>
      </w:r>
      <w:r w:rsidR="003D7714">
        <w:rPr>
          <w:rFonts w:ascii="Times New Roman" w:hAnsi="Times New Roman"/>
          <w:sz w:val="28"/>
          <w:szCs w:val="28"/>
          <w:lang w:val="uk-UA"/>
        </w:rPr>
        <w:t>[216</w:t>
      </w:r>
      <w:r w:rsidRPr="00EA04CC">
        <w:rPr>
          <w:rFonts w:ascii="Times New Roman" w:hAnsi="Times New Roman"/>
          <w:sz w:val="28"/>
          <w:szCs w:val="28"/>
          <w:lang w:val="uk-UA"/>
        </w:rPr>
        <w:t>].</w:t>
      </w:r>
    </w:p>
    <w:p w14:paraId="62B9A52B" w14:textId="61CC6FE8" w:rsidR="00EA04CC" w:rsidRPr="00EA04CC" w:rsidRDefault="003D7714" w:rsidP="00C002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науковими даними, </w:t>
      </w:r>
      <w:r w:rsidR="00EA04CC" w:rsidRPr="00EA04CC">
        <w:rPr>
          <w:rFonts w:ascii="Times New Roman" w:hAnsi="Times New Roman"/>
          <w:sz w:val="28"/>
          <w:szCs w:val="28"/>
          <w:lang w:val="uk-UA"/>
        </w:rPr>
        <w:t>фактори ризику можуть мати таке ж значення в патогенезі захворювань пародонту</w:t>
      </w:r>
      <w:r w:rsidR="00143EB6">
        <w:rPr>
          <w:rFonts w:ascii="Times New Roman" w:hAnsi="Times New Roman"/>
          <w:sz w:val="28"/>
          <w:szCs w:val="28"/>
          <w:lang w:val="uk-UA"/>
        </w:rPr>
        <w:t xml:space="preserve">, як і бактерії. </w:t>
      </w:r>
      <w:r>
        <w:rPr>
          <w:rFonts w:ascii="Times New Roman" w:hAnsi="Times New Roman"/>
          <w:sz w:val="28"/>
          <w:szCs w:val="28"/>
          <w:lang w:val="uk-UA"/>
        </w:rPr>
        <w:t>Деякі автори</w:t>
      </w:r>
      <w:r w:rsidR="00143EB6">
        <w:rPr>
          <w:rFonts w:ascii="Times New Roman" w:hAnsi="Times New Roman"/>
          <w:sz w:val="28"/>
          <w:szCs w:val="28"/>
          <w:lang w:val="uk-UA"/>
        </w:rPr>
        <w:t xml:space="preserve"> виді</w:t>
      </w:r>
      <w:r w:rsidR="00EA04CC" w:rsidRPr="00EA04CC">
        <w:rPr>
          <w:rFonts w:ascii="Times New Roman" w:hAnsi="Times New Roman"/>
          <w:sz w:val="28"/>
          <w:szCs w:val="28"/>
          <w:lang w:val="uk-UA"/>
        </w:rPr>
        <w:t>ляють такий термін, як «коефіцієнт ризику</w:t>
      </w:r>
      <w:r w:rsidR="00143EB6">
        <w:rPr>
          <w:rFonts w:ascii="Times New Roman" w:hAnsi="Times New Roman"/>
          <w:sz w:val="28"/>
          <w:szCs w:val="28"/>
          <w:lang w:val="uk-UA"/>
        </w:rPr>
        <w:t>», під яким розуміють статистич</w:t>
      </w:r>
      <w:r w:rsidR="00EA04CC" w:rsidRPr="00EA04CC">
        <w:rPr>
          <w:rFonts w:ascii="Times New Roman" w:hAnsi="Times New Roman"/>
          <w:sz w:val="28"/>
          <w:szCs w:val="28"/>
          <w:lang w:val="uk-UA"/>
        </w:rPr>
        <w:t xml:space="preserve">ний термін, який відображає збільшення ризику в порівнянні з нормальною сприйнятливістю організма. </w:t>
      </w:r>
      <w:r>
        <w:rPr>
          <w:rFonts w:ascii="Times New Roman" w:hAnsi="Times New Roman"/>
          <w:sz w:val="28"/>
          <w:szCs w:val="28"/>
          <w:lang w:val="uk-UA"/>
        </w:rPr>
        <w:t>Сучасні дані наукових досліджень визнають системні та місцеві фактори ризику</w:t>
      </w:r>
      <w:r w:rsidR="00C002F4">
        <w:rPr>
          <w:rFonts w:ascii="Times New Roman" w:hAnsi="Times New Roman"/>
          <w:sz w:val="28"/>
          <w:szCs w:val="28"/>
          <w:lang w:val="uk-UA"/>
        </w:rPr>
        <w:t>.</w:t>
      </w:r>
      <w:r w:rsidR="00EA04CC" w:rsidRPr="00EA04CC">
        <w:rPr>
          <w:rFonts w:ascii="Times New Roman" w:hAnsi="Times New Roman"/>
          <w:sz w:val="28"/>
          <w:szCs w:val="28"/>
          <w:lang w:val="uk-UA"/>
        </w:rPr>
        <w:t xml:space="preserve"> До системних відно</w:t>
      </w:r>
      <w:r w:rsidR="00C002F4">
        <w:rPr>
          <w:rFonts w:ascii="Times New Roman" w:hAnsi="Times New Roman"/>
          <w:sz w:val="28"/>
          <w:szCs w:val="28"/>
          <w:lang w:val="uk-UA"/>
        </w:rPr>
        <w:t>сять: системні захворювання</w:t>
      </w:r>
      <w:r w:rsidR="00EA04CC" w:rsidRPr="00EA04CC">
        <w:rPr>
          <w:rFonts w:ascii="Times New Roman" w:hAnsi="Times New Roman"/>
          <w:sz w:val="28"/>
          <w:szCs w:val="28"/>
          <w:lang w:val="uk-UA"/>
        </w:rPr>
        <w:t>, паління, стрес, прийом ліків, о</w:t>
      </w:r>
      <w:r w:rsidR="00C002F4">
        <w:rPr>
          <w:rFonts w:ascii="Times New Roman" w:hAnsi="Times New Roman"/>
          <w:sz w:val="28"/>
          <w:szCs w:val="28"/>
          <w:lang w:val="uk-UA"/>
        </w:rPr>
        <w:t>світа та соціальний статус, спо</w:t>
      </w:r>
      <w:r w:rsidR="00EA04CC" w:rsidRPr="00EA04CC">
        <w:rPr>
          <w:rFonts w:ascii="Times New Roman" w:hAnsi="Times New Roman"/>
          <w:sz w:val="28"/>
          <w:szCs w:val="28"/>
          <w:lang w:val="uk-UA"/>
        </w:rPr>
        <w:t>сіб життя, навколишнє середовище та харчування. Місцеві фактори ризику – це кількість та склад слини, ротове дихання, зовнішні подразники, алергічні реакції, функціональні порушення (травматична окклюзія), бруксизм та інші пар</w:t>
      </w:r>
      <w:r w:rsidR="00C002F4">
        <w:rPr>
          <w:rFonts w:ascii="Times New Roman" w:hAnsi="Times New Roman"/>
          <w:sz w:val="28"/>
          <w:szCs w:val="28"/>
          <w:lang w:val="uk-UA"/>
        </w:rPr>
        <w:t xml:space="preserve">а функції. </w:t>
      </w:r>
      <w:r w:rsidR="00EA04CC" w:rsidRPr="00EA04CC">
        <w:rPr>
          <w:rFonts w:ascii="Times New Roman" w:hAnsi="Times New Roman"/>
          <w:sz w:val="28"/>
          <w:szCs w:val="28"/>
          <w:lang w:val="uk-UA"/>
        </w:rPr>
        <w:t xml:space="preserve">Загальносоматичні </w:t>
      </w:r>
      <w:r w:rsidR="00EA04CC" w:rsidRPr="00EA04CC">
        <w:rPr>
          <w:rFonts w:ascii="Times New Roman" w:hAnsi="Times New Roman"/>
          <w:sz w:val="28"/>
          <w:szCs w:val="28"/>
          <w:lang w:val="uk-UA"/>
        </w:rPr>
        <w:lastRenderedPageBreak/>
        <w:t>захворювання у 8</w:t>
      </w:r>
      <w:r w:rsidR="00C002F4">
        <w:rPr>
          <w:rFonts w:ascii="Times New Roman" w:hAnsi="Times New Roman"/>
          <w:sz w:val="28"/>
          <w:szCs w:val="28"/>
          <w:lang w:val="uk-UA"/>
        </w:rPr>
        <w:t>5% випадків є супутніми та акти</w:t>
      </w:r>
      <w:r w:rsidR="00EA04CC" w:rsidRPr="00EA04CC">
        <w:rPr>
          <w:rFonts w:ascii="Times New Roman" w:hAnsi="Times New Roman"/>
          <w:sz w:val="28"/>
          <w:szCs w:val="28"/>
          <w:lang w:val="uk-UA"/>
        </w:rPr>
        <w:t>визуючими патологічний процес у пародон</w:t>
      </w:r>
      <w:r w:rsidR="00C002F4">
        <w:rPr>
          <w:rFonts w:ascii="Times New Roman" w:hAnsi="Times New Roman"/>
          <w:sz w:val="28"/>
          <w:szCs w:val="28"/>
          <w:lang w:val="uk-UA"/>
        </w:rPr>
        <w:t xml:space="preserve">ті </w:t>
      </w:r>
      <w:r w:rsidR="00C002F4" w:rsidRPr="00C002F4">
        <w:rPr>
          <w:rFonts w:ascii="Times New Roman" w:hAnsi="Times New Roman"/>
          <w:sz w:val="28"/>
          <w:szCs w:val="28"/>
          <w:lang w:val="ru-RU"/>
        </w:rPr>
        <w:t>[</w:t>
      </w:r>
      <w:r w:rsidR="00C002F4">
        <w:rPr>
          <w:rFonts w:ascii="Times New Roman" w:hAnsi="Times New Roman"/>
          <w:sz w:val="28"/>
          <w:szCs w:val="28"/>
          <w:lang w:val="ru-RU"/>
        </w:rPr>
        <w:t>216, 218</w:t>
      </w:r>
      <w:r w:rsidR="00C002F4" w:rsidRPr="00C002F4">
        <w:rPr>
          <w:rFonts w:ascii="Times New Roman" w:hAnsi="Times New Roman"/>
          <w:sz w:val="28"/>
          <w:szCs w:val="28"/>
          <w:lang w:val="ru-RU"/>
        </w:rPr>
        <w:t>]</w:t>
      </w:r>
      <w:r w:rsidR="00C002F4">
        <w:rPr>
          <w:rFonts w:ascii="Times New Roman" w:hAnsi="Times New Roman"/>
          <w:sz w:val="28"/>
          <w:szCs w:val="28"/>
          <w:lang w:val="uk-UA"/>
        </w:rPr>
        <w:t xml:space="preserve">. </w:t>
      </w:r>
    </w:p>
    <w:p w14:paraId="347AA308" w14:textId="7E9F3F6A" w:rsidR="00EA04CC" w:rsidRPr="00EA04CC" w:rsidRDefault="00742F33" w:rsidP="00742F3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асоційованих захворювань доводять, що з</w:t>
      </w:r>
      <w:r w:rsidR="00EA04CC" w:rsidRPr="00EA04CC">
        <w:rPr>
          <w:rFonts w:ascii="Times New Roman" w:hAnsi="Times New Roman"/>
          <w:sz w:val="28"/>
          <w:szCs w:val="28"/>
          <w:lang w:val="uk-UA"/>
        </w:rPr>
        <w:t xml:space="preserve">’ясування залежності </w:t>
      </w:r>
      <w:r>
        <w:rPr>
          <w:rFonts w:ascii="Times New Roman" w:hAnsi="Times New Roman"/>
          <w:sz w:val="28"/>
          <w:szCs w:val="28"/>
          <w:lang w:val="uk-UA"/>
        </w:rPr>
        <w:t>пародонтального та загальносоматичного статусу</w:t>
      </w:r>
      <w:r w:rsidR="00EA04CC" w:rsidRPr="00EA04CC">
        <w:rPr>
          <w:rFonts w:ascii="Times New Roman" w:hAnsi="Times New Roman"/>
          <w:sz w:val="28"/>
          <w:szCs w:val="28"/>
          <w:lang w:val="uk-UA"/>
        </w:rPr>
        <w:t xml:space="preserve"> може забезпечити ефективність системи </w:t>
      </w:r>
      <w:r>
        <w:rPr>
          <w:rFonts w:ascii="Times New Roman" w:hAnsi="Times New Roman"/>
          <w:sz w:val="28"/>
          <w:szCs w:val="28"/>
          <w:lang w:val="uk-UA"/>
        </w:rPr>
        <w:t>лікувально-профілактичних заходів при виявленні та урахуванні</w:t>
      </w:r>
      <w:r w:rsidR="00EA04CC" w:rsidRPr="00EA04CC">
        <w:rPr>
          <w:rFonts w:ascii="Times New Roman" w:hAnsi="Times New Roman"/>
          <w:sz w:val="28"/>
          <w:szCs w:val="28"/>
          <w:lang w:val="uk-UA"/>
        </w:rPr>
        <w:t xml:space="preserve"> факторів ризику. </w:t>
      </w:r>
      <w:r>
        <w:rPr>
          <w:rFonts w:ascii="Times New Roman" w:hAnsi="Times New Roman"/>
          <w:sz w:val="28"/>
          <w:szCs w:val="28"/>
          <w:lang w:val="uk-UA"/>
        </w:rPr>
        <w:t>Ефективна система профілактики та лікування має корегувати не тільки стоматологічну патологію, але й впливат</w:t>
      </w:r>
      <w:r w:rsidR="0025200C">
        <w:rPr>
          <w:rFonts w:ascii="Times New Roman" w:hAnsi="Times New Roman"/>
          <w:sz w:val="28"/>
          <w:szCs w:val="28"/>
          <w:lang w:val="uk-UA"/>
        </w:rPr>
        <w:t>и на загальнососматичний статус</w:t>
      </w:r>
      <w:r>
        <w:rPr>
          <w:rFonts w:ascii="Times New Roman" w:hAnsi="Times New Roman"/>
          <w:sz w:val="28"/>
          <w:szCs w:val="28"/>
          <w:lang w:val="uk-UA"/>
        </w:rPr>
        <w:t xml:space="preserve"> організму, функціонування таргетних органів та систем [219-221].</w:t>
      </w:r>
    </w:p>
    <w:p w14:paraId="3B50169C" w14:textId="4BCB810F" w:rsidR="009B6CE4" w:rsidRPr="009B6CE4" w:rsidRDefault="00742F33" w:rsidP="009B6C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Загальноприйнятими вважаються три компоненти лікування захворювань пародонту, у тому числі гінігівіту – терапія має бути етіотропною, патогенетичною та симптоматичною</w:t>
      </w:r>
      <w:r w:rsidR="009B6CE4" w:rsidRPr="009B6CE4">
        <w:rPr>
          <w:rFonts w:ascii="Times New Roman" w:hAnsi="Times New Roman"/>
          <w:sz w:val="28"/>
          <w:szCs w:val="28"/>
          <w:lang w:val="uk-UA"/>
        </w:rPr>
        <w:t>.</w:t>
      </w:r>
      <w:r>
        <w:rPr>
          <w:rFonts w:ascii="Times New Roman" w:hAnsi="Times New Roman"/>
          <w:sz w:val="28"/>
          <w:szCs w:val="28"/>
          <w:lang w:val="uk-UA"/>
        </w:rPr>
        <w:t xml:space="preserve"> В аспекті участі загальносоматичної патології у формуванні гінгівіту у дітей очевидною є необхідність включення компоненту корекції необхідних патогенетичних ланок</w:t>
      </w:r>
      <w:r w:rsidR="00EB2210">
        <w:rPr>
          <w:rFonts w:ascii="Times New Roman" w:hAnsi="Times New Roman"/>
          <w:sz w:val="28"/>
          <w:szCs w:val="28"/>
          <w:lang w:val="uk-UA"/>
        </w:rPr>
        <w:t xml:space="preserve"> </w:t>
      </w:r>
      <w:r w:rsidR="00EB2210" w:rsidRPr="00EB2210">
        <w:rPr>
          <w:rFonts w:ascii="Times New Roman" w:hAnsi="Times New Roman"/>
          <w:sz w:val="28"/>
          <w:szCs w:val="28"/>
          <w:lang w:val="ru-RU"/>
        </w:rPr>
        <w:t>[222]</w:t>
      </w:r>
      <w:r>
        <w:rPr>
          <w:rFonts w:ascii="Times New Roman" w:hAnsi="Times New Roman"/>
          <w:sz w:val="28"/>
          <w:szCs w:val="28"/>
          <w:lang w:val="uk-UA"/>
        </w:rPr>
        <w:t>.</w:t>
      </w:r>
    </w:p>
    <w:p w14:paraId="40021972" w14:textId="44CE83F0" w:rsidR="009B6CE4" w:rsidRPr="009B6CE4" w:rsidRDefault="009B6CE4" w:rsidP="00EB2210">
      <w:pPr>
        <w:spacing w:after="0" w:line="360" w:lineRule="auto"/>
        <w:ind w:firstLine="709"/>
        <w:jc w:val="both"/>
        <w:rPr>
          <w:rFonts w:ascii="Times New Roman" w:hAnsi="Times New Roman"/>
          <w:sz w:val="28"/>
          <w:szCs w:val="28"/>
          <w:lang w:val="uk-UA"/>
        </w:rPr>
      </w:pPr>
      <w:r w:rsidRPr="009B6CE4">
        <w:rPr>
          <w:rFonts w:ascii="Times New Roman" w:hAnsi="Times New Roman"/>
          <w:sz w:val="28"/>
          <w:szCs w:val="28"/>
          <w:lang w:val="uk-UA"/>
        </w:rPr>
        <w:t>Етіотропне лікування полягає у виявленні пошкоджуючих факторів, що спричиняють запальні зміни. Значні труднощі виникають при визначенні та усуненні ендогенних етіологічних факторів, які пов’язані з наявністю</w:t>
      </w:r>
      <w:r w:rsidR="00F8080C">
        <w:rPr>
          <w:rFonts w:ascii="Times New Roman" w:hAnsi="Times New Roman"/>
          <w:sz w:val="28"/>
          <w:szCs w:val="28"/>
          <w:lang w:val="uk-UA"/>
        </w:rPr>
        <w:t xml:space="preserve"> захворювань внутрішніх органів</w:t>
      </w:r>
      <w:r w:rsidRPr="009B6CE4">
        <w:rPr>
          <w:rFonts w:ascii="Times New Roman" w:hAnsi="Times New Roman"/>
          <w:sz w:val="28"/>
          <w:szCs w:val="28"/>
          <w:lang w:val="uk-UA"/>
        </w:rPr>
        <w:t>. В таких випадках лікувальні заходи проходять під контрол</w:t>
      </w:r>
      <w:r w:rsidR="00DB07F5">
        <w:rPr>
          <w:rFonts w:ascii="Times New Roman" w:hAnsi="Times New Roman"/>
          <w:sz w:val="28"/>
          <w:szCs w:val="28"/>
          <w:lang w:val="uk-UA"/>
        </w:rPr>
        <w:t>ем проф</w:t>
      </w:r>
      <w:r w:rsidR="003C3F92">
        <w:rPr>
          <w:rFonts w:ascii="Times New Roman" w:hAnsi="Times New Roman"/>
          <w:sz w:val="28"/>
          <w:szCs w:val="28"/>
          <w:lang w:val="uk-UA"/>
        </w:rPr>
        <w:t>ільних</w:t>
      </w:r>
      <w:r w:rsidR="00EB2210">
        <w:rPr>
          <w:rFonts w:ascii="Times New Roman" w:hAnsi="Times New Roman"/>
          <w:sz w:val="28"/>
          <w:szCs w:val="28"/>
          <w:lang w:val="uk-UA"/>
        </w:rPr>
        <w:t xml:space="preserve"> спеціалістів.</w:t>
      </w:r>
      <w:r w:rsidR="00EB2210" w:rsidRPr="00EB2210">
        <w:rPr>
          <w:rFonts w:ascii="Times New Roman" w:hAnsi="Times New Roman"/>
          <w:sz w:val="28"/>
          <w:szCs w:val="28"/>
          <w:lang w:val="uk-UA"/>
        </w:rPr>
        <w:t xml:space="preserve"> </w:t>
      </w:r>
      <w:r w:rsidRPr="009B6CE4">
        <w:rPr>
          <w:rFonts w:ascii="Times New Roman" w:hAnsi="Times New Roman"/>
          <w:sz w:val="28"/>
          <w:szCs w:val="28"/>
          <w:lang w:val="uk-UA"/>
        </w:rPr>
        <w:t>Патогенетична терапія передбачає фармакотерапевтичний вплив на патофізіологічні ланки запального процесу. При виборі лікарських засобів беруться до уваги механізми розвитку зап</w:t>
      </w:r>
      <w:r w:rsidR="003C3F92">
        <w:rPr>
          <w:rFonts w:ascii="Times New Roman" w:hAnsi="Times New Roman"/>
          <w:sz w:val="28"/>
          <w:szCs w:val="28"/>
          <w:lang w:val="uk-UA"/>
        </w:rPr>
        <w:t xml:space="preserve">алення </w:t>
      </w:r>
      <w:r w:rsidR="005815D2">
        <w:rPr>
          <w:rFonts w:ascii="Times New Roman" w:hAnsi="Times New Roman"/>
          <w:sz w:val="28"/>
          <w:szCs w:val="28"/>
          <w:lang w:val="uk-UA"/>
        </w:rPr>
        <w:t>та фаза запалення [206, 207, 223</w:t>
      </w:r>
      <w:r w:rsidRPr="009B6CE4">
        <w:rPr>
          <w:rFonts w:ascii="Times New Roman" w:hAnsi="Times New Roman"/>
          <w:sz w:val="28"/>
          <w:szCs w:val="28"/>
          <w:lang w:val="uk-UA"/>
        </w:rPr>
        <w:t>].</w:t>
      </w:r>
      <w:r w:rsidR="00EB2210" w:rsidRPr="00EB2210">
        <w:rPr>
          <w:rFonts w:ascii="Times New Roman" w:hAnsi="Times New Roman"/>
          <w:sz w:val="28"/>
          <w:szCs w:val="28"/>
          <w:lang w:val="ru-RU"/>
        </w:rPr>
        <w:t xml:space="preserve"> </w:t>
      </w:r>
      <w:r w:rsidRPr="009B6CE4">
        <w:rPr>
          <w:rFonts w:ascii="Times New Roman" w:hAnsi="Times New Roman"/>
          <w:sz w:val="28"/>
          <w:szCs w:val="28"/>
          <w:lang w:val="uk-UA"/>
        </w:rPr>
        <w:t xml:space="preserve">Симптоматичне лікування </w:t>
      </w:r>
      <w:r w:rsidR="00F8080C">
        <w:rPr>
          <w:rFonts w:ascii="Times New Roman" w:hAnsi="Times New Roman"/>
          <w:sz w:val="28"/>
          <w:szCs w:val="28"/>
          <w:lang w:val="uk-UA"/>
        </w:rPr>
        <w:t>спирається</w:t>
      </w:r>
      <w:r w:rsidRPr="009B6CE4">
        <w:rPr>
          <w:rFonts w:ascii="Times New Roman" w:hAnsi="Times New Roman"/>
          <w:sz w:val="28"/>
          <w:szCs w:val="28"/>
          <w:lang w:val="uk-UA"/>
        </w:rPr>
        <w:t xml:space="preserve"> на </w:t>
      </w:r>
      <w:r w:rsidR="00F8080C">
        <w:rPr>
          <w:rFonts w:ascii="Times New Roman" w:hAnsi="Times New Roman"/>
          <w:sz w:val="28"/>
          <w:szCs w:val="28"/>
          <w:lang w:val="uk-UA"/>
        </w:rPr>
        <w:t>ліквідацію окремих симптомів, таких як біль, кровото</w:t>
      </w:r>
      <w:r w:rsidR="002B332A">
        <w:rPr>
          <w:rFonts w:ascii="Times New Roman" w:hAnsi="Times New Roman"/>
          <w:sz w:val="28"/>
          <w:szCs w:val="28"/>
          <w:lang w:val="uk-UA"/>
        </w:rPr>
        <w:t>чивість та інше</w:t>
      </w:r>
      <w:r w:rsidRPr="009B6CE4">
        <w:rPr>
          <w:rFonts w:ascii="Times New Roman" w:hAnsi="Times New Roman"/>
          <w:sz w:val="28"/>
          <w:szCs w:val="28"/>
          <w:lang w:val="uk-UA"/>
        </w:rPr>
        <w:t xml:space="preserve"> [</w:t>
      </w:r>
      <w:r w:rsidR="005815D2">
        <w:rPr>
          <w:rFonts w:ascii="Times New Roman" w:hAnsi="Times New Roman"/>
          <w:sz w:val="28"/>
          <w:szCs w:val="28"/>
          <w:lang w:val="uk-UA"/>
        </w:rPr>
        <w:t>223-225</w:t>
      </w:r>
      <w:r w:rsidRPr="009B6CE4">
        <w:rPr>
          <w:rFonts w:ascii="Times New Roman" w:hAnsi="Times New Roman"/>
          <w:sz w:val="28"/>
          <w:szCs w:val="28"/>
          <w:lang w:val="uk-UA"/>
        </w:rPr>
        <w:t>].</w:t>
      </w:r>
    </w:p>
    <w:p w14:paraId="5A0F945B" w14:textId="5AC91690" w:rsidR="009B6CE4" w:rsidRPr="005815D2" w:rsidRDefault="002B332A" w:rsidP="009B6CE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основним визнаним етіологічним фактором є мікробний, з</w:t>
      </w:r>
      <w:r w:rsidR="00DB07F5">
        <w:rPr>
          <w:rFonts w:ascii="Times New Roman" w:hAnsi="Times New Roman"/>
          <w:sz w:val="28"/>
          <w:szCs w:val="28"/>
          <w:lang w:val="uk-UA"/>
        </w:rPr>
        <w:t>агальні принцип</w:t>
      </w:r>
      <w:r w:rsidR="009B6CE4" w:rsidRPr="009B6CE4">
        <w:rPr>
          <w:rFonts w:ascii="Times New Roman" w:hAnsi="Times New Roman"/>
          <w:sz w:val="28"/>
          <w:szCs w:val="28"/>
          <w:lang w:val="uk-UA"/>
        </w:rPr>
        <w:t xml:space="preserve">и терапії при гінгівітах спрямовані, перш за все, на усунення зубного нальоту та бляшок, які спричиняють розвиток запалення. Беручи до уваги той факт, що </w:t>
      </w:r>
      <w:r w:rsidR="009B6CE4" w:rsidRPr="005815D2">
        <w:rPr>
          <w:rFonts w:ascii="Times New Roman" w:hAnsi="Times New Roman"/>
          <w:sz w:val="28"/>
          <w:szCs w:val="28"/>
          <w:lang w:val="uk-UA"/>
        </w:rPr>
        <w:t xml:space="preserve">патологічні зміни в пародонті виникають на фоні загальних захворювань, а також вплив патологічних процесів в пародонті на численні функції в організмі, в тому числі на механізми природнього захисту, фармакотерапія повинна бути спрямована на відновлення функцій, нормального </w:t>
      </w:r>
      <w:r w:rsidR="009B6CE4" w:rsidRPr="005815D2">
        <w:rPr>
          <w:rFonts w:ascii="Times New Roman" w:hAnsi="Times New Roman"/>
          <w:sz w:val="28"/>
          <w:szCs w:val="28"/>
          <w:lang w:val="uk-UA"/>
        </w:rPr>
        <w:lastRenderedPageBreak/>
        <w:t xml:space="preserve">гомеостазу і стимуляцію захисних сил організму. </w:t>
      </w:r>
      <w:r w:rsidRPr="005815D2">
        <w:rPr>
          <w:rFonts w:ascii="Times New Roman" w:hAnsi="Times New Roman"/>
          <w:sz w:val="28"/>
          <w:szCs w:val="28"/>
          <w:lang w:val="uk-UA"/>
        </w:rPr>
        <w:t xml:space="preserve">Аналіз ринку фармацевтичних засобів, які повсякчас призначаються пацієнтам з гінгівітом, демонструє, як правило, симптоматичну </w:t>
      </w:r>
      <w:r w:rsidR="009B6CE4" w:rsidRPr="005815D2">
        <w:rPr>
          <w:rFonts w:ascii="Times New Roman" w:hAnsi="Times New Roman"/>
          <w:sz w:val="28"/>
          <w:szCs w:val="28"/>
          <w:lang w:val="uk-UA"/>
        </w:rPr>
        <w:t>спрямованість: усунення боль</w:t>
      </w:r>
      <w:r w:rsidRPr="005815D2">
        <w:rPr>
          <w:rFonts w:ascii="Times New Roman" w:hAnsi="Times New Roman"/>
          <w:sz w:val="28"/>
          <w:szCs w:val="28"/>
          <w:lang w:val="uk-UA"/>
        </w:rPr>
        <w:t>о</w:t>
      </w:r>
      <w:r w:rsidR="009B6CE4" w:rsidRPr="005815D2">
        <w:rPr>
          <w:rFonts w:ascii="Times New Roman" w:hAnsi="Times New Roman"/>
          <w:sz w:val="28"/>
          <w:szCs w:val="28"/>
          <w:lang w:val="uk-UA"/>
        </w:rPr>
        <w:t>вих відчуттів, місцева антисептична санація</w:t>
      </w:r>
      <w:r w:rsidRPr="005815D2">
        <w:rPr>
          <w:rFonts w:ascii="Times New Roman" w:hAnsi="Times New Roman"/>
          <w:sz w:val="28"/>
          <w:szCs w:val="28"/>
          <w:lang w:val="uk-UA"/>
        </w:rPr>
        <w:t>, регенерація пошкоджених тканин і стимуляція</w:t>
      </w:r>
      <w:r w:rsidR="009B6CE4" w:rsidRPr="005815D2">
        <w:rPr>
          <w:rFonts w:ascii="Times New Roman" w:hAnsi="Times New Roman"/>
          <w:sz w:val="28"/>
          <w:szCs w:val="28"/>
          <w:lang w:val="uk-UA"/>
        </w:rPr>
        <w:t xml:space="preserve"> ре</w:t>
      </w:r>
      <w:r w:rsidR="00DB07F5">
        <w:rPr>
          <w:rFonts w:ascii="Times New Roman" w:hAnsi="Times New Roman"/>
          <w:sz w:val="28"/>
          <w:szCs w:val="28"/>
          <w:lang w:val="uk-UA"/>
        </w:rPr>
        <w:t>паративних процесів</w:t>
      </w:r>
      <w:r w:rsidR="009B6CE4"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225, 226</w:t>
      </w:r>
      <w:r w:rsidR="009B6CE4" w:rsidRPr="005815D2">
        <w:rPr>
          <w:rFonts w:ascii="Times New Roman" w:hAnsi="Times New Roman"/>
          <w:sz w:val="28"/>
          <w:szCs w:val="28"/>
          <w:lang w:val="uk-UA"/>
        </w:rPr>
        <w:t>].</w:t>
      </w:r>
    </w:p>
    <w:p w14:paraId="0C361319" w14:textId="4299C1E0" w:rsidR="002B332A" w:rsidRPr="005815D2" w:rsidRDefault="002B332A" w:rsidP="002B332A">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Антибактеріальна терапія є однією з важливих ланок в лікуванні запальних захворювань пародонту. Призначення даного виду лікування залежить від різновиду патологічного процесу, етіології, особливостей клінічного прояву, характеру протікання захворювання. Вченими обгрунтована можливість та необхідність застосування певних груп антибакте</w:t>
      </w:r>
      <w:r w:rsidR="00134039" w:rsidRPr="005815D2">
        <w:rPr>
          <w:rFonts w:ascii="Times New Roman" w:hAnsi="Times New Roman"/>
          <w:sz w:val="28"/>
          <w:szCs w:val="28"/>
          <w:lang w:val="uk-UA"/>
        </w:rPr>
        <w:t>ріальних препаратів: антисептиків, антибіотиків, сульфаніламідів, нітрофуранів</w:t>
      </w:r>
      <w:r w:rsidRPr="005815D2">
        <w:rPr>
          <w:rFonts w:ascii="Times New Roman" w:hAnsi="Times New Roman"/>
          <w:sz w:val="28"/>
          <w:szCs w:val="28"/>
          <w:lang w:val="uk-UA"/>
        </w:rPr>
        <w:t xml:space="preserve">, </w:t>
      </w:r>
      <w:r w:rsidR="00134039" w:rsidRPr="005815D2">
        <w:rPr>
          <w:rFonts w:ascii="Times New Roman" w:hAnsi="Times New Roman"/>
          <w:sz w:val="28"/>
          <w:szCs w:val="28"/>
          <w:lang w:val="uk-UA"/>
        </w:rPr>
        <w:t>протигрибкових</w:t>
      </w:r>
      <w:r w:rsidRPr="005815D2">
        <w:rPr>
          <w:rFonts w:ascii="Times New Roman" w:hAnsi="Times New Roman"/>
          <w:sz w:val="28"/>
          <w:szCs w:val="28"/>
          <w:lang w:val="uk-UA"/>
        </w:rPr>
        <w:t xml:space="preserve"> </w:t>
      </w:r>
      <w:r w:rsidR="00134039" w:rsidRPr="005815D2">
        <w:rPr>
          <w:rFonts w:ascii="Times New Roman" w:hAnsi="Times New Roman"/>
          <w:sz w:val="28"/>
          <w:szCs w:val="28"/>
          <w:lang w:val="uk-UA"/>
        </w:rPr>
        <w:t>препаратів</w:t>
      </w:r>
      <w:r w:rsidRPr="005815D2">
        <w:rPr>
          <w:rFonts w:ascii="Times New Roman" w:hAnsi="Times New Roman"/>
          <w:sz w:val="28"/>
          <w:szCs w:val="28"/>
          <w:lang w:val="uk-UA"/>
        </w:rPr>
        <w:t>, засоби рослинного походження [</w:t>
      </w:r>
      <w:r w:rsidR="005815D2" w:rsidRPr="005815D2">
        <w:rPr>
          <w:rFonts w:ascii="Times New Roman" w:hAnsi="Times New Roman"/>
          <w:sz w:val="28"/>
          <w:szCs w:val="28"/>
          <w:lang w:val="uk-UA"/>
        </w:rPr>
        <w:t>218, 224, 225</w:t>
      </w:r>
      <w:r w:rsidRPr="005815D2">
        <w:rPr>
          <w:rFonts w:ascii="Times New Roman" w:hAnsi="Times New Roman"/>
          <w:sz w:val="28"/>
          <w:szCs w:val="28"/>
          <w:lang w:val="uk-UA"/>
        </w:rPr>
        <w:t>]. Проте призначення антибактеріальної терапії у дитячому віці завжди потребує особливої уваги.</w:t>
      </w:r>
    </w:p>
    <w:p w14:paraId="0E502DF9" w14:textId="0B9D67F4" w:rsidR="002B332A" w:rsidRPr="005815D2" w:rsidRDefault="00134039" w:rsidP="00134039">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У зв’язку з тим, що участь мікробних агентів у етіології гінгівіту доведена, а</w:t>
      </w:r>
      <w:r w:rsidR="002B332A" w:rsidRPr="005815D2">
        <w:rPr>
          <w:rFonts w:ascii="Times New Roman" w:hAnsi="Times New Roman"/>
          <w:sz w:val="28"/>
          <w:szCs w:val="28"/>
          <w:lang w:val="uk-UA"/>
        </w:rPr>
        <w:t>нтисептики частіш</w:t>
      </w:r>
      <w:r w:rsidRPr="005815D2">
        <w:rPr>
          <w:rFonts w:ascii="Times New Roman" w:hAnsi="Times New Roman"/>
          <w:sz w:val="28"/>
          <w:szCs w:val="28"/>
          <w:lang w:val="uk-UA"/>
        </w:rPr>
        <w:t>е за все призначають місцево у вигляді зрошень</w:t>
      </w:r>
      <w:r w:rsidR="002B332A" w:rsidRPr="005815D2">
        <w:rPr>
          <w:rFonts w:ascii="Times New Roman" w:hAnsi="Times New Roman"/>
          <w:sz w:val="28"/>
          <w:szCs w:val="28"/>
          <w:lang w:val="uk-UA"/>
        </w:rPr>
        <w:t xml:space="preserve">, які сприяють різкому зниженню концентрації мікрофлори, видаленню нальоту, слизу, злущеного епітелію. </w:t>
      </w:r>
      <w:r w:rsidRPr="005815D2">
        <w:rPr>
          <w:rFonts w:ascii="Times New Roman" w:hAnsi="Times New Roman"/>
          <w:sz w:val="28"/>
          <w:szCs w:val="28"/>
          <w:lang w:val="uk-UA"/>
        </w:rPr>
        <w:t>[</w:t>
      </w:r>
      <w:r w:rsidR="005815D2" w:rsidRPr="005815D2">
        <w:rPr>
          <w:rFonts w:ascii="Times New Roman" w:hAnsi="Times New Roman"/>
          <w:sz w:val="28"/>
          <w:szCs w:val="28"/>
          <w:lang w:val="uk-UA"/>
        </w:rPr>
        <w:t xml:space="preserve">222, 223, </w:t>
      </w:r>
      <w:r w:rsidRPr="005815D2">
        <w:rPr>
          <w:rFonts w:ascii="Times New Roman" w:hAnsi="Times New Roman"/>
          <w:sz w:val="28"/>
          <w:szCs w:val="28"/>
          <w:lang w:val="uk-UA"/>
        </w:rPr>
        <w:t xml:space="preserve">235]. </w:t>
      </w:r>
      <w:r w:rsidR="002B332A" w:rsidRPr="005815D2">
        <w:rPr>
          <w:rFonts w:ascii="Times New Roman" w:hAnsi="Times New Roman"/>
          <w:sz w:val="28"/>
          <w:szCs w:val="28"/>
          <w:lang w:val="uk-UA"/>
        </w:rPr>
        <w:t>Антибактеріальні та хіміотерапевтичні препарати назначають за чіткими показаннями до застосування</w:t>
      </w:r>
      <w:r w:rsidRPr="005815D2">
        <w:rPr>
          <w:rFonts w:ascii="Times New Roman" w:hAnsi="Times New Roman"/>
          <w:sz w:val="28"/>
          <w:szCs w:val="28"/>
          <w:lang w:val="uk-UA"/>
        </w:rPr>
        <w:t>, о</w:t>
      </w:r>
      <w:r w:rsidR="002B332A" w:rsidRPr="005815D2">
        <w:rPr>
          <w:rFonts w:ascii="Times New Roman" w:hAnsi="Times New Roman"/>
          <w:sz w:val="28"/>
          <w:szCs w:val="28"/>
          <w:lang w:val="uk-UA"/>
        </w:rPr>
        <w:t xml:space="preserve">сновою </w:t>
      </w:r>
      <w:r w:rsidRPr="005815D2">
        <w:rPr>
          <w:rFonts w:ascii="Times New Roman" w:hAnsi="Times New Roman"/>
          <w:sz w:val="28"/>
          <w:szCs w:val="28"/>
          <w:lang w:val="uk-UA"/>
        </w:rPr>
        <w:t>для призначення</w:t>
      </w:r>
      <w:r w:rsidR="002B332A" w:rsidRPr="005815D2">
        <w:rPr>
          <w:rFonts w:ascii="Times New Roman" w:hAnsi="Times New Roman"/>
          <w:sz w:val="28"/>
          <w:szCs w:val="28"/>
          <w:lang w:val="uk-UA"/>
        </w:rPr>
        <w:t xml:space="preserve"> антибіотикотерапії є ступінь чутливості умовно-патогенної мікрофлори порожнини роту. Суттєве значення мають характер патологічного процесу, вираженість, стан імунобіологічних сил мікроорганізму. Важливим є врахування спектр</w:t>
      </w:r>
      <w:r w:rsidRPr="005815D2">
        <w:rPr>
          <w:rFonts w:ascii="Times New Roman" w:hAnsi="Times New Roman"/>
          <w:sz w:val="28"/>
          <w:szCs w:val="28"/>
          <w:lang w:val="uk-UA"/>
        </w:rPr>
        <w:t>у</w:t>
      </w:r>
      <w:r w:rsidR="002B332A" w:rsidRPr="005815D2">
        <w:rPr>
          <w:rFonts w:ascii="Times New Roman" w:hAnsi="Times New Roman"/>
          <w:sz w:val="28"/>
          <w:szCs w:val="28"/>
          <w:lang w:val="uk-UA"/>
        </w:rPr>
        <w:t xml:space="preserve"> антимікробної дії окреми</w:t>
      </w:r>
      <w:r w:rsidRPr="005815D2">
        <w:rPr>
          <w:rFonts w:ascii="Times New Roman" w:hAnsi="Times New Roman"/>
          <w:sz w:val="28"/>
          <w:szCs w:val="28"/>
          <w:lang w:val="uk-UA"/>
        </w:rPr>
        <w:t>х</w:t>
      </w:r>
      <w:r w:rsidR="002B332A" w:rsidRPr="005815D2">
        <w:rPr>
          <w:rFonts w:ascii="Times New Roman" w:hAnsi="Times New Roman"/>
          <w:sz w:val="28"/>
          <w:szCs w:val="28"/>
          <w:lang w:val="uk-UA"/>
        </w:rPr>
        <w:t xml:space="preserve"> препаратів. </w:t>
      </w:r>
      <w:r w:rsidRPr="005815D2">
        <w:rPr>
          <w:rFonts w:ascii="Times New Roman" w:hAnsi="Times New Roman"/>
          <w:sz w:val="28"/>
          <w:szCs w:val="28"/>
          <w:lang w:val="uk-UA"/>
        </w:rPr>
        <w:t>Так, з</w:t>
      </w:r>
      <w:r w:rsidR="002B332A" w:rsidRPr="005815D2">
        <w:rPr>
          <w:rFonts w:ascii="Times New Roman" w:hAnsi="Times New Roman"/>
          <w:sz w:val="28"/>
          <w:szCs w:val="28"/>
          <w:lang w:val="uk-UA"/>
        </w:rPr>
        <w:t>асоби з широким спектром дії більш різко пригнічують нормальну мікрофлору організму і швидше призводять до розвитку дисбактеріозів, а саме кандидозів [</w:t>
      </w:r>
      <w:r w:rsidR="005815D2" w:rsidRPr="005815D2">
        <w:rPr>
          <w:rFonts w:ascii="Times New Roman" w:hAnsi="Times New Roman"/>
          <w:sz w:val="28"/>
          <w:szCs w:val="28"/>
          <w:lang w:val="uk-UA"/>
        </w:rPr>
        <w:t>223, 226-228</w:t>
      </w:r>
      <w:r w:rsidR="002B332A" w:rsidRPr="005815D2">
        <w:rPr>
          <w:rFonts w:ascii="Times New Roman" w:hAnsi="Times New Roman"/>
          <w:sz w:val="28"/>
          <w:szCs w:val="28"/>
          <w:lang w:val="uk-UA"/>
        </w:rPr>
        <w:t xml:space="preserve">]. </w:t>
      </w:r>
    </w:p>
    <w:p w14:paraId="35005E95" w14:textId="51B0E1E2" w:rsidR="002B332A" w:rsidRPr="005815D2" w:rsidRDefault="002B332A" w:rsidP="002B332A">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 xml:space="preserve">Застосування антиоксидантів та антигіпоксантів в комплексному лікуванні </w:t>
      </w:r>
      <w:r w:rsidR="00134039" w:rsidRPr="005815D2">
        <w:rPr>
          <w:rFonts w:ascii="Times New Roman" w:hAnsi="Times New Roman"/>
          <w:sz w:val="28"/>
          <w:szCs w:val="28"/>
          <w:lang w:val="uk-UA"/>
        </w:rPr>
        <w:t>запальних захворювань пародонту</w:t>
      </w:r>
      <w:r w:rsidRPr="005815D2">
        <w:rPr>
          <w:rFonts w:ascii="Times New Roman" w:hAnsi="Times New Roman"/>
          <w:sz w:val="28"/>
          <w:szCs w:val="28"/>
          <w:lang w:val="uk-UA"/>
        </w:rPr>
        <w:t xml:space="preserve"> є патогенетично обґрунтованим, оскільки</w:t>
      </w:r>
      <w:r w:rsidR="00134039" w:rsidRPr="005815D2">
        <w:rPr>
          <w:rFonts w:ascii="Times New Roman" w:hAnsi="Times New Roman"/>
          <w:sz w:val="28"/>
          <w:szCs w:val="28"/>
          <w:lang w:val="uk-UA"/>
        </w:rPr>
        <w:t xml:space="preserve">, як вже було зазначено, антиоксиданти </w:t>
      </w:r>
      <w:r w:rsidRPr="005815D2">
        <w:rPr>
          <w:rFonts w:ascii="Times New Roman" w:hAnsi="Times New Roman"/>
          <w:sz w:val="28"/>
          <w:szCs w:val="28"/>
          <w:lang w:val="uk-UA"/>
        </w:rPr>
        <w:t>інгібують перекиси та проміжні продукти вільнорадикального окиснення ліпідів, виявляють протизапальну та протинабрякову дію, прис</w:t>
      </w:r>
      <w:r w:rsidR="00134039" w:rsidRPr="005815D2">
        <w:rPr>
          <w:rFonts w:ascii="Times New Roman" w:hAnsi="Times New Roman"/>
          <w:sz w:val="28"/>
          <w:szCs w:val="28"/>
          <w:lang w:val="uk-UA"/>
        </w:rPr>
        <w:t>корюють процеси регенерації</w:t>
      </w:r>
      <w:r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229, 230</w:t>
      </w:r>
      <w:r w:rsidRPr="005815D2">
        <w:rPr>
          <w:rFonts w:ascii="Times New Roman" w:hAnsi="Times New Roman"/>
          <w:sz w:val="28"/>
          <w:szCs w:val="28"/>
          <w:lang w:val="uk-UA"/>
        </w:rPr>
        <w:t>].</w:t>
      </w:r>
    </w:p>
    <w:p w14:paraId="4F05E20E" w14:textId="2B11A67B" w:rsidR="009B6CE4" w:rsidRPr="005815D2" w:rsidRDefault="00134039" w:rsidP="00134039">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lastRenderedPageBreak/>
        <w:t>Призначення імуномоделюючих препаратів не є загальновживаною практикою при лікуванні запальних захворювань пародонту, особливо хроні</w:t>
      </w:r>
      <w:r w:rsidR="00DB07F5">
        <w:rPr>
          <w:rFonts w:ascii="Times New Roman" w:hAnsi="Times New Roman"/>
          <w:sz w:val="28"/>
          <w:szCs w:val="28"/>
          <w:lang w:val="uk-UA"/>
        </w:rPr>
        <w:t>чного катарального гінгівіту. В</w:t>
      </w:r>
      <w:r w:rsidRPr="005815D2">
        <w:rPr>
          <w:rFonts w:ascii="Times New Roman" w:hAnsi="Times New Roman"/>
          <w:sz w:val="28"/>
          <w:szCs w:val="28"/>
          <w:lang w:val="uk-UA"/>
        </w:rPr>
        <w:t>важається доціл</w:t>
      </w:r>
      <w:r w:rsidR="00DB07F5">
        <w:rPr>
          <w:rFonts w:ascii="Times New Roman" w:hAnsi="Times New Roman"/>
          <w:sz w:val="28"/>
          <w:szCs w:val="28"/>
          <w:lang w:val="uk-UA"/>
        </w:rPr>
        <w:t>ь</w:t>
      </w:r>
      <w:r w:rsidRPr="005815D2">
        <w:rPr>
          <w:rFonts w:ascii="Times New Roman" w:hAnsi="Times New Roman"/>
          <w:sz w:val="28"/>
          <w:szCs w:val="28"/>
          <w:lang w:val="uk-UA"/>
        </w:rPr>
        <w:t xml:space="preserve">ним їх призначення </w:t>
      </w:r>
      <w:r w:rsidR="002B332A" w:rsidRPr="005815D2">
        <w:rPr>
          <w:rFonts w:ascii="Times New Roman" w:hAnsi="Times New Roman"/>
          <w:sz w:val="28"/>
          <w:szCs w:val="28"/>
          <w:lang w:val="uk-UA"/>
        </w:rPr>
        <w:t xml:space="preserve">при сповільненому протіканні запальних та дистрофічних процесів на фоні зниження імунологічної реактивності організму та неспецифічних факторів захисту. </w:t>
      </w:r>
      <w:r w:rsidRPr="005815D2">
        <w:rPr>
          <w:rFonts w:ascii="Times New Roman" w:hAnsi="Times New Roman"/>
          <w:sz w:val="28"/>
          <w:szCs w:val="28"/>
          <w:lang w:val="uk-UA"/>
        </w:rPr>
        <w:t>Імуномодулятори</w:t>
      </w:r>
      <w:r w:rsidR="002B332A" w:rsidRPr="005815D2">
        <w:rPr>
          <w:rFonts w:ascii="Times New Roman" w:hAnsi="Times New Roman"/>
          <w:sz w:val="28"/>
          <w:szCs w:val="28"/>
          <w:lang w:val="uk-UA"/>
        </w:rPr>
        <w:t xml:space="preserve"> прискорюють</w:t>
      </w:r>
      <w:r w:rsidRPr="005815D2">
        <w:rPr>
          <w:rFonts w:ascii="Times New Roman" w:hAnsi="Times New Roman"/>
          <w:sz w:val="28"/>
          <w:szCs w:val="28"/>
          <w:lang w:val="uk-UA"/>
        </w:rPr>
        <w:t xml:space="preserve"> процеси клітинної регенерації</w:t>
      </w:r>
      <w:r w:rsidR="002B332A" w:rsidRPr="005815D2">
        <w:rPr>
          <w:rFonts w:ascii="Times New Roman" w:hAnsi="Times New Roman"/>
          <w:sz w:val="28"/>
          <w:szCs w:val="28"/>
          <w:lang w:val="uk-UA"/>
        </w:rPr>
        <w:t>, стимулюють клітинні та гуморальні фактори захисту, виявляють протизапальну дію [</w:t>
      </w:r>
      <w:r w:rsidR="005815D2" w:rsidRPr="005815D2">
        <w:rPr>
          <w:rFonts w:ascii="Times New Roman" w:hAnsi="Times New Roman"/>
          <w:sz w:val="28"/>
          <w:szCs w:val="28"/>
          <w:lang w:val="uk-UA"/>
        </w:rPr>
        <w:t>226, 228, 231, 232</w:t>
      </w:r>
      <w:r w:rsidR="002B332A" w:rsidRPr="005815D2">
        <w:rPr>
          <w:rFonts w:ascii="Times New Roman" w:hAnsi="Times New Roman"/>
          <w:sz w:val="28"/>
          <w:szCs w:val="28"/>
          <w:lang w:val="uk-UA"/>
        </w:rPr>
        <w:t>].</w:t>
      </w:r>
      <w:r w:rsidRPr="005815D2">
        <w:rPr>
          <w:rFonts w:ascii="Times New Roman" w:hAnsi="Times New Roman"/>
          <w:sz w:val="28"/>
          <w:szCs w:val="28"/>
          <w:lang w:val="uk-UA"/>
        </w:rPr>
        <w:t xml:space="preserve"> Крім зазначених препаратів, д</w:t>
      </w:r>
      <w:r w:rsidR="009B6CE4" w:rsidRPr="005815D2">
        <w:rPr>
          <w:rFonts w:ascii="Times New Roman" w:hAnsi="Times New Roman"/>
          <w:sz w:val="28"/>
          <w:szCs w:val="28"/>
          <w:lang w:val="uk-UA"/>
        </w:rPr>
        <w:t>ля стимуляції захисних меха</w:t>
      </w:r>
      <w:r w:rsidRPr="005815D2">
        <w:rPr>
          <w:rFonts w:ascii="Times New Roman" w:hAnsi="Times New Roman"/>
          <w:sz w:val="28"/>
          <w:szCs w:val="28"/>
          <w:lang w:val="uk-UA"/>
        </w:rPr>
        <w:t>нізмів, які забезпечують блокування запального процесу, можливе призначення препаратів</w:t>
      </w:r>
      <w:r w:rsidR="009B6CE4" w:rsidRPr="005815D2">
        <w:rPr>
          <w:rFonts w:ascii="Times New Roman" w:hAnsi="Times New Roman"/>
          <w:sz w:val="28"/>
          <w:szCs w:val="28"/>
          <w:lang w:val="uk-UA"/>
        </w:rPr>
        <w:t>, які підвищують фагоцитоз (зрошування розчином лізоциму, метилурацил, пентокс</w:t>
      </w:r>
      <w:r w:rsidRPr="005815D2">
        <w:rPr>
          <w:rFonts w:ascii="Times New Roman" w:hAnsi="Times New Roman"/>
          <w:sz w:val="28"/>
          <w:szCs w:val="28"/>
          <w:lang w:val="uk-UA"/>
        </w:rPr>
        <w:t>ил та інші</w:t>
      </w:r>
      <w:r w:rsidR="003C3F92"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[233, 231, 219, 226</w:t>
      </w:r>
      <w:r w:rsidR="009B6CE4" w:rsidRPr="005815D2">
        <w:rPr>
          <w:rFonts w:ascii="Times New Roman" w:hAnsi="Times New Roman"/>
          <w:sz w:val="28"/>
          <w:szCs w:val="28"/>
          <w:lang w:val="uk-UA"/>
        </w:rPr>
        <w:t>].</w:t>
      </w:r>
    </w:p>
    <w:p w14:paraId="2FBE2188" w14:textId="35EBF98C" w:rsidR="009B6CE4" w:rsidRPr="005815D2" w:rsidRDefault="00134039" w:rsidP="009B6CE4">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 xml:space="preserve">Глюкокортикостероїдні препарати при лікуванні запальних захворювань пародонту </w:t>
      </w:r>
      <w:r w:rsidR="00F34AC7" w:rsidRPr="005815D2">
        <w:rPr>
          <w:rFonts w:ascii="Times New Roman" w:hAnsi="Times New Roman"/>
          <w:sz w:val="28"/>
          <w:szCs w:val="28"/>
          <w:lang w:val="uk-UA"/>
        </w:rPr>
        <w:t>мають високу ефективність, оскільки вони забезпечують в</w:t>
      </w:r>
      <w:r w:rsidR="009B6CE4" w:rsidRPr="005815D2">
        <w:rPr>
          <w:rFonts w:ascii="Times New Roman" w:hAnsi="Times New Roman"/>
          <w:sz w:val="28"/>
          <w:szCs w:val="28"/>
          <w:lang w:val="uk-UA"/>
        </w:rPr>
        <w:t>иражену протизапальну, протинабрякову, гіпосенсибіліз</w:t>
      </w:r>
      <w:r w:rsidR="00F34AC7" w:rsidRPr="005815D2">
        <w:rPr>
          <w:rFonts w:ascii="Times New Roman" w:hAnsi="Times New Roman"/>
          <w:sz w:val="28"/>
          <w:szCs w:val="28"/>
          <w:lang w:val="uk-UA"/>
        </w:rPr>
        <w:t>уючу, інумнодепресивну дію</w:t>
      </w:r>
      <w:r w:rsidR="009B6CE4" w:rsidRPr="005815D2">
        <w:rPr>
          <w:rFonts w:ascii="Times New Roman" w:hAnsi="Times New Roman"/>
          <w:sz w:val="28"/>
          <w:szCs w:val="28"/>
          <w:lang w:val="uk-UA"/>
        </w:rPr>
        <w:t xml:space="preserve">. </w:t>
      </w:r>
      <w:r w:rsidR="00F34AC7" w:rsidRPr="005815D2">
        <w:rPr>
          <w:rFonts w:ascii="Times New Roman" w:hAnsi="Times New Roman"/>
          <w:sz w:val="28"/>
          <w:szCs w:val="28"/>
          <w:lang w:val="uk-UA"/>
        </w:rPr>
        <w:t>Їх застосування показане</w:t>
      </w:r>
      <w:r w:rsidR="009B6CE4" w:rsidRPr="005815D2">
        <w:rPr>
          <w:rFonts w:ascii="Times New Roman" w:hAnsi="Times New Roman"/>
          <w:sz w:val="28"/>
          <w:szCs w:val="28"/>
          <w:lang w:val="uk-UA"/>
        </w:rPr>
        <w:t xml:space="preserve"> у вигляді аплікацій т</w:t>
      </w:r>
      <w:r w:rsidR="00F34AC7" w:rsidRPr="005815D2">
        <w:rPr>
          <w:rFonts w:ascii="Times New Roman" w:hAnsi="Times New Roman"/>
          <w:sz w:val="28"/>
          <w:szCs w:val="28"/>
          <w:lang w:val="uk-UA"/>
        </w:rPr>
        <w:t>а в складі лікувальних пов’язок</w:t>
      </w:r>
      <w:r w:rsidR="009B6CE4" w:rsidRPr="005815D2">
        <w:rPr>
          <w:rFonts w:ascii="Times New Roman" w:hAnsi="Times New Roman"/>
          <w:sz w:val="28"/>
          <w:szCs w:val="28"/>
          <w:lang w:val="uk-UA"/>
        </w:rPr>
        <w:t>, особливо у поєднанні з антисептиками, антибіотиками, вітамінами тощо (гідрокортизон, преднізолон, дексаметазон) [</w:t>
      </w:r>
      <w:r w:rsidR="005815D2" w:rsidRPr="005815D2">
        <w:rPr>
          <w:rFonts w:ascii="Times New Roman" w:hAnsi="Times New Roman"/>
          <w:sz w:val="28"/>
          <w:szCs w:val="28"/>
          <w:lang w:val="uk-UA"/>
        </w:rPr>
        <w:t>219, 214, 216</w:t>
      </w:r>
      <w:r w:rsidR="009B6CE4" w:rsidRPr="005815D2">
        <w:rPr>
          <w:rFonts w:ascii="Times New Roman" w:hAnsi="Times New Roman"/>
          <w:sz w:val="28"/>
          <w:szCs w:val="28"/>
          <w:lang w:val="uk-UA"/>
        </w:rPr>
        <w:t>].</w:t>
      </w:r>
    </w:p>
    <w:p w14:paraId="03918484" w14:textId="5EEF688E" w:rsidR="009B6CE4" w:rsidRPr="005815D2" w:rsidRDefault="009B6CE4" w:rsidP="009B6CE4">
      <w:pPr>
        <w:spacing w:after="0" w:line="360" w:lineRule="auto"/>
        <w:ind w:firstLine="709"/>
        <w:jc w:val="both"/>
        <w:rPr>
          <w:rFonts w:ascii="Times New Roman" w:hAnsi="Times New Roman"/>
          <w:sz w:val="28"/>
          <w:szCs w:val="28"/>
          <w:lang w:val="uk-UA"/>
        </w:rPr>
      </w:pPr>
      <w:r w:rsidRPr="005815D2">
        <w:rPr>
          <w:rFonts w:ascii="Times New Roman" w:hAnsi="Times New Roman"/>
          <w:sz w:val="28"/>
          <w:szCs w:val="28"/>
          <w:lang w:val="uk-UA"/>
        </w:rPr>
        <w:t>Вітамінотерапія</w:t>
      </w:r>
      <w:r w:rsidR="00F34AC7" w:rsidRPr="005815D2">
        <w:rPr>
          <w:rFonts w:ascii="Times New Roman" w:hAnsi="Times New Roman"/>
          <w:sz w:val="28"/>
          <w:szCs w:val="28"/>
          <w:lang w:val="uk-UA"/>
        </w:rPr>
        <w:t xml:space="preserve"> також</w:t>
      </w:r>
      <w:r w:rsidRPr="005815D2">
        <w:rPr>
          <w:rFonts w:ascii="Times New Roman" w:hAnsi="Times New Roman"/>
          <w:sz w:val="28"/>
          <w:szCs w:val="28"/>
          <w:lang w:val="uk-UA"/>
        </w:rPr>
        <w:t xml:space="preserve"> є важливою ланкою комплексного лікування гінгівітів та стоматитів</w:t>
      </w:r>
      <w:r w:rsidR="00F34AC7" w:rsidRPr="005815D2">
        <w:rPr>
          <w:rFonts w:ascii="Times New Roman" w:hAnsi="Times New Roman"/>
          <w:sz w:val="28"/>
          <w:szCs w:val="28"/>
          <w:lang w:val="uk-UA"/>
        </w:rPr>
        <w:t>, особливо на тлі загальносоматичних захворювань</w:t>
      </w:r>
      <w:r w:rsidRPr="005815D2">
        <w:rPr>
          <w:rFonts w:ascii="Times New Roman" w:hAnsi="Times New Roman"/>
          <w:sz w:val="28"/>
          <w:szCs w:val="28"/>
          <w:lang w:val="uk-UA"/>
        </w:rPr>
        <w:t xml:space="preserve">. З метою відновлення обмінних процесів в тканинах </w:t>
      </w:r>
      <w:r w:rsidR="00F34AC7" w:rsidRPr="005815D2">
        <w:rPr>
          <w:rFonts w:ascii="Times New Roman" w:hAnsi="Times New Roman"/>
          <w:sz w:val="28"/>
          <w:szCs w:val="28"/>
          <w:lang w:val="uk-UA"/>
        </w:rPr>
        <w:t>пародонту</w:t>
      </w:r>
      <w:r w:rsidRPr="005815D2">
        <w:rPr>
          <w:rFonts w:ascii="Times New Roman" w:hAnsi="Times New Roman"/>
          <w:sz w:val="28"/>
          <w:szCs w:val="28"/>
          <w:lang w:val="uk-UA"/>
        </w:rPr>
        <w:t xml:space="preserve"> призначають </w:t>
      </w:r>
      <w:r w:rsidR="00F34AC7" w:rsidRPr="005815D2">
        <w:rPr>
          <w:rFonts w:ascii="Times New Roman" w:hAnsi="Times New Roman"/>
          <w:sz w:val="28"/>
          <w:szCs w:val="28"/>
          <w:lang w:val="uk-UA"/>
        </w:rPr>
        <w:t>комплексні полівітамінні препарати з вмістом вітамінів</w:t>
      </w:r>
      <w:r w:rsidRPr="005815D2">
        <w:rPr>
          <w:rFonts w:ascii="Times New Roman" w:hAnsi="Times New Roman"/>
          <w:sz w:val="28"/>
          <w:szCs w:val="28"/>
          <w:lang w:val="uk-UA"/>
        </w:rPr>
        <w:t xml:space="preserve"> А, Д, Е, С, які стимулюють регенерацію в комплексі з вітамінами групи В - В1, В6, В12, фолієвою кислотою, які корегують енергоутворення, синт</w:t>
      </w:r>
      <w:r w:rsidR="00F34AC7" w:rsidRPr="005815D2">
        <w:rPr>
          <w:rFonts w:ascii="Times New Roman" w:hAnsi="Times New Roman"/>
          <w:sz w:val="28"/>
          <w:szCs w:val="28"/>
          <w:lang w:val="uk-UA"/>
        </w:rPr>
        <w:t>ез білка і проліферацію клітин</w:t>
      </w:r>
      <w:r w:rsidRPr="005815D2">
        <w:rPr>
          <w:rFonts w:ascii="Times New Roman" w:hAnsi="Times New Roman"/>
          <w:sz w:val="28"/>
          <w:szCs w:val="28"/>
          <w:lang w:val="uk-UA"/>
        </w:rPr>
        <w:t xml:space="preserve"> [</w:t>
      </w:r>
      <w:r w:rsidR="005815D2" w:rsidRPr="005815D2">
        <w:rPr>
          <w:rFonts w:ascii="Times New Roman" w:hAnsi="Times New Roman"/>
          <w:sz w:val="28"/>
          <w:szCs w:val="28"/>
          <w:lang w:val="uk-UA"/>
        </w:rPr>
        <w:t>216, 222, 228</w:t>
      </w:r>
      <w:r w:rsidRPr="005815D2">
        <w:rPr>
          <w:rFonts w:ascii="Times New Roman" w:hAnsi="Times New Roman"/>
          <w:sz w:val="28"/>
          <w:szCs w:val="28"/>
          <w:lang w:val="uk-UA"/>
        </w:rPr>
        <w:t>].</w:t>
      </w:r>
    </w:p>
    <w:p w14:paraId="1BE17C9D" w14:textId="10423AF6" w:rsidR="00DF6DA6" w:rsidRDefault="00656829" w:rsidP="001340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аналіз літературних джерел доводить участь загальносоматичних захворювань у етіології </w:t>
      </w:r>
      <w:r w:rsidR="00DB07F5">
        <w:rPr>
          <w:rFonts w:ascii="Times New Roman" w:hAnsi="Times New Roman"/>
          <w:sz w:val="28"/>
          <w:szCs w:val="28"/>
          <w:lang w:val="uk-UA"/>
        </w:rPr>
        <w:t xml:space="preserve">та патоненезі </w:t>
      </w:r>
      <w:r>
        <w:rPr>
          <w:rFonts w:ascii="Times New Roman" w:hAnsi="Times New Roman"/>
          <w:sz w:val="28"/>
          <w:szCs w:val="28"/>
          <w:lang w:val="uk-UA"/>
        </w:rPr>
        <w:t xml:space="preserve">гінгівіту у дітей, проте подальшого вивчення потребують патогенетичні механізми розвитку запальних захворювань пародонту. Науковцями доведено, що при наявності бронхіальної астми, алергінчого риніту, атопічного дерматиту відзначаються певні зміни стоматологічного статусу, а також характерні імунометаболічні </w:t>
      </w:r>
      <w:r>
        <w:rPr>
          <w:rFonts w:ascii="Times New Roman" w:hAnsi="Times New Roman"/>
          <w:sz w:val="28"/>
          <w:szCs w:val="28"/>
          <w:lang w:val="uk-UA"/>
        </w:rPr>
        <w:lastRenderedPageBreak/>
        <w:t xml:space="preserve">розлади. </w:t>
      </w:r>
      <w:r w:rsidR="00373F3F">
        <w:rPr>
          <w:rFonts w:ascii="Times New Roman" w:hAnsi="Times New Roman"/>
          <w:sz w:val="28"/>
          <w:szCs w:val="28"/>
          <w:lang w:val="uk-UA"/>
        </w:rPr>
        <w:t>Проте дослідження</w:t>
      </w:r>
      <w:r>
        <w:rPr>
          <w:rFonts w:ascii="Times New Roman" w:hAnsi="Times New Roman"/>
          <w:sz w:val="28"/>
          <w:szCs w:val="28"/>
          <w:lang w:val="uk-UA"/>
        </w:rPr>
        <w:t>, у яких визначено специфічні біомаркери, які дозволяють діагностувати на ранньому етапі або прогнозувати розвиток запальних захворювань пародонту у дітей з атопією</w:t>
      </w:r>
      <w:r w:rsidR="00373F3F">
        <w:rPr>
          <w:rFonts w:ascii="Times New Roman" w:hAnsi="Times New Roman"/>
          <w:sz w:val="28"/>
          <w:szCs w:val="28"/>
          <w:lang w:val="uk-UA"/>
        </w:rPr>
        <w:t xml:space="preserve">, практично відсутні у літературі. Так само невивченою, але необхідною, є </w:t>
      </w:r>
      <w:r w:rsidR="00DB07F5">
        <w:rPr>
          <w:rFonts w:ascii="Times New Roman" w:hAnsi="Times New Roman"/>
          <w:sz w:val="28"/>
          <w:szCs w:val="28"/>
          <w:lang w:val="uk-UA"/>
        </w:rPr>
        <w:t>створення патогенетично обгрунтованої ефективної концепції</w:t>
      </w:r>
      <w:r w:rsidR="00373F3F">
        <w:rPr>
          <w:rFonts w:ascii="Times New Roman" w:hAnsi="Times New Roman"/>
          <w:sz w:val="28"/>
          <w:szCs w:val="28"/>
          <w:lang w:val="uk-UA"/>
        </w:rPr>
        <w:t xml:space="preserve"> лікування та профілактики захворювань пародонту у дітей з атопією з урахуванням імунометаболічних змін.</w:t>
      </w:r>
    </w:p>
    <w:p w14:paraId="57DCA1B8" w14:textId="77777777" w:rsidR="00DB07F5" w:rsidRDefault="00DB07F5" w:rsidP="00134039">
      <w:pPr>
        <w:spacing w:after="0" w:line="360" w:lineRule="auto"/>
        <w:ind w:firstLine="709"/>
        <w:jc w:val="both"/>
        <w:rPr>
          <w:rFonts w:ascii="Times New Roman" w:hAnsi="Times New Roman"/>
          <w:sz w:val="28"/>
          <w:szCs w:val="28"/>
          <w:lang w:val="uk-UA"/>
        </w:rPr>
      </w:pPr>
    </w:p>
    <w:p w14:paraId="4731BB5B" w14:textId="31FE12B5" w:rsidR="001A43BC" w:rsidRDefault="001A43BC" w:rsidP="001340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49FE584C" w14:textId="1662AEE6" w:rsidR="001A43BC" w:rsidRDefault="001A43BC" w:rsidP="001A43BC">
      <w:pPr>
        <w:widowControl w:val="0"/>
        <w:numPr>
          <w:ilvl w:val="0"/>
          <w:numId w:val="8"/>
        </w:numPr>
        <w:suppressAutoHyphens/>
        <w:autoSpaceDE w:val="0"/>
        <w:spacing w:after="0" w:line="360" w:lineRule="auto"/>
        <w:jc w:val="both"/>
        <w:rPr>
          <w:rFonts w:ascii="Times New Roman" w:eastAsia="Times New Roman" w:hAnsi="Times New Roman" w:cs="Times New Roman"/>
          <w:sz w:val="28"/>
          <w:szCs w:val="28"/>
          <w:lang w:val="uk-UA" w:eastAsia="ar-SA"/>
        </w:rPr>
      </w:pPr>
      <w:r w:rsidRPr="005B5BB4">
        <w:rPr>
          <w:rFonts w:ascii="Times New Roman" w:eastAsia="Times New Roman" w:hAnsi="Times New Roman" w:cs="Times New Roman"/>
          <w:sz w:val="28"/>
          <w:szCs w:val="28"/>
          <w:lang w:val="uk-UA" w:eastAsia="ar-SA"/>
        </w:rPr>
        <w:t xml:space="preserve">Кривенко Л. С. </w:t>
      </w:r>
      <w:r w:rsidRPr="005B5BB4">
        <w:rPr>
          <w:rFonts w:ascii="Times New Roman" w:eastAsia="Times New Roman" w:hAnsi="Times New Roman" w:cs="Times New Roman"/>
          <w:sz w:val="28"/>
          <w:szCs w:val="28"/>
          <w:lang w:val="ru-RU" w:eastAsia="ar-SA"/>
        </w:rPr>
        <w:t>Особенности стоматологического статуса детей, рожденных преждевременно (обзор литературы)</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val="ru-RU" w:eastAsia="ar-SA"/>
        </w:rPr>
        <w:t>/ Л.</w:t>
      </w:r>
      <w:r w:rsidRPr="005B5BB4">
        <w:rPr>
          <w:rFonts w:ascii="Times New Roman" w:eastAsia="Times New Roman" w:hAnsi="Times New Roman" w:cs="Times New Roman"/>
          <w:sz w:val="28"/>
          <w:szCs w:val="28"/>
          <w:lang w:val="uk-UA" w:eastAsia="ar-SA"/>
        </w:rPr>
        <w:t xml:space="preserve"> С. Кривенко // </w:t>
      </w:r>
      <w:r w:rsidRPr="005B5BB4">
        <w:rPr>
          <w:rFonts w:ascii="Times New Roman" w:eastAsia="Times New Roman" w:hAnsi="Times New Roman" w:cs="Times New Roman"/>
          <w:sz w:val="28"/>
          <w:szCs w:val="28"/>
          <w:lang w:val="ru-RU" w:eastAsia="ar-SA"/>
        </w:rPr>
        <w:t>Вісник проблем медицини та біології</w:t>
      </w:r>
      <w:r w:rsidRPr="005B5BB4">
        <w:rPr>
          <w:rFonts w:ascii="Times New Roman" w:eastAsia="Times New Roman" w:hAnsi="Times New Roman" w:cs="Times New Roman"/>
          <w:sz w:val="28"/>
          <w:szCs w:val="28"/>
          <w:lang w:val="uk-UA" w:eastAsia="ar-SA"/>
        </w:rPr>
        <w:t>.</w:t>
      </w:r>
      <w:r w:rsidRPr="005B5BB4">
        <w:rPr>
          <w:rFonts w:ascii="Times New Roman" w:eastAsia="Times New Roman" w:hAnsi="Times New Roman" w:cs="Times New Roman"/>
          <w:sz w:val="28"/>
          <w:szCs w:val="28"/>
          <w:lang w:val="ru-RU" w:eastAsia="ar-SA"/>
        </w:rPr>
        <w:t xml:space="preserve"> </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val="ru-RU" w:eastAsia="ar-SA"/>
        </w:rPr>
        <w:t>2014</w:t>
      </w:r>
      <w:r w:rsidRPr="005B5BB4">
        <w:rPr>
          <w:rFonts w:ascii="Times New Roman" w:eastAsia="Times New Roman" w:hAnsi="Times New Roman" w:cs="Times New Roman"/>
          <w:sz w:val="28"/>
          <w:szCs w:val="28"/>
          <w:lang w:val="uk-UA" w:eastAsia="ar-SA"/>
        </w:rPr>
        <w:t>. – №</w:t>
      </w:r>
      <w:r w:rsidRPr="005B5BB4">
        <w:rPr>
          <w:rFonts w:ascii="Times New Roman" w:eastAsia="Times New Roman" w:hAnsi="Times New Roman" w:cs="Times New Roman"/>
          <w:sz w:val="28"/>
          <w:szCs w:val="28"/>
          <w:lang w:val="ru-RU" w:eastAsia="ar-SA"/>
        </w:rPr>
        <w:t xml:space="preserve"> 4, </w:t>
      </w:r>
      <w:r w:rsidRPr="005B5BB4">
        <w:rPr>
          <w:rFonts w:ascii="Times New Roman" w:eastAsia="Times New Roman" w:hAnsi="Times New Roman" w:cs="Times New Roman"/>
          <w:sz w:val="28"/>
          <w:szCs w:val="28"/>
          <w:lang w:val="uk-UA" w:eastAsia="ar-SA"/>
        </w:rPr>
        <w:t xml:space="preserve">Том 3 (115). </w:t>
      </w:r>
      <w:r w:rsidRPr="005B5BB4">
        <w:rPr>
          <w:rFonts w:ascii="Times New Roman" w:eastAsia="Times New Roman" w:hAnsi="Times New Roman" w:cs="Times New Roman"/>
          <w:sz w:val="28"/>
          <w:szCs w:val="28"/>
          <w:lang w:val="uk-UA" w:eastAsia="ar-SA"/>
        </w:rPr>
        <w:br/>
        <w:t xml:space="preserve">– С. </w:t>
      </w:r>
      <w:r w:rsidRPr="005B5BB4">
        <w:rPr>
          <w:rFonts w:ascii="Times New Roman" w:eastAsia="Times New Roman" w:hAnsi="Times New Roman" w:cs="Times New Roman"/>
          <w:sz w:val="28"/>
          <w:szCs w:val="28"/>
          <w:lang w:val="ru-RU" w:eastAsia="ar-SA"/>
        </w:rPr>
        <w:t>20-24</w:t>
      </w:r>
      <w:r w:rsidRPr="005B5BB4">
        <w:rPr>
          <w:rFonts w:ascii="Times New Roman" w:eastAsia="Times New Roman" w:hAnsi="Times New Roman" w:cs="Times New Roman"/>
          <w:sz w:val="28"/>
          <w:szCs w:val="28"/>
          <w:lang w:val="uk-UA" w:eastAsia="ar-SA"/>
        </w:rPr>
        <w:t>.</w:t>
      </w:r>
    </w:p>
    <w:p w14:paraId="51E5A9A4" w14:textId="77777777" w:rsidR="001A43BC" w:rsidRPr="001A43BC" w:rsidRDefault="001A43BC" w:rsidP="001A43BC">
      <w:pPr>
        <w:pStyle w:val="ListParagraph"/>
        <w:numPr>
          <w:ilvl w:val="0"/>
          <w:numId w:val="8"/>
        </w:numPr>
        <w:spacing w:after="0" w:line="360" w:lineRule="auto"/>
        <w:jc w:val="both"/>
        <w:rPr>
          <w:rFonts w:ascii="Times New Roman" w:hAnsi="Times New Roman"/>
          <w:sz w:val="28"/>
          <w:szCs w:val="28"/>
          <w:lang w:val="uk-UA"/>
        </w:rPr>
      </w:pPr>
      <w:r w:rsidRPr="005B5BB4">
        <w:rPr>
          <w:rFonts w:ascii="Times New Roman" w:eastAsia="Times New Roman" w:hAnsi="Times New Roman" w:cs="Times New Roman"/>
          <w:sz w:val="28"/>
          <w:szCs w:val="28"/>
          <w:lang w:eastAsia="ar-SA"/>
        </w:rPr>
        <w:t>Kryvenko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L</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Comparative analysis of the role of domestic allergens in atopic dermatitis etiology in children /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K</w:t>
      </w:r>
      <w:r w:rsidRPr="005B5BB4">
        <w:rPr>
          <w:rFonts w:ascii="Times New Roman" w:eastAsia="Times New Roman" w:hAnsi="Times New Roman" w:cs="Times New Roman"/>
          <w:sz w:val="28"/>
          <w:szCs w:val="28"/>
          <w:lang w:val="uk-UA" w:eastAsia="ar-SA"/>
        </w:rPr>
        <w:t xml:space="preserve">. Shmulich, </w:t>
      </w:r>
      <w:r w:rsidRPr="005B5BB4">
        <w:rPr>
          <w:rFonts w:ascii="Times New Roman" w:eastAsia="Times New Roman" w:hAnsi="Times New Roman" w:cs="Times New Roman"/>
          <w:sz w:val="28"/>
          <w:szCs w:val="28"/>
          <w:lang w:eastAsia="ar-SA"/>
        </w:rPr>
        <w:t>M</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K</w:t>
      </w:r>
      <w:r w:rsidRPr="005B5BB4">
        <w:rPr>
          <w:rFonts w:ascii="Times New Roman" w:eastAsia="Times New Roman" w:hAnsi="Times New Roman" w:cs="Times New Roman"/>
          <w:sz w:val="28"/>
          <w:szCs w:val="28"/>
          <w:lang w:val="uk-UA" w:eastAsia="ar-SA"/>
        </w:rPr>
        <w:t xml:space="preserve">. Uryvayva, </w:t>
      </w:r>
      <w:r w:rsidRPr="005B5BB4">
        <w:rPr>
          <w:rFonts w:ascii="Times New Roman" w:eastAsia="Times New Roman" w:hAnsi="Times New Roman" w:cs="Times New Roman"/>
          <w:sz w:val="28"/>
          <w:szCs w:val="28"/>
          <w:lang w:val="uk-UA" w:eastAsia="ar-SA"/>
        </w:rPr>
        <w:br/>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Lupaltsova,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Staruseva, </w:t>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xml:space="preserve">. Rybka, </w:t>
      </w:r>
      <w:r w:rsidRPr="005B5BB4">
        <w:rPr>
          <w:rFonts w:ascii="Times New Roman" w:eastAsia="Times New Roman" w:hAnsi="Times New Roman" w:cs="Times New Roman"/>
          <w:sz w:val="28"/>
          <w:szCs w:val="28"/>
          <w:lang w:eastAsia="ar-SA"/>
        </w:rPr>
        <w:t>O</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V</w:t>
      </w:r>
      <w:r w:rsidRPr="005B5BB4">
        <w:rPr>
          <w:rFonts w:ascii="Times New Roman" w:eastAsia="Times New Roman" w:hAnsi="Times New Roman" w:cs="Times New Roman"/>
          <w:sz w:val="28"/>
          <w:szCs w:val="28"/>
          <w:lang w:val="uk-UA" w:eastAsia="ar-SA"/>
        </w:rPr>
        <w:t xml:space="preserve">. Shmulich, </w:t>
      </w:r>
      <w:r w:rsidRPr="005B5BB4">
        <w:rPr>
          <w:rFonts w:ascii="Times New Roman" w:eastAsia="Times New Roman" w:hAnsi="Times New Roman" w:cs="Times New Roman"/>
          <w:sz w:val="28"/>
          <w:szCs w:val="28"/>
          <w:lang w:val="uk-UA" w:eastAsia="ar-SA"/>
        </w:rPr>
        <w:br/>
      </w:r>
      <w:r w:rsidRPr="005B5BB4">
        <w:rPr>
          <w:rFonts w:ascii="Times New Roman" w:eastAsia="Times New Roman" w:hAnsi="Times New Roman" w:cs="Times New Roman"/>
          <w:sz w:val="28"/>
          <w:szCs w:val="28"/>
          <w:lang w:eastAsia="ar-SA"/>
        </w:rPr>
        <w:t>L</w:t>
      </w:r>
      <w:r w:rsidRPr="005B5BB4">
        <w:rPr>
          <w:rFonts w:ascii="Times New Roman" w:eastAsia="Times New Roman" w:hAnsi="Times New Roman" w:cs="Times New Roman"/>
          <w:sz w:val="28"/>
          <w:szCs w:val="28"/>
          <w:lang w:val="uk-UA" w:eastAsia="ar-SA"/>
        </w:rPr>
        <w:t xml:space="preserve">. </w:t>
      </w:r>
      <w:r w:rsidRPr="005B5BB4">
        <w:rPr>
          <w:rFonts w:ascii="Times New Roman" w:eastAsia="Times New Roman" w:hAnsi="Times New Roman" w:cs="Times New Roman"/>
          <w:sz w:val="28"/>
          <w:szCs w:val="28"/>
          <w:lang w:eastAsia="ar-SA"/>
        </w:rPr>
        <w:t>S</w:t>
      </w:r>
      <w:r w:rsidRPr="005B5BB4">
        <w:rPr>
          <w:rFonts w:ascii="Times New Roman" w:eastAsia="Times New Roman" w:hAnsi="Times New Roman" w:cs="Times New Roman"/>
          <w:sz w:val="28"/>
          <w:szCs w:val="28"/>
          <w:lang w:val="uk-UA" w:eastAsia="ar-SA"/>
        </w:rPr>
        <w:t>. Kryvenko // Inter collegas. – 2015. – 2 (3). – С.205-211.</w:t>
      </w:r>
    </w:p>
    <w:p w14:paraId="366B287D" w14:textId="77F34080" w:rsidR="001A43BC" w:rsidRPr="001A43BC" w:rsidRDefault="001A43BC" w:rsidP="001A43BC">
      <w:pPr>
        <w:widowControl w:val="0"/>
        <w:numPr>
          <w:ilvl w:val="0"/>
          <w:numId w:val="8"/>
        </w:numPr>
        <w:suppressAutoHyphens/>
        <w:autoSpaceDE w:val="0"/>
        <w:spacing w:after="0" w:line="360" w:lineRule="auto"/>
        <w:jc w:val="both"/>
        <w:rPr>
          <w:rFonts w:ascii="Times New Roman" w:eastAsia="Times New Roman" w:hAnsi="Times New Roman" w:cs="Times New Roman"/>
          <w:sz w:val="28"/>
          <w:szCs w:val="28"/>
          <w:lang w:val="uk-UA" w:eastAsia="ar-SA"/>
        </w:rPr>
      </w:pPr>
      <w:r w:rsidRPr="001A43BC">
        <w:rPr>
          <w:rFonts w:ascii="Times New Roman" w:eastAsia="Times New Roman" w:hAnsi="Times New Roman" w:cs="Times New Roman"/>
          <w:sz w:val="28"/>
          <w:szCs w:val="28"/>
          <w:lang w:eastAsia="ar-SA"/>
        </w:rPr>
        <w:t xml:space="preserve">Kryvenko L. S. Orthodontic aspects of dental status in prematurely born children / L. S. Kryvenko // </w:t>
      </w:r>
      <w:r w:rsidRPr="001A43BC">
        <w:rPr>
          <w:rFonts w:ascii="Times New Roman" w:eastAsia="Times New Roman" w:hAnsi="Times New Roman" w:cs="Times New Roman"/>
          <w:sz w:val="28"/>
          <w:szCs w:val="28"/>
          <w:lang w:val="ru-RU" w:eastAsia="ar-SA"/>
        </w:rPr>
        <w:t>Наука</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и</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здравоохранение</w:t>
      </w:r>
      <w:r w:rsidRPr="001A43BC">
        <w:rPr>
          <w:rFonts w:ascii="Times New Roman" w:eastAsia="Times New Roman" w:hAnsi="Times New Roman" w:cs="Times New Roman"/>
          <w:sz w:val="28"/>
          <w:szCs w:val="28"/>
          <w:lang w:eastAsia="ar-SA"/>
        </w:rPr>
        <w:t xml:space="preserve"> (</w:t>
      </w:r>
      <w:r w:rsidRPr="001A43BC">
        <w:rPr>
          <w:rFonts w:ascii="Times New Roman" w:eastAsia="Times New Roman" w:hAnsi="Times New Roman" w:cs="Times New Roman"/>
          <w:sz w:val="28"/>
          <w:szCs w:val="28"/>
          <w:lang w:val="ru-RU" w:eastAsia="ar-SA"/>
        </w:rPr>
        <w:t>Казахстан</w:t>
      </w:r>
      <w:r w:rsidRPr="001A43BC">
        <w:rPr>
          <w:rFonts w:ascii="Times New Roman" w:eastAsia="Times New Roman" w:hAnsi="Times New Roman" w:cs="Times New Roman"/>
          <w:sz w:val="28"/>
          <w:szCs w:val="28"/>
          <w:lang w:eastAsia="ar-SA"/>
        </w:rPr>
        <w:t xml:space="preserve">). – 2014. – №6. – </w:t>
      </w:r>
      <w:r w:rsidRPr="001A43BC">
        <w:rPr>
          <w:rFonts w:ascii="Times New Roman" w:eastAsia="Times New Roman" w:hAnsi="Times New Roman" w:cs="Times New Roman"/>
          <w:sz w:val="28"/>
          <w:szCs w:val="28"/>
          <w:lang w:val="ru-RU" w:eastAsia="ar-SA"/>
        </w:rPr>
        <w:t>С</w:t>
      </w:r>
      <w:r w:rsidRPr="001A43BC">
        <w:rPr>
          <w:rFonts w:ascii="Times New Roman" w:eastAsia="Times New Roman" w:hAnsi="Times New Roman" w:cs="Times New Roman"/>
          <w:sz w:val="28"/>
          <w:szCs w:val="28"/>
          <w:lang w:eastAsia="ar-SA"/>
        </w:rPr>
        <w:t>.13-15</w:t>
      </w:r>
      <w:r w:rsidRPr="001A43BC">
        <w:rPr>
          <w:rFonts w:ascii="Times New Roman" w:eastAsia="Times New Roman" w:hAnsi="Times New Roman" w:cs="Times New Roman"/>
          <w:sz w:val="28"/>
          <w:szCs w:val="28"/>
          <w:lang w:val="uk-UA" w:eastAsia="ar-SA"/>
        </w:rPr>
        <w:t>.</w:t>
      </w:r>
    </w:p>
    <w:p w14:paraId="347647A3" w14:textId="31EF1B88" w:rsidR="00E6538B" w:rsidRDefault="00E653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DF2348" w14:textId="06FAE848" w:rsidR="00E24DEC" w:rsidRPr="00E24DEC" w:rsidRDefault="00E24DEC" w:rsidP="00E24DEC">
      <w:pPr>
        <w:pStyle w:val="Heading1"/>
        <w:spacing w:before="0" w:line="360" w:lineRule="auto"/>
        <w:jc w:val="center"/>
        <w:rPr>
          <w:rFonts w:ascii="Times New Roman" w:hAnsi="Times New Roman" w:cs="Times New Roman"/>
          <w:color w:val="auto"/>
          <w:sz w:val="28"/>
          <w:szCs w:val="28"/>
          <w:lang w:val="uk-UA"/>
        </w:rPr>
      </w:pPr>
      <w:bookmarkStart w:id="6" w:name="_Toc507575299"/>
      <w:r w:rsidRPr="00E24DEC">
        <w:rPr>
          <w:rFonts w:ascii="Times New Roman" w:hAnsi="Times New Roman" w:cs="Times New Roman"/>
          <w:color w:val="auto"/>
          <w:sz w:val="28"/>
          <w:szCs w:val="28"/>
          <w:lang w:val="uk-UA"/>
        </w:rPr>
        <w:lastRenderedPageBreak/>
        <w:t>РОЗДІЛ 2</w:t>
      </w:r>
      <w:bookmarkEnd w:id="6"/>
      <w:r w:rsidRPr="00E24DEC">
        <w:rPr>
          <w:rFonts w:ascii="Times New Roman" w:hAnsi="Times New Roman" w:cs="Times New Roman"/>
          <w:color w:val="auto"/>
          <w:sz w:val="28"/>
          <w:szCs w:val="28"/>
          <w:lang w:val="uk-UA"/>
        </w:rPr>
        <w:t xml:space="preserve"> </w:t>
      </w:r>
    </w:p>
    <w:p w14:paraId="38A6FF53" w14:textId="3F40855B" w:rsidR="005D33AD" w:rsidRPr="00E24DEC" w:rsidRDefault="00E24DEC" w:rsidP="00E24DEC">
      <w:pPr>
        <w:pStyle w:val="Heading1"/>
        <w:spacing w:before="0" w:line="360" w:lineRule="auto"/>
        <w:jc w:val="center"/>
        <w:rPr>
          <w:rFonts w:ascii="Times New Roman" w:hAnsi="Times New Roman" w:cs="Times New Roman"/>
          <w:color w:val="auto"/>
          <w:sz w:val="28"/>
          <w:szCs w:val="28"/>
          <w:lang w:val="uk-UA"/>
        </w:rPr>
      </w:pPr>
      <w:bookmarkStart w:id="7" w:name="_Toc507575300"/>
      <w:r w:rsidRPr="00E24DEC">
        <w:rPr>
          <w:rFonts w:ascii="Times New Roman" w:hAnsi="Times New Roman" w:cs="Times New Roman"/>
          <w:color w:val="auto"/>
          <w:sz w:val="28"/>
          <w:szCs w:val="28"/>
          <w:lang w:val="uk-UA"/>
        </w:rPr>
        <w:t>МАТЕРІАЛИ, ОБ</w:t>
      </w:r>
      <w:r w:rsidRPr="00E24DEC">
        <w:rPr>
          <w:rFonts w:ascii="Times New Roman" w:hAnsi="Times New Roman" w:cs="Times New Roman"/>
          <w:color w:val="auto"/>
          <w:sz w:val="28"/>
          <w:szCs w:val="28"/>
          <w:lang w:val="ru-RU"/>
        </w:rPr>
        <w:t>’</w:t>
      </w:r>
      <w:r w:rsidRPr="00E24DEC">
        <w:rPr>
          <w:rFonts w:ascii="Times New Roman" w:hAnsi="Times New Roman" w:cs="Times New Roman"/>
          <w:color w:val="auto"/>
          <w:sz w:val="28"/>
          <w:szCs w:val="28"/>
          <w:lang w:val="uk-UA"/>
        </w:rPr>
        <w:t>ЄКТИ ТА МЕТОДИ ДОСЛІДЖЕННЯ</w:t>
      </w:r>
      <w:bookmarkEnd w:id="7"/>
    </w:p>
    <w:p w14:paraId="68F43966" w14:textId="77777777" w:rsidR="00E24DEC" w:rsidRPr="00E24DEC" w:rsidRDefault="00E24DEC" w:rsidP="00E24DEC">
      <w:pPr>
        <w:rPr>
          <w:rFonts w:ascii="Times New Roman" w:hAnsi="Times New Roman" w:cs="Times New Roman"/>
          <w:sz w:val="28"/>
          <w:szCs w:val="28"/>
          <w:lang w:val="uk-UA"/>
        </w:rPr>
      </w:pPr>
    </w:p>
    <w:p w14:paraId="1E88F71B" w14:textId="6D7A6EFF" w:rsidR="00E24DEC" w:rsidRPr="00E24DEC" w:rsidRDefault="00476AD5" w:rsidP="00E24DEC">
      <w:pPr>
        <w:pStyle w:val="Heading2"/>
        <w:spacing w:line="360" w:lineRule="auto"/>
        <w:ind w:firstLine="709"/>
        <w:rPr>
          <w:rFonts w:ascii="Times New Roman" w:hAnsi="Times New Roman" w:cs="Times New Roman"/>
          <w:color w:val="auto"/>
          <w:sz w:val="28"/>
          <w:szCs w:val="28"/>
          <w:lang w:val="uk-UA"/>
        </w:rPr>
      </w:pPr>
      <w:bookmarkStart w:id="8" w:name="_Toc507575301"/>
      <w:r w:rsidRPr="00E24DEC">
        <w:rPr>
          <w:rFonts w:ascii="Times New Roman" w:hAnsi="Times New Roman" w:cs="Times New Roman"/>
          <w:color w:val="auto"/>
          <w:sz w:val="28"/>
          <w:szCs w:val="28"/>
          <w:lang w:val="uk-UA"/>
        </w:rPr>
        <w:t xml:space="preserve">2.1 </w:t>
      </w:r>
      <w:r w:rsidR="00FB4D60" w:rsidRPr="00E24DEC">
        <w:rPr>
          <w:rFonts w:ascii="Times New Roman" w:hAnsi="Times New Roman" w:cs="Times New Roman"/>
          <w:color w:val="auto"/>
          <w:sz w:val="28"/>
          <w:szCs w:val="28"/>
          <w:lang w:val="uk-UA"/>
        </w:rPr>
        <w:t>Методи клінічних досліджень</w:t>
      </w:r>
      <w:bookmarkEnd w:id="8"/>
    </w:p>
    <w:p w14:paraId="7323AE36" w14:textId="1CEFA369" w:rsidR="00DB07F5" w:rsidRDefault="00DB07F5" w:rsidP="00DB07F5">
      <w:pPr>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Усі клінічні методи досліджень були виконані за єдиним алгоритмом до проведення лікування та профілактики гінгівіту</w:t>
      </w:r>
      <w:r w:rsidR="0025200C">
        <w:rPr>
          <w:rFonts w:ascii="Times New Roman" w:eastAsia="Times New Roman" w:hAnsi="Times New Roman"/>
          <w:bCs/>
          <w:sz w:val="28"/>
          <w:szCs w:val="28"/>
          <w:lang w:val="uk-UA" w:eastAsia="ru-RU"/>
        </w:rPr>
        <w:t xml:space="preserve"> у дітей основної</w:t>
      </w:r>
      <w:r>
        <w:rPr>
          <w:rFonts w:ascii="Times New Roman" w:eastAsia="Times New Roman" w:hAnsi="Times New Roman"/>
          <w:bCs/>
          <w:sz w:val="28"/>
          <w:szCs w:val="28"/>
          <w:lang w:val="uk-UA" w:eastAsia="ru-RU"/>
        </w:rPr>
        <w:t xml:space="preserve"> та контрольної групи, через один, три, шість та дванадцять місяців.</w:t>
      </w:r>
    </w:p>
    <w:p w14:paraId="6CA8FAF2" w14:textId="3928869C" w:rsidR="00792595" w:rsidRPr="009D6CF4" w:rsidRDefault="007E1DF9" w:rsidP="00DB07F5">
      <w:pPr>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 xml:space="preserve">До пацієнтів усіх груп була застосована традиційна методика огляду стоматологічного пацієнта з додатковою реєстрацією необхідних індексів та визначенням певних клінічних параметрів. </w:t>
      </w:r>
      <w:r w:rsidR="00DB1B32" w:rsidRPr="009D6CF4">
        <w:rPr>
          <w:rFonts w:ascii="Times New Roman" w:eastAsia="Times New Roman" w:hAnsi="Times New Roman"/>
          <w:bCs/>
          <w:sz w:val="28"/>
          <w:szCs w:val="28"/>
          <w:lang w:val="uk-UA" w:eastAsia="ru-RU"/>
        </w:rPr>
        <w:t>Аналіз стоматологічного статусу починали з огляду, звертали увагу на анатомічн</w:t>
      </w:r>
      <w:r w:rsidR="0025200C">
        <w:rPr>
          <w:rFonts w:ascii="Times New Roman" w:eastAsia="Times New Roman" w:hAnsi="Times New Roman"/>
          <w:bCs/>
          <w:sz w:val="28"/>
          <w:szCs w:val="28"/>
          <w:lang w:val="uk-UA" w:eastAsia="ru-RU"/>
        </w:rPr>
        <w:t>і особливості будови присінку</w:t>
      </w:r>
      <w:r w:rsidR="00DB1B32" w:rsidRPr="009D6CF4">
        <w:rPr>
          <w:rFonts w:ascii="Times New Roman" w:eastAsia="Times New Roman" w:hAnsi="Times New Roman"/>
          <w:bCs/>
          <w:sz w:val="28"/>
          <w:szCs w:val="28"/>
          <w:lang w:val="uk-UA" w:eastAsia="ru-RU"/>
        </w:rPr>
        <w:t xml:space="preserve"> порожнин</w:t>
      </w:r>
      <w:r>
        <w:rPr>
          <w:rFonts w:ascii="Times New Roman" w:eastAsia="Times New Roman" w:hAnsi="Times New Roman"/>
          <w:bCs/>
          <w:sz w:val="28"/>
          <w:szCs w:val="28"/>
          <w:lang w:val="uk-UA" w:eastAsia="ru-RU"/>
        </w:rPr>
        <w:t>и рота, наявність патологічного виду прикусу</w:t>
      </w:r>
      <w:r w:rsidR="00DB1B32" w:rsidRPr="009D6CF4">
        <w:rPr>
          <w:rFonts w:ascii="Times New Roman" w:eastAsia="Times New Roman" w:hAnsi="Times New Roman"/>
          <w:bCs/>
          <w:sz w:val="28"/>
          <w:szCs w:val="28"/>
          <w:lang w:val="uk-UA" w:eastAsia="ru-RU"/>
        </w:rPr>
        <w:t>. Пацієнти з вираженою ортодонтичною патоло</w:t>
      </w:r>
      <w:r w:rsidR="00DB07F5">
        <w:rPr>
          <w:rFonts w:ascii="Times New Roman" w:eastAsia="Times New Roman" w:hAnsi="Times New Roman"/>
          <w:bCs/>
          <w:sz w:val="28"/>
          <w:szCs w:val="28"/>
          <w:lang w:val="uk-UA" w:eastAsia="ru-RU"/>
        </w:rPr>
        <w:t xml:space="preserve">гією не були включені до </w:t>
      </w:r>
      <w:r w:rsidR="00DB1B32" w:rsidRPr="009D6CF4">
        <w:rPr>
          <w:rFonts w:ascii="Times New Roman" w:eastAsia="Times New Roman" w:hAnsi="Times New Roman"/>
          <w:bCs/>
          <w:sz w:val="28"/>
          <w:szCs w:val="28"/>
          <w:lang w:val="uk-UA" w:eastAsia="ru-RU"/>
        </w:rPr>
        <w:t>дослі</w:t>
      </w:r>
      <w:r w:rsidR="00DB07F5">
        <w:rPr>
          <w:rFonts w:ascii="Times New Roman" w:eastAsia="Times New Roman" w:hAnsi="Times New Roman"/>
          <w:bCs/>
          <w:sz w:val="28"/>
          <w:szCs w:val="28"/>
          <w:lang w:val="uk-UA" w:eastAsia="ru-RU"/>
        </w:rPr>
        <w:t>дження. Відзначали</w:t>
      </w:r>
      <w:r w:rsidR="00DB1B32" w:rsidRPr="009D6CF4">
        <w:rPr>
          <w:rFonts w:ascii="Times New Roman" w:eastAsia="Times New Roman" w:hAnsi="Times New Roman"/>
          <w:bCs/>
          <w:sz w:val="28"/>
          <w:szCs w:val="28"/>
          <w:lang w:val="uk-UA" w:eastAsia="ru-RU"/>
        </w:rPr>
        <w:t xml:space="preserve"> неповноцінні пломби, пришийкові та апроксимальн</w:t>
      </w:r>
      <w:r w:rsidR="00DB07F5">
        <w:rPr>
          <w:rFonts w:ascii="Times New Roman" w:eastAsia="Times New Roman" w:hAnsi="Times New Roman"/>
          <w:bCs/>
          <w:sz w:val="28"/>
          <w:szCs w:val="28"/>
          <w:lang w:val="uk-UA" w:eastAsia="ru-RU"/>
        </w:rPr>
        <w:t>і поверхні, які травмують ясенн</w:t>
      </w:r>
      <w:r w:rsidR="00DB1B32" w:rsidRPr="009D6CF4">
        <w:rPr>
          <w:rFonts w:ascii="Times New Roman" w:eastAsia="Times New Roman" w:hAnsi="Times New Roman"/>
          <w:bCs/>
          <w:sz w:val="28"/>
          <w:szCs w:val="28"/>
          <w:lang w:val="uk-UA" w:eastAsia="ru-RU"/>
        </w:rPr>
        <w:t>ий сосочок, та інші ретенційні пункти у ділянці крайового пародонту, які можна розглядати як місцеві подразники. Оцінювали наявність, об’єм та щільні</w:t>
      </w:r>
      <w:r>
        <w:rPr>
          <w:rFonts w:ascii="Times New Roman" w:eastAsia="Times New Roman" w:hAnsi="Times New Roman"/>
          <w:bCs/>
          <w:sz w:val="28"/>
          <w:szCs w:val="28"/>
          <w:lang w:val="uk-UA" w:eastAsia="ru-RU"/>
        </w:rPr>
        <w:t>сть над’ясенних та під’ясенних</w:t>
      </w:r>
      <w:r w:rsidR="00DB1B32" w:rsidRPr="009D6CF4">
        <w:rPr>
          <w:rFonts w:ascii="Times New Roman" w:eastAsia="Times New Roman" w:hAnsi="Times New Roman"/>
          <w:bCs/>
          <w:sz w:val="28"/>
          <w:szCs w:val="28"/>
          <w:lang w:val="uk-UA" w:eastAsia="ru-RU"/>
        </w:rPr>
        <w:t xml:space="preserve"> зубних відкладень</w:t>
      </w:r>
      <w:r>
        <w:rPr>
          <w:rFonts w:ascii="Times New Roman" w:eastAsia="Times New Roman" w:hAnsi="Times New Roman"/>
          <w:bCs/>
          <w:sz w:val="28"/>
          <w:szCs w:val="28"/>
          <w:lang w:val="uk-UA" w:eastAsia="ru-RU"/>
        </w:rPr>
        <w:t>, стан ясен</w:t>
      </w:r>
      <w:r w:rsidR="00DB1B32" w:rsidRPr="009D6CF4">
        <w:rPr>
          <w:rFonts w:ascii="Times New Roman" w:eastAsia="Times New Roman" w:hAnsi="Times New Roman"/>
          <w:bCs/>
          <w:sz w:val="28"/>
          <w:szCs w:val="28"/>
          <w:lang w:val="uk-UA" w:eastAsia="ru-RU"/>
        </w:rPr>
        <w:t xml:space="preserve">. </w:t>
      </w:r>
    </w:p>
    <w:p w14:paraId="74D2EE34" w14:textId="618E31C1" w:rsidR="002F420B" w:rsidRPr="00E62DF9" w:rsidRDefault="00DB1B32" w:rsidP="00E62DF9">
      <w:pPr>
        <w:spacing w:after="0" w:line="360" w:lineRule="auto"/>
        <w:ind w:firstLine="720"/>
        <w:jc w:val="both"/>
        <w:rPr>
          <w:rFonts w:ascii="Times New Roman" w:eastAsia="Times New Roman" w:hAnsi="Times New Roman"/>
          <w:bCs/>
          <w:sz w:val="28"/>
          <w:szCs w:val="28"/>
          <w:lang w:val="uk-UA" w:eastAsia="ru-RU"/>
        </w:rPr>
      </w:pPr>
      <w:r w:rsidRPr="0007222C">
        <w:rPr>
          <w:rFonts w:ascii="Times New Roman" w:eastAsia="Times New Roman" w:hAnsi="Times New Roman"/>
          <w:bCs/>
          <w:sz w:val="28"/>
          <w:szCs w:val="28"/>
          <w:lang w:val="uk-UA" w:eastAsia="ru-RU"/>
        </w:rPr>
        <w:t>Інтенсивність карієсу оцінювали</w:t>
      </w:r>
      <w:r w:rsidRPr="009D6CF4">
        <w:rPr>
          <w:rFonts w:ascii="Times New Roman" w:eastAsia="Times New Roman" w:hAnsi="Times New Roman"/>
          <w:bCs/>
          <w:sz w:val="28"/>
          <w:szCs w:val="28"/>
          <w:lang w:val="uk-UA" w:eastAsia="ru-RU"/>
        </w:rPr>
        <w:t xml:space="preserve"> за допомогою індексу </w:t>
      </w:r>
      <w:r>
        <w:rPr>
          <w:rFonts w:ascii="Times New Roman" w:eastAsia="Times New Roman" w:hAnsi="Times New Roman"/>
          <w:bCs/>
          <w:sz w:val="28"/>
          <w:szCs w:val="28"/>
          <w:lang w:val="uk-UA" w:eastAsia="ru-RU"/>
        </w:rPr>
        <w:t>КПВ, де К - карієс, П - пломби, В</w:t>
      </w:r>
      <w:r w:rsidRPr="009D6CF4">
        <w:rPr>
          <w:rFonts w:ascii="Times New Roman" w:eastAsia="Times New Roman" w:hAnsi="Times New Roman"/>
          <w:bCs/>
          <w:sz w:val="28"/>
          <w:szCs w:val="28"/>
          <w:lang w:val="uk-UA" w:eastAsia="ru-RU"/>
        </w:rPr>
        <w:t xml:space="preserve"> - видалені зуби. В залежності від активності каріозного </w:t>
      </w:r>
      <w:r>
        <w:rPr>
          <w:rFonts w:ascii="Times New Roman" w:eastAsia="Times New Roman" w:hAnsi="Times New Roman"/>
          <w:bCs/>
          <w:sz w:val="28"/>
          <w:szCs w:val="28"/>
          <w:lang w:val="uk-UA" w:eastAsia="ru-RU"/>
        </w:rPr>
        <w:t xml:space="preserve">процесу ВООЗ </w:t>
      </w:r>
      <w:r w:rsidR="00607395">
        <w:rPr>
          <w:rFonts w:ascii="Times New Roman" w:eastAsia="Times New Roman" w:hAnsi="Times New Roman"/>
          <w:bCs/>
          <w:sz w:val="28"/>
          <w:szCs w:val="28"/>
          <w:lang w:val="uk-UA" w:eastAsia="ru-RU"/>
        </w:rPr>
        <w:t>виділяє 5 ступенів (див. табл. 2. 1</w:t>
      </w:r>
      <w:r>
        <w:rPr>
          <w:rFonts w:ascii="Times New Roman" w:eastAsia="Times New Roman" w:hAnsi="Times New Roman"/>
          <w:bCs/>
          <w:sz w:val="28"/>
          <w:szCs w:val="28"/>
          <w:lang w:val="uk-UA" w:eastAsia="ru-RU"/>
        </w:rPr>
        <w:t>).</w:t>
      </w:r>
      <w:r w:rsidRPr="009D6CF4">
        <w:rPr>
          <w:rFonts w:ascii="Times New Roman" w:eastAsia="Times New Roman" w:hAnsi="Times New Roman"/>
          <w:bCs/>
          <w:sz w:val="28"/>
          <w:szCs w:val="28"/>
          <w:lang w:val="uk-UA" w:eastAsia="ru-RU"/>
        </w:rPr>
        <w:t xml:space="preserve"> </w:t>
      </w:r>
    </w:p>
    <w:p w14:paraId="47D76A7D" w14:textId="392DB44D" w:rsidR="00DB1B32" w:rsidRDefault="00F42F7A" w:rsidP="00DB1B32">
      <w:pPr>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2.1</w:t>
      </w:r>
    </w:p>
    <w:p w14:paraId="2E1D069E" w14:textId="77777777" w:rsidR="00DB1B32" w:rsidRPr="009D6CF4" w:rsidRDefault="00DB1B32" w:rsidP="00DB1B32">
      <w:pPr>
        <w:spacing w:after="0" w:line="360" w:lineRule="auto"/>
        <w:ind w:firstLine="720"/>
        <w:jc w:val="center"/>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Інтенсивність карієсу за індексом КПВ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DB1B32" w:rsidRPr="009D6CF4" w14:paraId="447B22D6" w14:textId="77777777" w:rsidTr="00AB1765">
        <w:tc>
          <w:tcPr>
            <w:tcW w:w="4785" w:type="dxa"/>
            <w:shd w:val="clear" w:color="auto" w:fill="auto"/>
          </w:tcPr>
          <w:p w14:paraId="2A93A0A2"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w:t>
            </w:r>
          </w:p>
        </w:tc>
        <w:tc>
          <w:tcPr>
            <w:tcW w:w="4786" w:type="dxa"/>
            <w:shd w:val="clear" w:color="auto" w:fill="auto"/>
          </w:tcPr>
          <w:p w14:paraId="7C863A65"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показнику</w:t>
            </w:r>
          </w:p>
        </w:tc>
      </w:tr>
      <w:tr w:rsidR="00DB1B32" w:rsidRPr="009D6CF4" w14:paraId="045C7EFE" w14:textId="77777777" w:rsidTr="007E1DF9">
        <w:trPr>
          <w:trHeight w:val="333"/>
        </w:trPr>
        <w:tc>
          <w:tcPr>
            <w:tcW w:w="4785" w:type="dxa"/>
            <w:shd w:val="clear" w:color="auto" w:fill="auto"/>
          </w:tcPr>
          <w:p w14:paraId="42F4462E"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0,2-1,5</w:t>
            </w:r>
          </w:p>
        </w:tc>
        <w:tc>
          <w:tcPr>
            <w:tcW w:w="4786" w:type="dxa"/>
            <w:shd w:val="clear" w:color="auto" w:fill="auto"/>
          </w:tcPr>
          <w:p w14:paraId="303535C4"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низький</w:t>
            </w:r>
          </w:p>
        </w:tc>
      </w:tr>
      <w:tr w:rsidR="00DB1B32" w:rsidRPr="009D6CF4" w14:paraId="2011E346" w14:textId="77777777" w:rsidTr="00AB1765">
        <w:tc>
          <w:tcPr>
            <w:tcW w:w="4785" w:type="dxa"/>
            <w:shd w:val="clear" w:color="auto" w:fill="auto"/>
          </w:tcPr>
          <w:p w14:paraId="6B808121"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1,6-6,2</w:t>
            </w:r>
          </w:p>
        </w:tc>
        <w:tc>
          <w:tcPr>
            <w:tcW w:w="4786" w:type="dxa"/>
            <w:shd w:val="clear" w:color="auto" w:fill="auto"/>
          </w:tcPr>
          <w:p w14:paraId="3BE6CB4B"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низький</w:t>
            </w:r>
          </w:p>
        </w:tc>
      </w:tr>
      <w:tr w:rsidR="00DB1B32" w:rsidRPr="009D6CF4" w14:paraId="2660BDB8" w14:textId="77777777" w:rsidTr="00AB1765">
        <w:tc>
          <w:tcPr>
            <w:tcW w:w="4785" w:type="dxa"/>
            <w:shd w:val="clear" w:color="auto" w:fill="auto"/>
          </w:tcPr>
          <w:p w14:paraId="6948C4E7" w14:textId="77777777" w:rsidR="00DB1B32" w:rsidRPr="009D6CF4" w:rsidRDefault="00DB1B32" w:rsidP="007E1DF9">
            <w:pPr>
              <w:tabs>
                <w:tab w:val="left" w:pos="2835"/>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6,3-12,7</w:t>
            </w:r>
            <w:r w:rsidRPr="009D6CF4">
              <w:rPr>
                <w:rFonts w:ascii="Times New Roman" w:eastAsia="Times New Roman" w:hAnsi="Times New Roman"/>
                <w:bCs/>
                <w:sz w:val="28"/>
                <w:szCs w:val="28"/>
                <w:lang w:val="uk-UA" w:eastAsia="ru-RU"/>
              </w:rPr>
              <w:tab/>
            </w:r>
          </w:p>
        </w:tc>
        <w:tc>
          <w:tcPr>
            <w:tcW w:w="4786" w:type="dxa"/>
            <w:shd w:val="clear" w:color="auto" w:fill="auto"/>
          </w:tcPr>
          <w:p w14:paraId="27B6AEE8"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Помірний</w:t>
            </w:r>
          </w:p>
        </w:tc>
      </w:tr>
      <w:tr w:rsidR="00DB1B32" w:rsidRPr="009D6CF4" w14:paraId="2B34EB94" w14:textId="77777777" w:rsidTr="00AB1765">
        <w:tc>
          <w:tcPr>
            <w:tcW w:w="4785" w:type="dxa"/>
            <w:shd w:val="clear" w:color="auto" w:fill="auto"/>
          </w:tcPr>
          <w:p w14:paraId="685B019A"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12,8-16,2</w:t>
            </w:r>
          </w:p>
        </w:tc>
        <w:tc>
          <w:tcPr>
            <w:tcW w:w="4786" w:type="dxa"/>
            <w:shd w:val="clear" w:color="auto" w:fill="auto"/>
          </w:tcPr>
          <w:p w14:paraId="06594EE9"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Високий</w:t>
            </w:r>
          </w:p>
        </w:tc>
      </w:tr>
      <w:tr w:rsidR="00DB1B32" w:rsidRPr="009D6CF4" w14:paraId="3E7F8117" w14:textId="77777777" w:rsidTr="00AB1765">
        <w:tc>
          <w:tcPr>
            <w:tcW w:w="4785" w:type="dxa"/>
            <w:shd w:val="clear" w:color="auto" w:fill="auto"/>
          </w:tcPr>
          <w:p w14:paraId="283E69AE"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16,3 та більше</w:t>
            </w:r>
          </w:p>
        </w:tc>
        <w:tc>
          <w:tcPr>
            <w:tcW w:w="4786" w:type="dxa"/>
            <w:shd w:val="clear" w:color="auto" w:fill="auto"/>
          </w:tcPr>
          <w:p w14:paraId="7D68F4AD" w14:textId="77777777" w:rsidR="00DB1B32" w:rsidRPr="009D6CF4" w:rsidRDefault="00DB1B32" w:rsidP="007E1DF9">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високий</w:t>
            </w:r>
          </w:p>
        </w:tc>
      </w:tr>
    </w:tbl>
    <w:p w14:paraId="3C882D17"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509EB587"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lastRenderedPageBreak/>
        <w:t xml:space="preserve">Для </w:t>
      </w:r>
      <w:r w:rsidRPr="0007222C">
        <w:rPr>
          <w:rFonts w:ascii="Times New Roman" w:eastAsia="Times New Roman" w:hAnsi="Times New Roman"/>
          <w:bCs/>
          <w:sz w:val="28"/>
          <w:szCs w:val="28"/>
          <w:lang w:val="uk-UA" w:eastAsia="ru-RU"/>
        </w:rPr>
        <w:t>оцінювання тяжкості гінгівіту</w:t>
      </w:r>
      <w:r w:rsidRPr="009D6CF4">
        <w:rPr>
          <w:rFonts w:ascii="Times New Roman" w:eastAsia="Times New Roman" w:hAnsi="Times New Roman"/>
          <w:bCs/>
          <w:sz w:val="28"/>
          <w:szCs w:val="28"/>
          <w:lang w:val="uk-UA" w:eastAsia="ru-RU"/>
        </w:rPr>
        <w:t xml:space="preserve">, а також для реєстрації динаміки запального процесу, використовували папілярно-маргінально-альвеолярний індекс РМА у модифікації Парма (1960). Наявність та інтенсивність запалення у тканинах пародонту виявляли з вестибулярної сторони кожного зубу після забарвлення розчином Шилєра-Писарєва. </w:t>
      </w:r>
    </w:p>
    <w:p w14:paraId="73A6DAAD"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При оцінюванні використовували наступні критерії: </w:t>
      </w:r>
    </w:p>
    <w:p w14:paraId="6320087F"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 – відсутність запалення</w:t>
      </w:r>
    </w:p>
    <w:p w14:paraId="5EF2CE78"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 – запалення ясенного сосочку</w:t>
      </w:r>
    </w:p>
    <w:p w14:paraId="23E7C5BC"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2 – запалення маргінальної частини ясен</w:t>
      </w:r>
    </w:p>
    <w:p w14:paraId="0D99859B"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3 – запалення альвеолярної частини ясен</w:t>
      </w:r>
    </w:p>
    <w:p w14:paraId="55A749A6" w14:textId="77777777" w:rsidR="00F42F7A" w:rsidRPr="009D6CF4" w:rsidRDefault="00F42F7A" w:rsidP="00F42F7A">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Індекс РМА розраховували за формулою:</w:t>
      </w:r>
    </w:p>
    <w:p w14:paraId="0DC143F1" w14:textId="2E858880" w:rsidR="00F42F7A" w:rsidRPr="009D6CF4" w:rsidRDefault="00F42F7A" w:rsidP="007E1DF9">
      <w:pPr>
        <w:spacing w:after="0" w:line="24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РМА =  </w:t>
      </w:r>
      <w:r w:rsidRPr="009D6CF4">
        <w:rPr>
          <w:rFonts w:ascii="Times New Roman" w:eastAsia="Times New Roman" w:hAnsi="Times New Roman"/>
          <w:bCs/>
          <w:sz w:val="24"/>
          <w:szCs w:val="24"/>
          <w:lang w:val="uk-UA" w:eastAsia="ru-RU"/>
        </w:rPr>
        <w:t xml:space="preserve">сума показників зубного нальоту   </w:t>
      </w:r>
      <w:r w:rsidRPr="009D6CF4">
        <w:rPr>
          <w:rFonts w:ascii="Times New Roman" w:eastAsia="Times New Roman" w:hAnsi="Times New Roman"/>
          <w:bCs/>
          <w:sz w:val="28"/>
          <w:szCs w:val="28"/>
          <w:lang w:val="uk-UA" w:eastAsia="ru-RU"/>
        </w:rPr>
        <w:t>×100%</w:t>
      </w:r>
      <w:r>
        <w:rPr>
          <w:rFonts w:ascii="Times New Roman" w:eastAsia="Times New Roman" w:hAnsi="Times New Roman"/>
          <w:bCs/>
          <w:sz w:val="28"/>
          <w:szCs w:val="28"/>
          <w:lang w:val="uk-UA" w:eastAsia="ru-RU"/>
        </w:rPr>
        <w:t xml:space="preserve"> </w:t>
      </w:r>
      <w:r w:rsidR="00893CED">
        <w:rPr>
          <w:rFonts w:ascii="Times New Roman" w:eastAsia="Times New Roman" w:hAnsi="Times New Roman"/>
          <w:bCs/>
          <w:sz w:val="28"/>
          <w:szCs w:val="28"/>
          <w:lang w:val="uk-UA" w:eastAsia="ru-RU"/>
        </w:rPr>
        <w:t xml:space="preserve">  </w:t>
      </w:r>
      <w:r w:rsidR="00893CED">
        <w:rPr>
          <w:rFonts w:ascii="Times New Roman" w:eastAsia="Times New Roman" w:hAnsi="Times New Roman"/>
          <w:bCs/>
          <w:sz w:val="28"/>
          <w:szCs w:val="28"/>
          <w:lang w:val="uk-UA" w:eastAsia="ru-RU"/>
        </w:rPr>
        <w:tab/>
      </w:r>
      <w:r w:rsidR="00893CED">
        <w:rPr>
          <w:rFonts w:ascii="Times New Roman" w:eastAsia="Times New Roman" w:hAnsi="Times New Roman"/>
          <w:bCs/>
          <w:sz w:val="28"/>
          <w:szCs w:val="28"/>
          <w:lang w:val="uk-UA" w:eastAsia="ru-RU"/>
        </w:rPr>
        <w:tab/>
      </w:r>
      <w:r w:rsidR="007E1DF9">
        <w:rPr>
          <w:rFonts w:ascii="Times New Roman" w:eastAsia="Times New Roman" w:hAnsi="Times New Roman"/>
          <w:bCs/>
          <w:sz w:val="28"/>
          <w:szCs w:val="28"/>
          <w:lang w:val="uk-UA" w:eastAsia="ru-RU"/>
        </w:rPr>
        <w:t>(1)</w:t>
      </w:r>
    </w:p>
    <w:p w14:paraId="4A5837D6" w14:textId="77777777" w:rsidR="00F42F7A" w:rsidRPr="009D6CF4" w:rsidRDefault="00F42F7A" w:rsidP="007E1DF9">
      <w:pPr>
        <w:spacing w:after="0" w:line="240" w:lineRule="auto"/>
        <w:jc w:val="center"/>
        <w:rPr>
          <w:rFonts w:ascii="Times New Roman" w:eastAsia="Times New Roman" w:hAnsi="Times New Roman"/>
          <w:bCs/>
          <w:sz w:val="24"/>
          <w:szCs w:val="24"/>
          <w:lang w:val="uk-UA" w:eastAsia="ru-RU"/>
        </w:rPr>
      </w:pPr>
      <w:r>
        <w:rPr>
          <w:noProof/>
        </w:rPr>
        <mc:AlternateContent>
          <mc:Choice Requires="wps">
            <w:drawing>
              <wp:anchor distT="4294967294" distB="4294967294" distL="114300" distR="114300" simplePos="0" relativeHeight="251662336" behindDoc="0" locked="0" layoutInCell="1" allowOverlap="1" wp14:anchorId="1F3628DF" wp14:editId="23DFBB7B">
                <wp:simplePos x="0" y="0"/>
                <wp:positionH relativeFrom="column">
                  <wp:posOffset>1996440</wp:posOffset>
                </wp:positionH>
                <wp:positionV relativeFrom="paragraph">
                  <wp:posOffset>10795</wp:posOffset>
                </wp:positionV>
                <wp:extent cx="2133600" cy="0"/>
                <wp:effectExtent l="0" t="0" r="19050" b="19050"/>
                <wp:wrapNone/>
                <wp:docPr id="132"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12E116F" id="_x0000_t32" coordsize="21600,21600" o:spt="32" o:oned="t" path="m,l21600,21600e" filled="f">
                <v:path arrowok="t" fillok="f" o:connecttype="none"/>
                <o:lock v:ext="edit" shapetype="t"/>
              </v:shapetype>
              <v:shape id="Прямая со стрелкой 1" o:spid="_x0000_s1026" type="#_x0000_t32" style="position:absolute;margin-left:157.2pt;margin-top:.85pt;width:168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"/>
            </w:pict>
          </mc:Fallback>
        </mc:AlternateContent>
      </w:r>
      <w:r w:rsidRPr="009D6CF4">
        <w:rPr>
          <w:rFonts w:ascii="Times New Roman" w:eastAsia="Times New Roman" w:hAnsi="Times New Roman"/>
          <w:bCs/>
          <w:sz w:val="24"/>
          <w:szCs w:val="24"/>
          <w:lang w:val="uk-UA" w:eastAsia="ru-RU"/>
        </w:rPr>
        <w:t>3 × кількість обстежених зубів</w:t>
      </w:r>
    </w:p>
    <w:p w14:paraId="3562EAEE" w14:textId="77777777" w:rsidR="00F42F7A" w:rsidRDefault="00F42F7A" w:rsidP="00F42F7A">
      <w:pPr>
        <w:tabs>
          <w:tab w:val="left" w:pos="6810"/>
        </w:tabs>
        <w:spacing w:after="0" w:line="360" w:lineRule="auto"/>
        <w:ind w:firstLine="720"/>
        <w:jc w:val="center"/>
        <w:rPr>
          <w:rFonts w:ascii="Times New Roman" w:eastAsia="Times New Roman" w:hAnsi="Times New Roman"/>
          <w:bCs/>
          <w:sz w:val="28"/>
          <w:szCs w:val="28"/>
          <w:lang w:val="uk-UA" w:eastAsia="ru-RU"/>
        </w:rPr>
      </w:pPr>
    </w:p>
    <w:p w14:paraId="32D69686" w14:textId="721E7F36" w:rsidR="00F42F7A" w:rsidRPr="00F42F7A" w:rsidRDefault="00F42F7A" w:rsidP="00F42F7A">
      <w:pPr>
        <w:tabs>
          <w:tab w:val="left" w:pos="6810"/>
        </w:tabs>
        <w:spacing w:after="0" w:line="360" w:lineRule="auto"/>
        <w:ind w:firstLine="720"/>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У таблиці 2.2</w:t>
      </w:r>
      <w:r w:rsidRPr="009D6CF4">
        <w:rPr>
          <w:rFonts w:ascii="Times New Roman" w:eastAsia="Times New Roman" w:hAnsi="Times New Roman"/>
          <w:bCs/>
          <w:sz w:val="28"/>
          <w:szCs w:val="28"/>
          <w:lang w:val="uk-UA" w:eastAsia="ru-RU"/>
        </w:rPr>
        <w:t xml:space="preserve"> представлена інтерпретація значень індексу РМА.</w:t>
      </w:r>
    </w:p>
    <w:p w14:paraId="6D595045" w14:textId="77777777" w:rsidR="00F42F7A" w:rsidRPr="00B411CE" w:rsidRDefault="00F42F7A" w:rsidP="00F42F7A">
      <w:pPr>
        <w:tabs>
          <w:tab w:val="left" w:pos="9356"/>
        </w:tabs>
        <w:spacing w:after="0" w:line="360" w:lineRule="auto"/>
        <w:ind w:firstLine="720"/>
        <w:jc w:val="right"/>
        <w:rPr>
          <w:rFonts w:ascii="Times New Roman" w:eastAsia="Times New Roman" w:hAnsi="Times New Roman"/>
          <w:bCs/>
          <w:sz w:val="28"/>
          <w:szCs w:val="28"/>
          <w:lang w:val="ru-RU" w:eastAsia="ru-RU"/>
        </w:rPr>
      </w:pPr>
    </w:p>
    <w:p w14:paraId="16694CBF" w14:textId="6FCC74DD" w:rsidR="00F42F7A" w:rsidRPr="009D6CF4" w:rsidRDefault="00F42F7A" w:rsidP="00F42F7A">
      <w:pPr>
        <w:tabs>
          <w:tab w:val="left" w:pos="9356"/>
        </w:tabs>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2.2</w:t>
      </w:r>
    </w:p>
    <w:p w14:paraId="60B20198" w14:textId="77777777" w:rsidR="00F42F7A" w:rsidRPr="009D6CF4" w:rsidRDefault="00F42F7A" w:rsidP="00F42F7A">
      <w:pPr>
        <w:tabs>
          <w:tab w:val="left" w:pos="9356"/>
        </w:tabs>
        <w:spacing w:after="0" w:line="36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значень індексу РМА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919"/>
      </w:tblGrid>
      <w:tr w:rsidR="00F42F7A" w:rsidRPr="009D6CF4" w14:paraId="30F0E09C" w14:textId="77777777" w:rsidTr="008A465D">
        <w:tc>
          <w:tcPr>
            <w:tcW w:w="3652" w:type="dxa"/>
            <w:shd w:val="clear" w:color="auto" w:fill="auto"/>
          </w:tcPr>
          <w:p w14:paraId="27F405A1" w14:textId="305CC39E"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 РМА (%)</w:t>
            </w:r>
          </w:p>
        </w:tc>
        <w:tc>
          <w:tcPr>
            <w:tcW w:w="5919" w:type="dxa"/>
            <w:shd w:val="clear" w:color="auto" w:fill="auto"/>
          </w:tcPr>
          <w:p w14:paraId="5788AA0F"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Ступінь тяжкості гінгівіту</w:t>
            </w:r>
          </w:p>
        </w:tc>
      </w:tr>
      <w:tr w:rsidR="00F42F7A" w:rsidRPr="009D6CF4" w14:paraId="165B9272" w14:textId="77777777" w:rsidTr="008A465D">
        <w:tc>
          <w:tcPr>
            <w:tcW w:w="3652" w:type="dxa"/>
            <w:shd w:val="clear" w:color="auto" w:fill="auto"/>
          </w:tcPr>
          <w:p w14:paraId="23E58E60"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До 30</w:t>
            </w:r>
          </w:p>
        </w:tc>
        <w:tc>
          <w:tcPr>
            <w:tcW w:w="5919" w:type="dxa"/>
            <w:shd w:val="clear" w:color="auto" w:fill="auto"/>
          </w:tcPr>
          <w:p w14:paraId="3893BA37"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Легкий ступінь</w:t>
            </w:r>
          </w:p>
        </w:tc>
      </w:tr>
      <w:tr w:rsidR="00F42F7A" w:rsidRPr="009D6CF4" w14:paraId="2DB7DD71" w14:textId="77777777" w:rsidTr="008A465D">
        <w:tc>
          <w:tcPr>
            <w:tcW w:w="3652" w:type="dxa"/>
            <w:shd w:val="clear" w:color="auto" w:fill="auto"/>
          </w:tcPr>
          <w:p w14:paraId="520DD74F"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30-60</w:t>
            </w:r>
          </w:p>
        </w:tc>
        <w:tc>
          <w:tcPr>
            <w:tcW w:w="5919" w:type="dxa"/>
            <w:shd w:val="clear" w:color="auto" w:fill="auto"/>
          </w:tcPr>
          <w:p w14:paraId="7809DEDE"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Середній ступінь</w:t>
            </w:r>
          </w:p>
        </w:tc>
      </w:tr>
      <w:tr w:rsidR="00F42F7A" w:rsidRPr="009D6CF4" w14:paraId="65910D90" w14:textId="77777777" w:rsidTr="008A465D">
        <w:tc>
          <w:tcPr>
            <w:tcW w:w="3652" w:type="dxa"/>
            <w:shd w:val="clear" w:color="auto" w:fill="auto"/>
          </w:tcPr>
          <w:p w14:paraId="01B6F605"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Більш 60</w:t>
            </w:r>
          </w:p>
        </w:tc>
        <w:tc>
          <w:tcPr>
            <w:tcW w:w="5919" w:type="dxa"/>
            <w:shd w:val="clear" w:color="auto" w:fill="auto"/>
          </w:tcPr>
          <w:p w14:paraId="6308D99B" w14:textId="77777777" w:rsidR="00F42F7A" w:rsidRPr="009D6CF4" w:rsidRDefault="00F42F7A" w:rsidP="008A465D">
            <w:pPr>
              <w:tabs>
                <w:tab w:val="left" w:pos="9356"/>
              </w:tabs>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Важкий ступінь</w:t>
            </w:r>
          </w:p>
        </w:tc>
      </w:tr>
    </w:tbl>
    <w:p w14:paraId="08C240A1" w14:textId="77777777" w:rsidR="00F42F7A" w:rsidRPr="009D6CF4" w:rsidRDefault="00F42F7A" w:rsidP="00F42F7A">
      <w:pPr>
        <w:tabs>
          <w:tab w:val="left" w:pos="9356"/>
        </w:tabs>
        <w:spacing w:after="0" w:line="360" w:lineRule="auto"/>
        <w:ind w:firstLine="720"/>
        <w:jc w:val="both"/>
        <w:rPr>
          <w:rFonts w:ascii="Times New Roman" w:eastAsia="Times New Roman" w:hAnsi="Times New Roman"/>
          <w:bCs/>
          <w:sz w:val="28"/>
          <w:szCs w:val="28"/>
          <w:lang w:val="uk-UA" w:eastAsia="ru-RU"/>
        </w:rPr>
      </w:pPr>
    </w:p>
    <w:p w14:paraId="4F36AE1C"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Для </w:t>
      </w:r>
      <w:r w:rsidRPr="0007222C">
        <w:rPr>
          <w:rFonts w:ascii="Times New Roman" w:eastAsia="Times New Roman" w:hAnsi="Times New Roman"/>
          <w:bCs/>
          <w:sz w:val="28"/>
          <w:szCs w:val="28"/>
          <w:lang w:val="uk-UA" w:eastAsia="ru-RU"/>
        </w:rPr>
        <w:t>оцінювання гігієнічного стану</w:t>
      </w:r>
      <w:r w:rsidRPr="009D6CF4">
        <w:rPr>
          <w:rFonts w:ascii="Times New Roman" w:eastAsia="Times New Roman" w:hAnsi="Times New Roman"/>
          <w:bCs/>
          <w:sz w:val="28"/>
          <w:szCs w:val="28"/>
          <w:lang w:val="uk-UA" w:eastAsia="ru-RU"/>
        </w:rPr>
        <w:t xml:space="preserve"> порожнини рота використовували індекс, запропонований Гріном та Вермільйоном. Наявність зубного нальоту та зубного каменю визначали на вестибулярних поверхнях зубів 16,11, 26, 31 та язикових поверхнях зубів 36 та 46 шляхом фарбування розчином Шиллєра-Писарєва та зондування. </w:t>
      </w:r>
    </w:p>
    <w:p w14:paraId="7FC25171"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Оцінювання зубного нальоту було проведене за наступними критеріями: </w:t>
      </w:r>
    </w:p>
    <w:p w14:paraId="5CBB641E"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відсутність зубного нальоту – 0; </w:t>
      </w:r>
    </w:p>
    <w:p w14:paraId="1BFCCDB5"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lastRenderedPageBreak/>
        <w:t xml:space="preserve">зубний наліт покриває до 1/3 поверхні коронки зубу – 1; </w:t>
      </w:r>
    </w:p>
    <w:p w14:paraId="4C6C676E"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зубний наліт покриває 1/3-2/3 поверхні коронки зубу – 2; </w:t>
      </w:r>
    </w:p>
    <w:p w14:paraId="75C8B628"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зубний наліт покриває більше 2/3 поверхні коронки зубу – 3.</w:t>
      </w:r>
    </w:p>
    <w:p w14:paraId="30011C83"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Виявлення зубного каменю проводили за допомогою стоматологічного зонду. Критерії оцінювання були наступними:</w:t>
      </w:r>
    </w:p>
    <w:p w14:paraId="35AF8A5C"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відсутність зубного каменю – 0; </w:t>
      </w:r>
    </w:p>
    <w:p w14:paraId="2A5BAAD0"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над</w:t>
      </w:r>
      <w:r w:rsidRPr="00DB1B32">
        <w:rPr>
          <w:rFonts w:ascii="Times New Roman" w:eastAsia="Times New Roman" w:hAnsi="Times New Roman"/>
          <w:bCs/>
          <w:sz w:val="28"/>
          <w:szCs w:val="28"/>
          <w:lang w:val="ru-RU" w:eastAsia="ru-RU"/>
        </w:rPr>
        <w:t>’</w:t>
      </w:r>
      <w:r w:rsidRPr="009D6CF4">
        <w:rPr>
          <w:rFonts w:ascii="Times New Roman" w:eastAsia="Times New Roman" w:hAnsi="Times New Roman"/>
          <w:bCs/>
          <w:sz w:val="28"/>
          <w:szCs w:val="28"/>
          <w:lang w:val="uk-UA" w:eastAsia="ru-RU"/>
        </w:rPr>
        <w:t xml:space="preserve">ясенний зубний камінь покриває до 1/3 поверхні коронки зубу – 1; </w:t>
      </w:r>
    </w:p>
    <w:p w14:paraId="19B4BAAB"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над’ясенний зубний камінь покриває 1/3-2/3 поверхні коронки зубу, або наявність окремих ділянок під’ясенного зубного каменю у пришийковій зоні– 2; </w:t>
      </w:r>
    </w:p>
    <w:p w14:paraId="4569E213"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над’ясенний зубний камінь покриває більше 2/3 поверхні коронки зубу, або значні відкладення під’ясенного зубного каменю, що оточують пришийкову зону – 3.</w:t>
      </w:r>
    </w:p>
    <w:p w14:paraId="0A12D656" w14:textId="5B192D80"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 xml:space="preserve">Індекс гігієни (ІГ) підраховувався </w:t>
      </w:r>
      <w:r w:rsidR="007E1DF9">
        <w:rPr>
          <w:rFonts w:ascii="Times New Roman" w:eastAsia="Times New Roman" w:hAnsi="Times New Roman"/>
          <w:bCs/>
          <w:sz w:val="28"/>
          <w:szCs w:val="28"/>
          <w:lang w:val="uk-UA" w:eastAsia="ru-RU"/>
        </w:rPr>
        <w:t>за формулою</w:t>
      </w:r>
      <w:r w:rsidRPr="009D6CF4">
        <w:rPr>
          <w:rFonts w:ascii="Times New Roman" w:eastAsia="Times New Roman" w:hAnsi="Times New Roman"/>
          <w:bCs/>
          <w:sz w:val="28"/>
          <w:szCs w:val="28"/>
          <w:lang w:val="uk-UA" w:eastAsia="ru-RU"/>
        </w:rPr>
        <w:t>:</w:t>
      </w:r>
    </w:p>
    <w:p w14:paraId="0FB55625" w14:textId="05982CB1" w:rsidR="00DB1B32" w:rsidRPr="009D6CF4" w:rsidRDefault="00DB1B32" w:rsidP="00DB1B32">
      <w:pPr>
        <w:spacing w:after="0" w:line="240" w:lineRule="auto"/>
        <w:ind w:firstLine="720"/>
        <w:jc w:val="both"/>
        <w:rPr>
          <w:rFonts w:ascii="Times New Roman" w:eastAsia="Times New Roman" w:hAnsi="Times New Roman"/>
          <w:bCs/>
          <w:sz w:val="24"/>
          <w:szCs w:val="24"/>
          <w:lang w:val="uk-UA" w:eastAsia="ru-RU"/>
        </w:rPr>
      </w:pPr>
      <w:r w:rsidRPr="009D6CF4">
        <w:rPr>
          <w:rFonts w:ascii="Times New Roman" w:eastAsia="Times New Roman" w:hAnsi="Times New Roman"/>
          <w:bCs/>
          <w:sz w:val="28"/>
          <w:szCs w:val="28"/>
          <w:lang w:val="uk-UA" w:eastAsia="ru-RU"/>
        </w:rPr>
        <w:t xml:space="preserve">ІГ = </w:t>
      </w:r>
      <w:r w:rsidRPr="009D6CF4">
        <w:rPr>
          <w:rFonts w:ascii="Times New Roman" w:eastAsia="Times New Roman" w:hAnsi="Times New Roman"/>
          <w:bCs/>
          <w:sz w:val="24"/>
          <w:szCs w:val="24"/>
          <w:lang w:val="uk-UA" w:eastAsia="ru-RU"/>
        </w:rPr>
        <w:t>сума показників зубного нальоту + сума показників зубного каменю</w:t>
      </w:r>
      <w:r w:rsidR="007E1DF9">
        <w:rPr>
          <w:rFonts w:ascii="Times New Roman" w:eastAsia="Times New Roman" w:hAnsi="Times New Roman"/>
          <w:bCs/>
          <w:sz w:val="24"/>
          <w:szCs w:val="24"/>
          <w:lang w:val="uk-UA" w:eastAsia="ru-RU"/>
        </w:rPr>
        <w:tab/>
        <w:t>(2)</w:t>
      </w:r>
    </w:p>
    <w:p w14:paraId="3AB6860F" w14:textId="77777777" w:rsidR="00DB1B32" w:rsidRPr="009D6CF4" w:rsidRDefault="00DB1B32" w:rsidP="00DB1B32">
      <w:pPr>
        <w:spacing w:after="0" w:line="240" w:lineRule="auto"/>
        <w:ind w:firstLine="720"/>
        <w:jc w:val="both"/>
        <w:rPr>
          <w:rFonts w:ascii="Times New Roman" w:eastAsia="Times New Roman" w:hAnsi="Times New Roman"/>
          <w:bCs/>
          <w:sz w:val="24"/>
          <w:szCs w:val="24"/>
          <w:lang w:val="uk-UA" w:eastAsia="ru-RU"/>
        </w:rPr>
      </w:pPr>
      <w:r>
        <w:rPr>
          <w:noProof/>
        </w:rPr>
        <mc:AlternateContent>
          <mc:Choice Requires="wps">
            <w:drawing>
              <wp:anchor distT="4294967294" distB="4294967294" distL="114300" distR="114300" simplePos="0" relativeHeight="251660288" behindDoc="0" locked="0" layoutInCell="1" allowOverlap="1" wp14:anchorId="01EAACE8" wp14:editId="22F80179">
                <wp:simplePos x="0" y="0"/>
                <wp:positionH relativeFrom="column">
                  <wp:posOffset>3206115</wp:posOffset>
                </wp:positionH>
                <wp:positionV relativeFrom="paragraph">
                  <wp:posOffset>11429</wp:posOffset>
                </wp:positionV>
                <wp:extent cx="2085975" cy="0"/>
                <wp:effectExtent l="0" t="0" r="28575" b="19050"/>
                <wp:wrapNone/>
                <wp:docPr id="134"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597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5DF782" id="Прямая со стрелкой 3" o:spid="_x0000_s1026" type="#_x0000_t32" style="position:absolute;margin-left:252.45pt;margin-top:.9pt;width:164.25pt;height:0;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"/>
            </w:pict>
          </mc:Fallback>
        </mc:AlternateContent>
      </w:r>
      <w:r>
        <w:rPr>
          <w:noProof/>
        </w:rPr>
        <mc:AlternateContent>
          <mc:Choice Requires="wps">
            <w:drawing>
              <wp:anchor distT="4294967294" distB="4294967294" distL="114300" distR="114300" simplePos="0" relativeHeight="251658240" behindDoc="0" locked="0" layoutInCell="1" allowOverlap="1" wp14:anchorId="1F5D337D" wp14:editId="558CF330">
                <wp:simplePos x="0" y="0"/>
                <wp:positionH relativeFrom="column">
                  <wp:posOffset>815340</wp:posOffset>
                </wp:positionH>
                <wp:positionV relativeFrom="paragraph">
                  <wp:posOffset>11429</wp:posOffset>
                </wp:positionV>
                <wp:extent cx="2133600" cy="0"/>
                <wp:effectExtent l="0" t="0" r="19050" b="19050"/>
                <wp:wrapNone/>
                <wp:docPr id="133"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36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61E747" id="Прямая со стрелкой 2" o:spid="_x0000_s1026" type="#_x0000_t32" style="position:absolute;margin-left:64.2pt;margin-top:.9pt;width:168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"/>
            </w:pict>
          </mc:Fallback>
        </mc:AlternateContent>
      </w:r>
      <w:r w:rsidRPr="009D6CF4">
        <w:rPr>
          <w:rFonts w:ascii="Times New Roman" w:eastAsia="Times New Roman" w:hAnsi="Times New Roman"/>
          <w:bCs/>
          <w:sz w:val="24"/>
          <w:szCs w:val="24"/>
          <w:lang w:val="uk-UA" w:eastAsia="ru-RU"/>
        </w:rPr>
        <w:t xml:space="preserve">             кількість обстежених зубів                  кількість обстежених зубів</w:t>
      </w:r>
    </w:p>
    <w:p w14:paraId="0741C545"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0139970D" w14:textId="1751B4D0"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резу</w:t>
      </w:r>
      <w:r>
        <w:rPr>
          <w:rFonts w:ascii="Times New Roman" w:eastAsia="Times New Roman" w:hAnsi="Times New Roman"/>
          <w:bCs/>
          <w:sz w:val="28"/>
          <w:szCs w:val="28"/>
          <w:lang w:val="uk-UA" w:eastAsia="ru-RU"/>
        </w:rPr>
        <w:t>льтат</w:t>
      </w:r>
      <w:r w:rsidR="00F42F7A">
        <w:rPr>
          <w:rFonts w:ascii="Times New Roman" w:eastAsia="Times New Roman" w:hAnsi="Times New Roman"/>
          <w:bCs/>
          <w:sz w:val="28"/>
          <w:szCs w:val="28"/>
          <w:lang w:val="uk-UA" w:eastAsia="ru-RU"/>
        </w:rPr>
        <w:t>ів представлена у таблиці 2.3</w:t>
      </w:r>
      <w:r w:rsidRPr="009D6CF4">
        <w:rPr>
          <w:rFonts w:ascii="Times New Roman" w:eastAsia="Times New Roman" w:hAnsi="Times New Roman"/>
          <w:bCs/>
          <w:sz w:val="28"/>
          <w:szCs w:val="28"/>
          <w:lang w:val="uk-UA" w:eastAsia="ru-RU"/>
        </w:rPr>
        <w:t>.</w:t>
      </w:r>
    </w:p>
    <w:p w14:paraId="19647CEE" w14:textId="6DC31E88" w:rsidR="00DB1B32" w:rsidRPr="009D6CF4" w:rsidRDefault="00F42F7A" w:rsidP="00DB1B32">
      <w:pPr>
        <w:spacing w:after="0" w:line="360" w:lineRule="auto"/>
        <w:ind w:firstLine="720"/>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Таблиця 2.3</w:t>
      </w:r>
    </w:p>
    <w:p w14:paraId="3F197A93" w14:textId="77777777" w:rsidR="00DB1B32" w:rsidRPr="009D6CF4" w:rsidRDefault="00DB1B32" w:rsidP="00DB1B32">
      <w:pPr>
        <w:spacing w:after="0" w:line="360" w:lineRule="auto"/>
        <w:ind w:firstLine="720"/>
        <w:jc w:val="center"/>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Інтерпретація гігієнічного індексу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DB1B32" w:rsidRPr="00852E54" w14:paraId="564D01BB" w14:textId="77777777" w:rsidTr="00AB1765">
        <w:tc>
          <w:tcPr>
            <w:tcW w:w="3190" w:type="dxa"/>
            <w:shd w:val="clear" w:color="auto" w:fill="auto"/>
          </w:tcPr>
          <w:p w14:paraId="4F801CA6"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Значення індексу гігієни</w:t>
            </w:r>
          </w:p>
        </w:tc>
        <w:tc>
          <w:tcPr>
            <w:tcW w:w="3190" w:type="dxa"/>
            <w:shd w:val="clear" w:color="auto" w:fill="auto"/>
          </w:tcPr>
          <w:p w14:paraId="00D7FA27"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Оцінювання індексу гігієни</w:t>
            </w:r>
          </w:p>
        </w:tc>
        <w:tc>
          <w:tcPr>
            <w:tcW w:w="3191" w:type="dxa"/>
            <w:shd w:val="clear" w:color="auto" w:fill="auto"/>
          </w:tcPr>
          <w:p w14:paraId="78A46895"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Оцінювання гігієнічного стану порожнини рота</w:t>
            </w:r>
          </w:p>
        </w:tc>
      </w:tr>
      <w:tr w:rsidR="00DB1B32" w:rsidRPr="009D6CF4" w14:paraId="13AC3A54" w14:textId="77777777" w:rsidTr="00AB1765">
        <w:tc>
          <w:tcPr>
            <w:tcW w:w="3190" w:type="dxa"/>
            <w:shd w:val="clear" w:color="auto" w:fill="auto"/>
          </w:tcPr>
          <w:p w14:paraId="63485400"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0-0,6</w:t>
            </w:r>
          </w:p>
        </w:tc>
        <w:tc>
          <w:tcPr>
            <w:tcW w:w="3190" w:type="dxa"/>
            <w:shd w:val="clear" w:color="auto" w:fill="auto"/>
          </w:tcPr>
          <w:p w14:paraId="68CB6182" w14:textId="17F5249E" w:rsidR="00DB1B32" w:rsidRPr="009D6CF4" w:rsidRDefault="007E1DF9" w:rsidP="00AB1765">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н</w:t>
            </w:r>
            <w:r w:rsidR="00DB1B32" w:rsidRPr="009D6CF4">
              <w:rPr>
                <w:rFonts w:ascii="Times New Roman" w:eastAsia="Times New Roman" w:hAnsi="Times New Roman"/>
                <w:bCs/>
                <w:sz w:val="28"/>
                <w:szCs w:val="28"/>
                <w:lang w:val="uk-UA" w:eastAsia="ru-RU"/>
              </w:rPr>
              <w:t>изький</w:t>
            </w:r>
          </w:p>
        </w:tc>
        <w:tc>
          <w:tcPr>
            <w:tcW w:w="3191" w:type="dxa"/>
            <w:shd w:val="clear" w:color="auto" w:fill="auto"/>
          </w:tcPr>
          <w:p w14:paraId="5D68AC70"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добрий</w:t>
            </w:r>
          </w:p>
        </w:tc>
      </w:tr>
      <w:tr w:rsidR="00DB1B32" w:rsidRPr="009D6CF4" w14:paraId="4799A9CF" w14:textId="77777777" w:rsidTr="00AB1765">
        <w:tc>
          <w:tcPr>
            <w:tcW w:w="3190" w:type="dxa"/>
            <w:shd w:val="clear" w:color="auto" w:fill="auto"/>
          </w:tcPr>
          <w:p w14:paraId="514662BC"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0,7-1,6</w:t>
            </w:r>
          </w:p>
        </w:tc>
        <w:tc>
          <w:tcPr>
            <w:tcW w:w="3190" w:type="dxa"/>
            <w:shd w:val="clear" w:color="auto" w:fill="auto"/>
          </w:tcPr>
          <w:p w14:paraId="1446A54F" w14:textId="0495C858" w:rsidR="00DB1B32" w:rsidRPr="009D6CF4" w:rsidRDefault="007E1DF9" w:rsidP="00AB1765">
            <w:pPr>
              <w:spacing w:after="0" w:line="360" w:lineRule="auto"/>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с</w:t>
            </w:r>
            <w:r w:rsidR="00DB1B32" w:rsidRPr="009D6CF4">
              <w:rPr>
                <w:rFonts w:ascii="Times New Roman" w:eastAsia="Times New Roman" w:hAnsi="Times New Roman"/>
                <w:bCs/>
                <w:sz w:val="28"/>
                <w:szCs w:val="28"/>
                <w:lang w:val="uk-UA" w:eastAsia="ru-RU"/>
              </w:rPr>
              <w:t>ередній</w:t>
            </w:r>
          </w:p>
        </w:tc>
        <w:tc>
          <w:tcPr>
            <w:tcW w:w="3191" w:type="dxa"/>
            <w:shd w:val="clear" w:color="auto" w:fill="auto"/>
          </w:tcPr>
          <w:p w14:paraId="75408776"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задовільний</w:t>
            </w:r>
          </w:p>
        </w:tc>
      </w:tr>
      <w:tr w:rsidR="00DB1B32" w:rsidRPr="009D6CF4" w14:paraId="523A4678" w14:textId="77777777" w:rsidTr="00AB1765">
        <w:tc>
          <w:tcPr>
            <w:tcW w:w="3190" w:type="dxa"/>
            <w:shd w:val="clear" w:color="auto" w:fill="auto"/>
          </w:tcPr>
          <w:p w14:paraId="6D14526C"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1,7-2,5</w:t>
            </w:r>
          </w:p>
        </w:tc>
        <w:tc>
          <w:tcPr>
            <w:tcW w:w="3190" w:type="dxa"/>
            <w:shd w:val="clear" w:color="auto" w:fill="auto"/>
          </w:tcPr>
          <w:p w14:paraId="3FAAEC79"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високий</w:t>
            </w:r>
          </w:p>
        </w:tc>
        <w:tc>
          <w:tcPr>
            <w:tcW w:w="3191" w:type="dxa"/>
            <w:shd w:val="clear" w:color="auto" w:fill="auto"/>
          </w:tcPr>
          <w:p w14:paraId="1B3EC5E3"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незадовільний</w:t>
            </w:r>
          </w:p>
        </w:tc>
      </w:tr>
      <w:tr w:rsidR="00DB1B32" w:rsidRPr="009D6CF4" w14:paraId="09270F47" w14:textId="77777777" w:rsidTr="00AB1765">
        <w:tc>
          <w:tcPr>
            <w:tcW w:w="3190" w:type="dxa"/>
            <w:shd w:val="clear" w:color="auto" w:fill="auto"/>
          </w:tcPr>
          <w:p w14:paraId="20AE3B7E"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≥2,6</w:t>
            </w:r>
          </w:p>
        </w:tc>
        <w:tc>
          <w:tcPr>
            <w:tcW w:w="3190" w:type="dxa"/>
            <w:shd w:val="clear" w:color="auto" w:fill="auto"/>
          </w:tcPr>
          <w:p w14:paraId="572D18B4"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дуже високий</w:t>
            </w:r>
          </w:p>
        </w:tc>
        <w:tc>
          <w:tcPr>
            <w:tcW w:w="3191" w:type="dxa"/>
            <w:shd w:val="clear" w:color="auto" w:fill="auto"/>
          </w:tcPr>
          <w:p w14:paraId="7819999D" w14:textId="77777777" w:rsidR="00DB1B32" w:rsidRPr="009D6CF4" w:rsidRDefault="00DB1B32" w:rsidP="00AB1765">
            <w:pPr>
              <w:spacing w:after="0" w:line="360" w:lineRule="auto"/>
              <w:jc w:val="both"/>
              <w:rPr>
                <w:rFonts w:ascii="Times New Roman" w:eastAsia="Times New Roman" w:hAnsi="Times New Roman"/>
                <w:bCs/>
                <w:sz w:val="28"/>
                <w:szCs w:val="28"/>
                <w:lang w:val="uk-UA" w:eastAsia="ru-RU"/>
              </w:rPr>
            </w:pPr>
            <w:r w:rsidRPr="009D6CF4">
              <w:rPr>
                <w:rFonts w:ascii="Times New Roman" w:eastAsia="Times New Roman" w:hAnsi="Times New Roman"/>
                <w:bCs/>
                <w:sz w:val="28"/>
                <w:szCs w:val="28"/>
                <w:lang w:val="uk-UA" w:eastAsia="ru-RU"/>
              </w:rPr>
              <w:t>поганий</w:t>
            </w:r>
          </w:p>
        </w:tc>
      </w:tr>
    </w:tbl>
    <w:p w14:paraId="3A81D85B" w14:textId="77777777" w:rsidR="00DB1B32" w:rsidRPr="009D6CF4" w:rsidRDefault="00DB1B32" w:rsidP="00DB1B32">
      <w:pPr>
        <w:spacing w:after="0" w:line="360" w:lineRule="auto"/>
        <w:ind w:firstLine="720"/>
        <w:jc w:val="both"/>
        <w:rPr>
          <w:rFonts w:ascii="Times New Roman" w:eastAsia="Times New Roman" w:hAnsi="Times New Roman"/>
          <w:bCs/>
          <w:sz w:val="28"/>
          <w:szCs w:val="28"/>
          <w:lang w:val="uk-UA" w:eastAsia="ru-RU"/>
        </w:rPr>
      </w:pPr>
    </w:p>
    <w:p w14:paraId="3E669EE6" w14:textId="77777777" w:rsidR="00DB1B32" w:rsidRPr="009D6CF4" w:rsidRDefault="00DB1B32" w:rsidP="00DB1B32">
      <w:pPr>
        <w:tabs>
          <w:tab w:val="left" w:pos="9356"/>
        </w:tabs>
        <w:spacing w:after="0" w:line="360" w:lineRule="auto"/>
        <w:ind w:firstLine="720"/>
        <w:jc w:val="both"/>
        <w:rPr>
          <w:rFonts w:ascii="Times New Roman" w:eastAsia="Times New Roman" w:hAnsi="Times New Roman"/>
          <w:bCs/>
          <w:sz w:val="28"/>
          <w:szCs w:val="28"/>
          <w:lang w:val="uk-UA" w:eastAsia="ru-RU"/>
        </w:rPr>
      </w:pPr>
      <w:r w:rsidRPr="0007222C">
        <w:rPr>
          <w:rFonts w:ascii="Times New Roman" w:eastAsia="Times New Roman" w:hAnsi="Times New Roman"/>
          <w:bCs/>
          <w:sz w:val="28"/>
          <w:szCs w:val="28"/>
          <w:lang w:val="uk-UA" w:eastAsia="ru-RU"/>
        </w:rPr>
        <w:t>Вимірювання глибини пародонтальних кишень</w:t>
      </w:r>
      <w:r w:rsidRPr="009D6CF4">
        <w:rPr>
          <w:rFonts w:ascii="Times New Roman" w:eastAsia="Times New Roman" w:hAnsi="Times New Roman"/>
          <w:bCs/>
          <w:sz w:val="28"/>
          <w:szCs w:val="28"/>
          <w:lang w:val="uk-UA" w:eastAsia="ru-RU"/>
        </w:rPr>
        <w:t xml:space="preserve"> проводили за методикою А.І. Грудянова [199</w:t>
      </w:r>
      <w:r>
        <w:rPr>
          <w:rFonts w:ascii="Times New Roman" w:eastAsia="Times New Roman" w:hAnsi="Times New Roman"/>
          <w:bCs/>
          <w:sz w:val="28"/>
          <w:szCs w:val="28"/>
          <w:lang w:val="uk-UA" w:eastAsia="ru-RU"/>
        </w:rPr>
        <w:t>8] та рекомендаціями ВООЗ</w:t>
      </w:r>
      <w:r w:rsidRPr="009D6CF4">
        <w:rPr>
          <w:rFonts w:ascii="Times New Roman" w:eastAsia="Times New Roman" w:hAnsi="Times New Roman"/>
          <w:bCs/>
          <w:sz w:val="28"/>
          <w:szCs w:val="28"/>
          <w:lang w:val="uk-UA" w:eastAsia="ru-RU"/>
        </w:rPr>
        <w:t xml:space="preserve">. Для вимірювання глибини і топографії пародонтальних кишень використовували пуговчатий градуйований пародонтологічний зонд. Глибину ясенної кишені визначали стандартним </w:t>
      </w:r>
      <w:r w:rsidRPr="009D6CF4">
        <w:rPr>
          <w:rFonts w:ascii="Times New Roman" w:eastAsia="Times New Roman" w:hAnsi="Times New Roman"/>
          <w:bCs/>
          <w:sz w:val="28"/>
          <w:szCs w:val="28"/>
          <w:lang w:val="uk-UA" w:eastAsia="ru-RU"/>
        </w:rPr>
        <w:lastRenderedPageBreak/>
        <w:t>методом - від ясенного краю до дна пародонтальної кишені або ясенного жолобку, величину деструкції і ступінь тяжкості процесу - від емалево-цементної межі шийки зуба до дна кишені кожного зуба. Вимірювання проводили з медіальної, дистальної, вестибулярної та лінгвальної поверхонь, сила тиску не перевищувала 20 г (при приміщенні кінчика зонда під ніготь великого пальця руки спостерігається побіління). Враховували найбільш глибокі значення вимірювань</w:t>
      </w:r>
      <w:r>
        <w:rPr>
          <w:rFonts w:ascii="Times New Roman" w:eastAsia="Times New Roman" w:hAnsi="Times New Roman"/>
          <w:bCs/>
          <w:sz w:val="28"/>
          <w:szCs w:val="28"/>
          <w:lang w:val="uk-UA" w:eastAsia="ru-RU"/>
        </w:rPr>
        <w:t>.</w:t>
      </w:r>
    </w:p>
    <w:p w14:paraId="46571CD7"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Рівень запалення ясен був оцінений за допомогою індексу кровоточивості SBI (Mühlemann and Son). SBI було зафіксовано на шістьох зубних поверхнях. </w:t>
      </w:r>
    </w:p>
    <w:p w14:paraId="18020BC8"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Результати для SBI оцінювали за наступною шкалою: </w:t>
      </w:r>
    </w:p>
    <w:p w14:paraId="5F838CA5"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0: без кровотечі </w:t>
      </w:r>
    </w:p>
    <w:p w14:paraId="3E5BB6F7"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1: кровотеча при зондуванні без зміни кольору і відсутність набряку </w:t>
      </w:r>
    </w:p>
    <w:p w14:paraId="1C425D97" w14:textId="5F8705C2"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2: кровотеча при зондуванні із зміною кольору і відсутністю набряку або макроскопічного набряку </w:t>
      </w:r>
    </w:p>
    <w:p w14:paraId="48560A1A"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3: кровотеча при зондуванні із зміною кольору і набряклості набряку </w:t>
      </w:r>
    </w:p>
    <w:p w14:paraId="3268CB59" w14:textId="77777777" w:rsidR="00A365D8" w:rsidRDefault="00DB1B32" w:rsidP="00DB1B32">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 xml:space="preserve">4: кровотеча при зондуванні, зміна кольору внаслідок запалення, набряк із виразками </w:t>
      </w:r>
    </w:p>
    <w:p w14:paraId="484D8CA6" w14:textId="6383EC43" w:rsidR="001624CF" w:rsidRPr="00792595" w:rsidRDefault="00DB1B32" w:rsidP="00792595">
      <w:pPr>
        <w:spacing w:after="0" w:line="360" w:lineRule="auto"/>
        <w:ind w:firstLine="709"/>
        <w:jc w:val="both"/>
        <w:rPr>
          <w:rFonts w:ascii="Times New Roman" w:hAnsi="Times New Roman" w:cs="Times New Roman"/>
          <w:sz w:val="28"/>
          <w:szCs w:val="28"/>
          <w:lang w:val="uk-UA"/>
        </w:rPr>
      </w:pPr>
      <w:r w:rsidRPr="00533FC8">
        <w:rPr>
          <w:rFonts w:ascii="Times New Roman" w:hAnsi="Times New Roman" w:cs="Times New Roman"/>
          <w:sz w:val="28"/>
          <w:szCs w:val="28"/>
          <w:lang w:val="uk-UA"/>
        </w:rPr>
        <w:t>5: спонтанна кровотеча, зміна кольору та помітний набряк з виразками.</w:t>
      </w:r>
    </w:p>
    <w:p w14:paraId="1947F547" w14:textId="7F5C439B" w:rsidR="008040A8" w:rsidRDefault="008040A8" w:rsidP="00FB4D6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Кислотно-лужну рівновагу визначали за допомогою вимірювання рН ротової рідини. </w:t>
      </w:r>
      <w:r w:rsidRPr="008040A8">
        <w:rPr>
          <w:rFonts w:ascii="Times New Roman" w:hAnsi="Times New Roman"/>
          <w:sz w:val="28"/>
          <w:szCs w:val="28"/>
          <w:lang w:val="uk-UA"/>
        </w:rPr>
        <w:t>Визначення pH ротової рідини проводили за допомогою тесту Saliva Check. Х</w:t>
      </w:r>
      <w:r>
        <w:rPr>
          <w:rFonts w:ascii="Times New Roman" w:hAnsi="Times New Roman"/>
          <w:sz w:val="28"/>
          <w:szCs w:val="28"/>
          <w:lang w:val="uk-UA"/>
        </w:rPr>
        <w:t>ворі спльовували ротову рідину у</w:t>
      </w:r>
      <w:r w:rsidRPr="008040A8">
        <w:rPr>
          <w:rFonts w:ascii="Times New Roman" w:hAnsi="Times New Roman"/>
          <w:sz w:val="28"/>
          <w:szCs w:val="28"/>
          <w:lang w:val="uk-UA"/>
        </w:rPr>
        <w:t xml:space="preserve"> </w:t>
      </w:r>
      <w:r>
        <w:rPr>
          <w:rFonts w:ascii="Times New Roman" w:hAnsi="Times New Roman"/>
          <w:sz w:val="28"/>
          <w:szCs w:val="28"/>
          <w:lang w:val="uk-UA"/>
        </w:rPr>
        <w:t>стерильні пробірки</w:t>
      </w:r>
      <w:r w:rsidRPr="008040A8">
        <w:rPr>
          <w:rFonts w:ascii="Times New Roman" w:hAnsi="Times New Roman"/>
          <w:sz w:val="28"/>
          <w:szCs w:val="28"/>
          <w:lang w:val="uk-UA"/>
        </w:rPr>
        <w:t xml:space="preserve"> протягом 5 хв. Тест-смужки із лабораторного тесту Saliva Check для визначення pH занурювали в ємкість з ротовою рідиною на 10 секунд, а потім порівнювали колір тест-смужок із таблицею з комплекту.</w:t>
      </w:r>
    </w:p>
    <w:p w14:paraId="119A988F" w14:textId="77777777" w:rsidR="008040A8" w:rsidRPr="002804DE" w:rsidRDefault="008040A8" w:rsidP="00FB4D60">
      <w:pPr>
        <w:spacing w:after="0" w:line="360" w:lineRule="auto"/>
        <w:ind w:firstLine="709"/>
        <w:jc w:val="both"/>
        <w:rPr>
          <w:rFonts w:ascii="Times New Roman" w:hAnsi="Times New Roman"/>
          <w:sz w:val="28"/>
          <w:szCs w:val="28"/>
          <w:lang w:val="uk-UA"/>
        </w:rPr>
      </w:pPr>
    </w:p>
    <w:p w14:paraId="2C840D00" w14:textId="60F379F6" w:rsidR="00E24DEC" w:rsidRPr="00E24DEC" w:rsidRDefault="00476AD5" w:rsidP="00E24DEC">
      <w:pPr>
        <w:pStyle w:val="Heading2"/>
        <w:spacing w:line="360" w:lineRule="auto"/>
        <w:ind w:firstLine="709"/>
        <w:rPr>
          <w:rFonts w:ascii="Times New Roman" w:hAnsi="Times New Roman" w:cs="Times New Roman"/>
          <w:color w:val="auto"/>
          <w:sz w:val="28"/>
          <w:szCs w:val="28"/>
          <w:lang w:val="uk-UA"/>
        </w:rPr>
      </w:pPr>
      <w:bookmarkStart w:id="9" w:name="_Toc507575302"/>
      <w:r w:rsidRPr="00E24DEC">
        <w:rPr>
          <w:rStyle w:val="Heading2Char"/>
          <w:rFonts w:ascii="Times New Roman" w:hAnsi="Times New Roman" w:cs="Times New Roman"/>
          <w:color w:val="auto"/>
          <w:sz w:val="28"/>
          <w:szCs w:val="28"/>
          <w:lang w:val="uk-UA"/>
        </w:rPr>
        <w:t xml:space="preserve">2.2 </w:t>
      </w:r>
      <w:r w:rsidR="00A9528F" w:rsidRPr="00E24DEC">
        <w:rPr>
          <w:rStyle w:val="Heading2Char"/>
          <w:rFonts w:ascii="Times New Roman" w:hAnsi="Times New Roman" w:cs="Times New Roman"/>
          <w:color w:val="auto"/>
          <w:sz w:val="28"/>
          <w:szCs w:val="28"/>
          <w:lang w:val="uk-UA"/>
        </w:rPr>
        <w:t xml:space="preserve">Методи </w:t>
      </w:r>
      <w:r w:rsidR="00792595" w:rsidRPr="00E24DEC">
        <w:rPr>
          <w:rStyle w:val="Heading2Char"/>
          <w:rFonts w:ascii="Times New Roman" w:hAnsi="Times New Roman" w:cs="Times New Roman"/>
          <w:color w:val="auto"/>
          <w:sz w:val="28"/>
          <w:szCs w:val="28"/>
          <w:lang w:val="uk-UA"/>
        </w:rPr>
        <w:t>клініко-лабораторних</w:t>
      </w:r>
      <w:r w:rsidR="00A9528F" w:rsidRPr="00E24DEC">
        <w:rPr>
          <w:rStyle w:val="Heading2Char"/>
          <w:rFonts w:ascii="Times New Roman" w:hAnsi="Times New Roman" w:cs="Times New Roman"/>
          <w:color w:val="auto"/>
          <w:sz w:val="28"/>
          <w:szCs w:val="28"/>
          <w:lang w:val="uk-UA"/>
        </w:rPr>
        <w:t xml:space="preserve"> досліджень</w:t>
      </w:r>
      <w:bookmarkEnd w:id="9"/>
    </w:p>
    <w:p w14:paraId="218A8823" w14:textId="44B54D67" w:rsidR="000F2AFF" w:rsidRDefault="000F2AFF" w:rsidP="00E24DEC">
      <w:pPr>
        <w:spacing w:after="0" w:line="360" w:lineRule="auto"/>
        <w:ind w:firstLine="709"/>
        <w:jc w:val="both"/>
        <w:rPr>
          <w:rFonts w:ascii="Times New Roman" w:hAnsi="Times New Roman"/>
          <w:sz w:val="28"/>
          <w:szCs w:val="28"/>
          <w:lang w:val="uk-UA"/>
        </w:rPr>
      </w:pPr>
      <w:r w:rsidRPr="000F2AFF">
        <w:rPr>
          <w:rFonts w:ascii="Times New Roman" w:hAnsi="Times New Roman"/>
          <w:sz w:val="28"/>
          <w:szCs w:val="28"/>
          <w:lang w:val="uk-UA"/>
        </w:rPr>
        <w:t>Вивчення біохімічних параметрів ротової рідини має важливе значення при патологіях порожнини ро</w:t>
      </w:r>
      <w:r>
        <w:rPr>
          <w:rFonts w:ascii="Times New Roman" w:hAnsi="Times New Roman"/>
          <w:sz w:val="28"/>
          <w:szCs w:val="28"/>
          <w:lang w:val="uk-UA"/>
        </w:rPr>
        <w:t xml:space="preserve">та. В процесі антибактеріального </w:t>
      </w:r>
      <w:r w:rsidRPr="000F2AFF">
        <w:rPr>
          <w:rFonts w:ascii="Times New Roman" w:hAnsi="Times New Roman"/>
          <w:sz w:val="28"/>
          <w:szCs w:val="28"/>
          <w:lang w:val="uk-UA"/>
        </w:rPr>
        <w:t>захисту, а також внаслідок пероксидазних реакцій різної субстратної специфічності в ротовій рідині присутні вільні радикали і гід</w:t>
      </w:r>
      <w:r>
        <w:rPr>
          <w:rFonts w:ascii="Times New Roman" w:hAnsi="Times New Roman"/>
          <w:sz w:val="28"/>
          <w:szCs w:val="28"/>
          <w:lang w:val="uk-UA"/>
        </w:rPr>
        <w:t>ропероксиди</w:t>
      </w:r>
      <w:r w:rsidRPr="000F2AFF">
        <w:rPr>
          <w:rFonts w:ascii="Times New Roman" w:hAnsi="Times New Roman"/>
          <w:sz w:val="28"/>
          <w:szCs w:val="28"/>
          <w:lang w:val="uk-UA"/>
        </w:rPr>
        <w:t xml:space="preserve"> ліпідів. Важливим джерелом </w:t>
      </w:r>
      <w:r w:rsidRPr="000F2AFF">
        <w:rPr>
          <w:rFonts w:ascii="Times New Roman" w:hAnsi="Times New Roman"/>
          <w:sz w:val="28"/>
          <w:szCs w:val="28"/>
          <w:lang w:val="uk-UA"/>
        </w:rPr>
        <w:lastRenderedPageBreak/>
        <w:t xml:space="preserve">перекисних сполук є також продукти харчування, їх фізичні та хімічні </w:t>
      </w:r>
      <w:r>
        <w:rPr>
          <w:rFonts w:ascii="Times New Roman" w:hAnsi="Times New Roman"/>
          <w:sz w:val="28"/>
          <w:szCs w:val="28"/>
          <w:lang w:val="uk-UA"/>
        </w:rPr>
        <w:t>складові. У ротовій рідині містять</w:t>
      </w:r>
      <w:r w:rsidRPr="000F2AFF">
        <w:rPr>
          <w:rFonts w:ascii="Times New Roman" w:hAnsi="Times New Roman"/>
          <w:sz w:val="28"/>
          <w:szCs w:val="28"/>
          <w:lang w:val="uk-UA"/>
        </w:rPr>
        <w:t xml:space="preserve">ся речовини, що володіють </w:t>
      </w:r>
      <w:r>
        <w:rPr>
          <w:rFonts w:ascii="Times New Roman" w:hAnsi="Times New Roman"/>
          <w:sz w:val="28"/>
          <w:szCs w:val="28"/>
          <w:lang w:val="uk-UA"/>
        </w:rPr>
        <w:t>антиоксидантною</w:t>
      </w:r>
      <w:r w:rsidRPr="000F2AFF">
        <w:rPr>
          <w:rFonts w:ascii="Times New Roman" w:hAnsi="Times New Roman"/>
          <w:sz w:val="28"/>
          <w:szCs w:val="28"/>
          <w:lang w:val="uk-UA"/>
        </w:rPr>
        <w:t xml:space="preserve"> активністю, зокрема відновлений глутатіон і </w:t>
      </w:r>
      <w:r>
        <w:rPr>
          <w:rFonts w:ascii="Times New Roman" w:hAnsi="Times New Roman"/>
          <w:sz w:val="28"/>
          <w:szCs w:val="28"/>
          <w:lang w:val="uk-UA"/>
        </w:rPr>
        <w:t>антиоксидантні</w:t>
      </w:r>
      <w:r w:rsidRPr="000F2AFF">
        <w:rPr>
          <w:rFonts w:ascii="Times New Roman" w:hAnsi="Times New Roman"/>
          <w:sz w:val="28"/>
          <w:szCs w:val="28"/>
          <w:lang w:val="uk-UA"/>
        </w:rPr>
        <w:t xml:space="preserve"> ферменти: каталаза, супероксиддисмутаза (</w:t>
      </w:r>
      <w:r w:rsidR="00A81FA8">
        <w:rPr>
          <w:rFonts w:ascii="Times New Roman" w:hAnsi="Times New Roman"/>
          <w:sz w:val="28"/>
          <w:szCs w:val="28"/>
          <w:lang w:val="uk-UA"/>
        </w:rPr>
        <w:t>СОД) і глутатіонпероксидаза</w:t>
      </w:r>
      <w:r w:rsidRPr="000F2AFF">
        <w:rPr>
          <w:rFonts w:ascii="Times New Roman" w:hAnsi="Times New Roman"/>
          <w:sz w:val="28"/>
          <w:szCs w:val="28"/>
          <w:lang w:val="uk-UA"/>
        </w:rPr>
        <w:t xml:space="preserve">. </w:t>
      </w:r>
      <w:r>
        <w:rPr>
          <w:rFonts w:ascii="Times New Roman" w:hAnsi="Times New Roman"/>
          <w:sz w:val="28"/>
          <w:szCs w:val="28"/>
          <w:lang w:val="uk-UA"/>
        </w:rPr>
        <w:t xml:space="preserve">Антиоксидантна </w:t>
      </w:r>
      <w:r w:rsidRPr="000F2AFF">
        <w:rPr>
          <w:rFonts w:ascii="Times New Roman" w:hAnsi="Times New Roman"/>
          <w:sz w:val="28"/>
          <w:szCs w:val="28"/>
          <w:lang w:val="uk-UA"/>
        </w:rPr>
        <w:t>активність ротової рідини залежить від функціонального стану слинних залоз</w:t>
      </w:r>
      <w:r>
        <w:rPr>
          <w:rFonts w:ascii="Times New Roman" w:hAnsi="Times New Roman"/>
          <w:sz w:val="28"/>
          <w:szCs w:val="28"/>
          <w:lang w:val="uk-UA"/>
        </w:rPr>
        <w:t>, загальносоматичного статусу</w:t>
      </w:r>
      <w:r w:rsidRPr="000F2AFF">
        <w:rPr>
          <w:rFonts w:ascii="Times New Roman" w:hAnsi="Times New Roman"/>
          <w:sz w:val="28"/>
          <w:szCs w:val="28"/>
          <w:lang w:val="uk-UA"/>
        </w:rPr>
        <w:t xml:space="preserve"> і не схильна до сезонних коливань</w:t>
      </w:r>
      <w:r>
        <w:rPr>
          <w:rFonts w:ascii="Times New Roman" w:hAnsi="Times New Roman"/>
          <w:sz w:val="28"/>
          <w:szCs w:val="28"/>
          <w:lang w:val="uk-UA"/>
        </w:rPr>
        <w:t>.</w:t>
      </w:r>
    </w:p>
    <w:p w14:paraId="7A6731B2" w14:textId="42344A99" w:rsidR="00A81FA8" w:rsidRDefault="00970967" w:rsidP="001645FD">
      <w:pPr>
        <w:spacing w:after="0" w:line="360" w:lineRule="auto"/>
        <w:ind w:firstLine="709"/>
        <w:jc w:val="both"/>
        <w:rPr>
          <w:rFonts w:ascii="Times New Roman" w:hAnsi="Times New Roman"/>
          <w:sz w:val="28"/>
          <w:szCs w:val="28"/>
          <w:lang w:val="uk-UA"/>
        </w:rPr>
      </w:pPr>
      <w:r w:rsidRPr="00970967">
        <w:rPr>
          <w:rFonts w:ascii="Times New Roman" w:hAnsi="Times New Roman"/>
          <w:sz w:val="28"/>
          <w:szCs w:val="28"/>
          <w:lang w:val="uk-UA"/>
        </w:rPr>
        <w:t xml:space="preserve">Нестимульована </w:t>
      </w:r>
      <w:r>
        <w:rPr>
          <w:rFonts w:ascii="Times New Roman" w:hAnsi="Times New Roman"/>
          <w:sz w:val="28"/>
          <w:szCs w:val="28"/>
          <w:lang w:val="uk-UA"/>
        </w:rPr>
        <w:t>ротова рідина</w:t>
      </w:r>
      <w:r w:rsidR="00BC3FD7">
        <w:rPr>
          <w:rFonts w:ascii="Times New Roman" w:hAnsi="Times New Roman"/>
          <w:sz w:val="28"/>
          <w:szCs w:val="28"/>
          <w:lang w:val="uk-UA"/>
        </w:rPr>
        <w:t xml:space="preserve"> була зібрана від пацієнтів з 8</w:t>
      </w:r>
      <w:r w:rsidRPr="00970967">
        <w:rPr>
          <w:rFonts w:ascii="Times New Roman" w:hAnsi="Times New Roman"/>
          <w:sz w:val="28"/>
          <w:szCs w:val="28"/>
          <w:lang w:val="uk-UA"/>
        </w:rPr>
        <w:t xml:space="preserve">:00 до 12:00. Щоб уникнути варіацій у аналізах, пацієнтів просили не їсти, не пити, не виконувати гігієнічні процедури порожнини рота (чищення зубів, використання ополіскувача) за 60 хвилин до процедури збору слини. Потім пацієнти були оглянуті на стоматологічному кріслі, ротова рідина була зібрана у градуйовані контейнери. Зразки передавали у біохімічну лабораторію Харківського національного медичного університету, де їх зберігали при температурі -20 ° С. </w:t>
      </w:r>
      <w:r w:rsidR="00FB4D60" w:rsidRPr="002804DE">
        <w:rPr>
          <w:rFonts w:ascii="Times New Roman" w:hAnsi="Times New Roman"/>
          <w:sz w:val="28"/>
          <w:szCs w:val="28"/>
          <w:lang w:val="uk-UA"/>
        </w:rPr>
        <w:t xml:space="preserve">Стан прооксидантно-антиоксидантної захисту визначали за рівнем малонового </w:t>
      </w:r>
      <w:r w:rsidR="007E1DF9">
        <w:rPr>
          <w:rFonts w:ascii="Times New Roman" w:hAnsi="Times New Roman"/>
          <w:sz w:val="28"/>
          <w:szCs w:val="28"/>
          <w:lang w:val="uk-UA"/>
        </w:rPr>
        <w:t>диальдегід</w:t>
      </w:r>
      <w:r w:rsidR="00FB4D60" w:rsidRPr="002804DE">
        <w:rPr>
          <w:rFonts w:ascii="Times New Roman" w:hAnsi="Times New Roman"/>
          <w:sz w:val="28"/>
          <w:szCs w:val="28"/>
          <w:lang w:val="uk-UA"/>
        </w:rPr>
        <w:t xml:space="preserve">у (МДА), каталази, глутатіону та супероксиддисмутази (СОД). Визначення рівня малонового </w:t>
      </w:r>
      <w:r w:rsidR="007E1DF9">
        <w:rPr>
          <w:rFonts w:ascii="Times New Roman" w:hAnsi="Times New Roman"/>
          <w:sz w:val="28"/>
          <w:szCs w:val="28"/>
          <w:lang w:val="uk-UA"/>
        </w:rPr>
        <w:t>диальдегід</w:t>
      </w:r>
      <w:r w:rsidR="00FB4D60" w:rsidRPr="002804DE">
        <w:rPr>
          <w:rFonts w:ascii="Times New Roman" w:hAnsi="Times New Roman"/>
          <w:sz w:val="28"/>
          <w:szCs w:val="28"/>
          <w:lang w:val="uk-UA"/>
        </w:rPr>
        <w:t>у п</w:t>
      </w:r>
      <w:r w:rsidR="007E1DF9">
        <w:rPr>
          <w:rFonts w:ascii="Times New Roman" w:hAnsi="Times New Roman"/>
          <w:sz w:val="28"/>
          <w:szCs w:val="28"/>
          <w:lang w:val="uk-UA"/>
        </w:rPr>
        <w:t>роводили за методом Uchiyma M.,</w:t>
      </w:r>
      <w:r w:rsidR="00FB4D60" w:rsidRPr="002804DE">
        <w:rPr>
          <w:rFonts w:ascii="Times New Roman" w:hAnsi="Times New Roman"/>
          <w:sz w:val="28"/>
          <w:szCs w:val="28"/>
          <w:lang w:val="uk-UA"/>
        </w:rPr>
        <w:t xml:space="preserve"> Michara M. в модифікації Волчегорского І.А. і співавт. по тесту з т</w:t>
      </w:r>
      <w:r w:rsidR="00A81FA8">
        <w:rPr>
          <w:rFonts w:ascii="Times New Roman" w:hAnsi="Times New Roman"/>
          <w:sz w:val="28"/>
          <w:szCs w:val="28"/>
          <w:lang w:val="uk-UA"/>
        </w:rPr>
        <w:t>іобарбітурової кислотою (ТБК) [234</w:t>
      </w:r>
      <w:r w:rsidR="00FB4D60" w:rsidRPr="002804DE">
        <w:rPr>
          <w:rFonts w:ascii="Times New Roman" w:hAnsi="Times New Roman"/>
          <w:sz w:val="28"/>
          <w:szCs w:val="28"/>
          <w:lang w:val="uk-UA"/>
        </w:rPr>
        <w:t>]. Активність каталази визначали методом, заснованому на здатності перекису водню утворювати з солями молібдену стійкий забарвлений комплекс [</w:t>
      </w:r>
      <w:r w:rsidR="00A81FA8">
        <w:rPr>
          <w:rFonts w:ascii="Times New Roman" w:hAnsi="Times New Roman"/>
          <w:sz w:val="28"/>
          <w:szCs w:val="28"/>
          <w:lang w:val="uk-UA"/>
        </w:rPr>
        <w:t>23</w:t>
      </w:r>
      <w:r w:rsidR="00FB4D60" w:rsidRPr="002804DE">
        <w:rPr>
          <w:rFonts w:ascii="Times New Roman" w:hAnsi="Times New Roman"/>
          <w:sz w:val="28"/>
          <w:szCs w:val="28"/>
          <w:lang w:val="uk-UA"/>
        </w:rPr>
        <w:t xml:space="preserve">5]. Активність супероксиддисмутази визначали методом окислення кверцетину в модифікації В.А.Костюка </w:t>
      </w:r>
      <w:r>
        <w:rPr>
          <w:rFonts w:ascii="Times New Roman" w:hAnsi="Times New Roman"/>
          <w:sz w:val="28"/>
          <w:szCs w:val="28"/>
          <w:lang w:val="uk-UA"/>
        </w:rPr>
        <w:t>та співавторів</w:t>
      </w:r>
      <w:r w:rsidR="00A81FA8">
        <w:rPr>
          <w:rFonts w:ascii="Times New Roman" w:hAnsi="Times New Roman"/>
          <w:sz w:val="28"/>
          <w:szCs w:val="28"/>
          <w:lang w:val="uk-UA"/>
        </w:rPr>
        <w:t xml:space="preserve"> </w:t>
      </w:r>
      <w:r w:rsidR="00A81FA8" w:rsidRPr="00A81FA8">
        <w:rPr>
          <w:rFonts w:ascii="Times New Roman" w:hAnsi="Times New Roman"/>
          <w:sz w:val="28"/>
          <w:szCs w:val="28"/>
          <w:lang w:val="ru-RU"/>
        </w:rPr>
        <w:t>[236]</w:t>
      </w:r>
      <w:r w:rsidR="00FB4D60" w:rsidRPr="002804DE">
        <w:rPr>
          <w:rFonts w:ascii="Times New Roman" w:hAnsi="Times New Roman"/>
          <w:sz w:val="28"/>
          <w:szCs w:val="28"/>
          <w:lang w:val="uk-UA"/>
        </w:rPr>
        <w:t xml:space="preserve">. Активність ферменту виражали в у.о./л ротової рідини. </w:t>
      </w:r>
      <w:r w:rsidR="001645FD">
        <w:rPr>
          <w:rFonts w:ascii="Times New Roman" w:hAnsi="Times New Roman"/>
          <w:sz w:val="28"/>
          <w:szCs w:val="28"/>
          <w:lang w:val="uk-UA"/>
        </w:rPr>
        <w:t>Активність уреази вимірювали д</w:t>
      </w:r>
      <w:r w:rsidR="001645FD" w:rsidRPr="00AE47A0">
        <w:rPr>
          <w:rFonts w:ascii="Times New Roman" w:hAnsi="Times New Roman"/>
          <w:sz w:val="28"/>
          <w:szCs w:val="28"/>
          <w:lang w:val="uk-UA"/>
        </w:rPr>
        <w:t>ля визначення дисбіозу порожнини рота</w:t>
      </w:r>
      <w:r w:rsidR="00A81FA8" w:rsidRPr="00A81FA8">
        <w:rPr>
          <w:rFonts w:ascii="Times New Roman" w:hAnsi="Times New Roman"/>
          <w:sz w:val="28"/>
          <w:szCs w:val="28"/>
          <w:lang w:val="ru-RU"/>
        </w:rPr>
        <w:t xml:space="preserve"> [237]</w:t>
      </w:r>
      <w:r w:rsidR="001645FD" w:rsidRPr="00770E10">
        <w:rPr>
          <w:rFonts w:ascii="Times New Roman" w:hAnsi="Times New Roman"/>
          <w:sz w:val="28"/>
          <w:szCs w:val="28"/>
          <w:lang w:val="uk-UA"/>
        </w:rPr>
        <w:t xml:space="preserve">. </w:t>
      </w:r>
    </w:p>
    <w:p w14:paraId="3346E2EF" w14:textId="77777777" w:rsidR="00A81FA8" w:rsidRDefault="001645FD" w:rsidP="001645FD">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Для вивчення рівню муцину у стерильні пробірки так само збирали натщесерце нестимульовану ротову рідину, аналіз проводили у лабораторних умовах за методикою Стрелец Е.В. </w:t>
      </w:r>
      <w:r w:rsidRPr="001645FD">
        <w:rPr>
          <w:rFonts w:ascii="Times New Roman" w:hAnsi="Times New Roman"/>
          <w:sz w:val="28"/>
          <w:szCs w:val="28"/>
          <w:lang w:val="ru-RU"/>
        </w:rPr>
        <w:t>[</w:t>
      </w:r>
      <w:r w:rsidR="00A81FA8" w:rsidRPr="005A47B1">
        <w:rPr>
          <w:rFonts w:ascii="Times New Roman" w:hAnsi="Times New Roman"/>
          <w:sz w:val="28"/>
          <w:szCs w:val="28"/>
          <w:lang w:val="ru-RU"/>
        </w:rPr>
        <w:t>238</w:t>
      </w:r>
      <w:r w:rsidRPr="001645FD">
        <w:rPr>
          <w:rFonts w:ascii="Times New Roman" w:hAnsi="Times New Roman"/>
          <w:sz w:val="28"/>
          <w:szCs w:val="28"/>
          <w:lang w:val="ru-RU"/>
        </w:rPr>
        <w:t>]</w:t>
      </w:r>
      <w:r w:rsidRPr="001645FD">
        <w:rPr>
          <w:rFonts w:ascii="Times New Roman" w:hAnsi="Times New Roman"/>
          <w:sz w:val="28"/>
          <w:szCs w:val="28"/>
          <w:lang w:val="uk-UA"/>
        </w:rPr>
        <w:t>.</w:t>
      </w:r>
      <w:r w:rsidRPr="001645FD">
        <w:rPr>
          <w:rFonts w:ascii="Times New Roman" w:hAnsi="Times New Roman"/>
          <w:sz w:val="28"/>
          <w:szCs w:val="28"/>
          <w:lang w:val="ru-RU"/>
        </w:rPr>
        <w:t xml:space="preserve"> </w:t>
      </w:r>
    </w:p>
    <w:p w14:paraId="57F01234" w14:textId="417CB9F3" w:rsidR="00AE47A0" w:rsidRPr="00770E10" w:rsidRDefault="00FB4D60" w:rsidP="001645FD">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Батьки пацієнтів були проінформовані про мету та методи дослідження, була отримана письмова інформована згода.</w:t>
      </w:r>
      <w:r w:rsidR="00AE47A0">
        <w:rPr>
          <w:rFonts w:ascii="Times New Roman" w:hAnsi="Times New Roman"/>
          <w:sz w:val="28"/>
          <w:szCs w:val="28"/>
          <w:lang w:val="uk-UA"/>
        </w:rPr>
        <w:t xml:space="preserve"> </w:t>
      </w:r>
    </w:p>
    <w:p w14:paraId="5478A006" w14:textId="7E8F9793" w:rsidR="008B5D70" w:rsidRDefault="007E1DF9" w:rsidP="00AE47A0">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Визначення рівня малонового ди</w:t>
      </w:r>
      <w:r w:rsidR="008B5D70" w:rsidRPr="00770E10">
        <w:rPr>
          <w:rFonts w:ascii="Times New Roman" w:hAnsi="Times New Roman"/>
          <w:sz w:val="28"/>
          <w:szCs w:val="28"/>
          <w:lang w:val="uk-UA"/>
        </w:rPr>
        <w:t xml:space="preserve">альдегіду (МДА) проводили за методом </w:t>
      </w:r>
      <w:r w:rsidR="008B5D70" w:rsidRPr="008B5D70">
        <w:rPr>
          <w:rFonts w:ascii="Times New Roman" w:hAnsi="Times New Roman"/>
          <w:sz w:val="28"/>
          <w:szCs w:val="28"/>
          <w:lang w:val="ru-RU"/>
        </w:rPr>
        <w:t>Uchiyma</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w:t>
      </w:r>
      <w:r>
        <w:rPr>
          <w:rFonts w:ascii="Times New Roman" w:hAnsi="Times New Roman"/>
          <w:sz w:val="28"/>
          <w:szCs w:val="28"/>
          <w:lang w:val="uk-UA"/>
        </w:rPr>
        <w:t>.,</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Michara</w:t>
      </w:r>
      <w:r w:rsidR="008B5D70" w:rsidRPr="00770E10">
        <w:rPr>
          <w:rFonts w:ascii="Times New Roman" w:hAnsi="Times New Roman"/>
          <w:sz w:val="28"/>
          <w:szCs w:val="28"/>
          <w:lang w:val="uk-UA"/>
        </w:rPr>
        <w:t xml:space="preserve"> </w:t>
      </w:r>
      <w:r w:rsidR="008B5D70" w:rsidRPr="008B5D70">
        <w:rPr>
          <w:rFonts w:ascii="Times New Roman" w:hAnsi="Times New Roman"/>
          <w:sz w:val="28"/>
          <w:szCs w:val="28"/>
          <w:lang w:val="ru-RU"/>
        </w:rPr>
        <w:t>M</w:t>
      </w:r>
      <w:r w:rsidR="008B5D70" w:rsidRPr="00770E10">
        <w:rPr>
          <w:rFonts w:ascii="Times New Roman" w:hAnsi="Times New Roman"/>
          <w:sz w:val="28"/>
          <w:szCs w:val="28"/>
          <w:lang w:val="uk-UA"/>
        </w:rPr>
        <w:t xml:space="preserve">. в модифікації Волчегорского І.А. і співавт. за тестом з </w:t>
      </w:r>
      <w:r w:rsidR="008B5D70" w:rsidRPr="00770E10">
        <w:rPr>
          <w:rFonts w:ascii="Times New Roman" w:hAnsi="Times New Roman"/>
          <w:sz w:val="28"/>
          <w:szCs w:val="28"/>
          <w:lang w:val="uk-UA"/>
        </w:rPr>
        <w:lastRenderedPageBreak/>
        <w:t xml:space="preserve">тіобарбітурової кислотою </w:t>
      </w:r>
      <w:r w:rsidR="008B5D70" w:rsidRPr="008B5D70">
        <w:rPr>
          <w:rFonts w:ascii="Times New Roman" w:hAnsi="Times New Roman"/>
          <w:sz w:val="28"/>
          <w:szCs w:val="28"/>
          <w:lang w:val="ru-RU"/>
        </w:rPr>
        <w:t>(ТБК)</w:t>
      </w:r>
      <w:r w:rsidR="00A81FA8" w:rsidRPr="005A47B1">
        <w:rPr>
          <w:rFonts w:ascii="Times New Roman" w:hAnsi="Times New Roman"/>
          <w:sz w:val="28"/>
          <w:szCs w:val="28"/>
          <w:lang w:val="ru-RU"/>
        </w:rPr>
        <w:t xml:space="preserve"> [234]</w:t>
      </w:r>
      <w:r w:rsidR="008B5D70" w:rsidRPr="008B5D70">
        <w:rPr>
          <w:rFonts w:ascii="Times New Roman" w:hAnsi="Times New Roman"/>
          <w:sz w:val="28"/>
          <w:szCs w:val="28"/>
          <w:lang w:val="ru-RU"/>
        </w:rPr>
        <w:t>. В ході реакції 0,5 мл ротової рідини додавали до 3</w:t>
      </w:r>
      <w:r w:rsidR="008B5D70">
        <w:rPr>
          <w:rFonts w:ascii="Times New Roman" w:hAnsi="Times New Roman"/>
          <w:sz w:val="28"/>
          <w:szCs w:val="28"/>
          <w:lang w:val="ru-RU"/>
        </w:rPr>
        <w:t xml:space="preserve"> мл 0,8% розчину ТБК в 3% орто</w:t>
      </w:r>
      <w:r w:rsidR="008B5D70" w:rsidRPr="008B5D70">
        <w:rPr>
          <w:rFonts w:ascii="Times New Roman" w:hAnsi="Times New Roman"/>
          <w:sz w:val="28"/>
          <w:szCs w:val="28"/>
          <w:lang w:val="ru-RU"/>
        </w:rPr>
        <w:t>фосфорної кислоти. Пробу витримували 45 хв. на киплячій водяній бані, охолоджували і доливали 5 мл нормального бутилового спирту. Через 10-12 годин визначали оптичну щільність на спектрофотометрі СФ-46 при довжині хвилі 535 нм і 580 нм. Вміст МДА розраховували за формулою:</w:t>
      </w:r>
    </w:p>
    <w:p w14:paraId="047E30C4" w14:textId="3EED3249" w:rsidR="008B5D70" w:rsidRDefault="008B5D70" w:rsidP="00893CED">
      <w:pPr>
        <w:spacing w:after="0" w:line="360" w:lineRule="auto"/>
        <w:ind w:firstLine="709"/>
        <w:jc w:val="center"/>
        <w:rPr>
          <w:rFonts w:ascii="Times New Roman" w:hAnsi="Times New Roman"/>
          <w:sz w:val="28"/>
          <w:szCs w:val="28"/>
          <w:lang w:val="ru-RU"/>
        </w:rPr>
      </w:pPr>
      <w:r w:rsidRPr="008B5D70">
        <w:rPr>
          <w:rFonts w:ascii="Times New Roman" w:hAnsi="Times New Roman"/>
          <w:sz w:val="28"/>
          <w:szCs w:val="28"/>
          <w:lang w:val="ru-RU"/>
        </w:rPr>
        <w:t>А = (Е</w:t>
      </w:r>
      <w:r w:rsidRPr="008B5D70">
        <w:rPr>
          <w:rFonts w:ascii="Times New Roman" w:hAnsi="Times New Roman"/>
          <w:sz w:val="28"/>
          <w:szCs w:val="28"/>
          <w:vertAlign w:val="subscript"/>
          <w:lang w:val="ru-RU"/>
        </w:rPr>
        <w:t>535</w:t>
      </w:r>
      <w:r w:rsidRPr="008B5D70">
        <w:rPr>
          <w:rFonts w:ascii="Times New Roman" w:hAnsi="Times New Roman"/>
          <w:sz w:val="28"/>
          <w:szCs w:val="28"/>
          <w:lang w:val="ru-RU"/>
        </w:rPr>
        <w:t xml:space="preserve"> - Е</w:t>
      </w:r>
      <w:r w:rsidRPr="008B5D70">
        <w:rPr>
          <w:rFonts w:ascii="Times New Roman" w:hAnsi="Times New Roman"/>
          <w:sz w:val="28"/>
          <w:szCs w:val="28"/>
          <w:vertAlign w:val="subscript"/>
          <w:lang w:val="ru-RU"/>
        </w:rPr>
        <w:t>580</w:t>
      </w:r>
      <w:r w:rsidRPr="008B5D70">
        <w:rPr>
          <w:rFonts w:ascii="Times New Roman" w:hAnsi="Times New Roman"/>
          <w:sz w:val="28"/>
          <w:szCs w:val="28"/>
          <w:lang w:val="ru-RU"/>
        </w:rPr>
        <w:t>) х К х 0Х,</w:t>
      </w:r>
      <w:r w:rsidR="00893CED">
        <w:rPr>
          <w:rFonts w:ascii="Times New Roman" w:hAnsi="Times New Roman"/>
          <w:sz w:val="28"/>
          <w:szCs w:val="28"/>
          <w:lang w:val="ru-RU"/>
        </w:rPr>
        <w:t xml:space="preserve">                                             (3)</w:t>
      </w:r>
    </w:p>
    <w:p w14:paraId="5865E0AB"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де Е</w:t>
      </w:r>
      <w:r w:rsidRPr="008B5D70">
        <w:rPr>
          <w:rFonts w:ascii="Times New Roman" w:hAnsi="Times New Roman"/>
          <w:sz w:val="28"/>
          <w:szCs w:val="28"/>
          <w:vertAlign w:val="subscript"/>
          <w:lang w:val="ru-RU"/>
        </w:rPr>
        <w:t>535</w:t>
      </w:r>
      <w:r w:rsidRPr="008B5D70">
        <w:rPr>
          <w:rFonts w:ascii="Times New Roman" w:hAnsi="Times New Roman"/>
          <w:sz w:val="28"/>
          <w:szCs w:val="28"/>
          <w:lang w:val="ru-RU"/>
        </w:rPr>
        <w:t xml:space="preserve"> і Е</w:t>
      </w:r>
      <w:r w:rsidRPr="008B5D70">
        <w:rPr>
          <w:rFonts w:ascii="Times New Roman" w:hAnsi="Times New Roman"/>
          <w:sz w:val="28"/>
          <w:szCs w:val="28"/>
          <w:vertAlign w:val="subscript"/>
          <w:lang w:val="ru-RU"/>
        </w:rPr>
        <w:t>580</w:t>
      </w:r>
      <w:r w:rsidRPr="008B5D70">
        <w:rPr>
          <w:rFonts w:ascii="Times New Roman" w:hAnsi="Times New Roman"/>
          <w:sz w:val="28"/>
          <w:szCs w:val="28"/>
          <w:lang w:val="ru-RU"/>
        </w:rPr>
        <w:t xml:space="preserve"> - оптичні щільності проби при цих довжинах хвиль,</w:t>
      </w:r>
    </w:p>
    <w:p w14:paraId="5768F874"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К - коефіцієнт молярної екстинкції 1,88 х 10</w:t>
      </w:r>
      <w:r w:rsidRPr="008B5D70">
        <w:rPr>
          <w:rFonts w:ascii="Times New Roman" w:hAnsi="Times New Roman"/>
          <w:sz w:val="28"/>
          <w:szCs w:val="28"/>
          <w:vertAlign w:val="superscript"/>
          <w:lang w:val="ru-RU"/>
        </w:rPr>
        <w:t>-5</w:t>
      </w:r>
      <w:r w:rsidRPr="008B5D70">
        <w:rPr>
          <w:rFonts w:ascii="Times New Roman" w:hAnsi="Times New Roman"/>
          <w:sz w:val="28"/>
          <w:szCs w:val="28"/>
          <w:lang w:val="ru-RU"/>
        </w:rPr>
        <w:t xml:space="preserve"> М</w:t>
      </w:r>
      <w:r w:rsidRPr="008B5D70">
        <w:rPr>
          <w:rFonts w:ascii="Times New Roman" w:hAnsi="Times New Roman"/>
          <w:sz w:val="28"/>
          <w:szCs w:val="28"/>
          <w:vertAlign w:val="superscript"/>
          <w:lang w:val="ru-RU"/>
        </w:rPr>
        <w:t>-1</w:t>
      </w:r>
      <w:r w:rsidRPr="008B5D70">
        <w:rPr>
          <w:rFonts w:ascii="Times New Roman" w:hAnsi="Times New Roman"/>
          <w:sz w:val="28"/>
          <w:szCs w:val="28"/>
          <w:lang w:val="ru-RU"/>
        </w:rPr>
        <w:t>х см</w:t>
      </w:r>
      <w:r w:rsidRPr="008B5D70">
        <w:rPr>
          <w:rFonts w:ascii="Times New Roman" w:hAnsi="Times New Roman"/>
          <w:sz w:val="28"/>
          <w:szCs w:val="28"/>
          <w:vertAlign w:val="superscript"/>
          <w:lang w:val="ru-RU"/>
        </w:rPr>
        <w:t>-1</w:t>
      </w:r>
      <w:r w:rsidRPr="008B5D70">
        <w:rPr>
          <w:rFonts w:ascii="Times New Roman" w:hAnsi="Times New Roman"/>
          <w:sz w:val="28"/>
          <w:szCs w:val="28"/>
          <w:lang w:val="ru-RU"/>
        </w:rPr>
        <w:t>;</w:t>
      </w:r>
    </w:p>
    <w:p w14:paraId="71106F67" w14:textId="77777777" w:rsidR="008B5D70" w:rsidRP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0Х - розведення проби.</w:t>
      </w:r>
    </w:p>
    <w:p w14:paraId="5BDA1CC2" w14:textId="1E8EA686" w:rsidR="008B5D70" w:rsidRDefault="008B5D70" w:rsidP="008B5D70">
      <w:pPr>
        <w:spacing w:after="0" w:line="360" w:lineRule="auto"/>
        <w:ind w:firstLine="709"/>
        <w:jc w:val="both"/>
        <w:rPr>
          <w:rFonts w:ascii="Times New Roman" w:hAnsi="Times New Roman"/>
          <w:sz w:val="28"/>
          <w:szCs w:val="28"/>
          <w:lang w:val="ru-RU"/>
        </w:rPr>
      </w:pPr>
      <w:r w:rsidRPr="008B5D70">
        <w:rPr>
          <w:rFonts w:ascii="Times New Roman" w:hAnsi="Times New Roman"/>
          <w:sz w:val="28"/>
          <w:szCs w:val="28"/>
          <w:lang w:val="ru-RU"/>
        </w:rPr>
        <w:t>Вміст МДА в пробі висловлювали в мікромолі на літр (мкМ / л) ротової рідини.</w:t>
      </w:r>
    </w:p>
    <w:p w14:paraId="0F7001E6" w14:textId="55A9D666"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каталаз</w:t>
      </w:r>
      <w:r w:rsidR="00893CED">
        <w:rPr>
          <w:rFonts w:ascii="Times New Roman" w:hAnsi="Times New Roman"/>
          <w:sz w:val="28"/>
          <w:szCs w:val="28"/>
          <w:lang w:val="ru-RU"/>
        </w:rPr>
        <w:t>и визначали методом, заснованим</w:t>
      </w:r>
      <w:r w:rsidRPr="00420CC8">
        <w:rPr>
          <w:rFonts w:ascii="Times New Roman" w:hAnsi="Times New Roman"/>
          <w:sz w:val="28"/>
          <w:szCs w:val="28"/>
          <w:lang w:val="ru-RU"/>
        </w:rPr>
        <w:t xml:space="preserve"> на здатності перекису водню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утворювати з солями молібдену стійкий забарвлений комплекс. До 0,1 мл ротової рідини додавали 2 мл 0,03% розчину перекису водню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і через 10 хв. - 1 мл 4% розчину молибденовок</w:t>
      </w:r>
      <w:r w:rsidR="00893CED">
        <w:rPr>
          <w:rFonts w:ascii="Times New Roman" w:hAnsi="Times New Roman"/>
          <w:sz w:val="28"/>
          <w:szCs w:val="28"/>
          <w:lang w:val="ru-RU"/>
        </w:rPr>
        <w:t>ислого амонію. Паралельно кожній</w:t>
      </w:r>
      <w:r w:rsidRPr="00420CC8">
        <w:rPr>
          <w:rFonts w:ascii="Times New Roman" w:hAnsi="Times New Roman"/>
          <w:sz w:val="28"/>
          <w:szCs w:val="28"/>
          <w:lang w:val="ru-RU"/>
        </w:rPr>
        <w:t xml:space="preserve"> дослідній пробі ста</w:t>
      </w:r>
      <w:r w:rsidR="0025200C">
        <w:rPr>
          <w:rFonts w:ascii="Times New Roman" w:hAnsi="Times New Roman"/>
          <w:sz w:val="28"/>
          <w:szCs w:val="28"/>
          <w:lang w:val="ru-RU"/>
        </w:rPr>
        <w:t>вили холосту, в яку додавали всі</w:t>
      </w:r>
      <w:r w:rsidRPr="00420CC8">
        <w:rPr>
          <w:rFonts w:ascii="Times New Roman" w:hAnsi="Times New Roman"/>
          <w:sz w:val="28"/>
          <w:szCs w:val="28"/>
          <w:lang w:val="ru-RU"/>
        </w:rPr>
        <w:t xml:space="preserve"> реактиви, а замість досліджуваної рідини - 0,1 мл води. Визначали оптичну щільність на спектрофотометрі СФ-46 при довжині хвилі 410 нм. Активність каталази розраховували за формулою:</w:t>
      </w:r>
    </w:p>
    <w:p w14:paraId="57058D6D" w14:textId="4C0CDFAF" w:rsidR="00420CC8" w:rsidRPr="00420CC8" w:rsidRDefault="00420CC8" w:rsidP="00893CED">
      <w:pPr>
        <w:spacing w:after="0" w:line="360" w:lineRule="auto"/>
        <w:ind w:firstLine="709"/>
        <w:jc w:val="center"/>
        <w:rPr>
          <w:rFonts w:ascii="Times New Roman" w:hAnsi="Times New Roman"/>
          <w:sz w:val="28"/>
          <w:szCs w:val="28"/>
          <w:lang w:val="ru-RU"/>
        </w:rPr>
      </w:pPr>
      <w:r w:rsidRPr="00420CC8">
        <w:rPr>
          <w:rFonts w:ascii="Times New Roman" w:hAnsi="Times New Roman"/>
          <w:sz w:val="28"/>
          <w:szCs w:val="28"/>
          <w:lang w:val="ru-RU"/>
        </w:rPr>
        <w:t>А = (Е</w:t>
      </w:r>
      <w:r w:rsidRPr="00420CC8">
        <w:rPr>
          <w:rFonts w:ascii="Times New Roman" w:hAnsi="Times New Roman"/>
          <w:sz w:val="28"/>
          <w:szCs w:val="28"/>
          <w:vertAlign w:val="subscript"/>
          <w:lang w:val="ru-RU"/>
        </w:rPr>
        <w:t>х</w:t>
      </w:r>
      <w:r w:rsidRPr="00420CC8">
        <w:rPr>
          <w:rFonts w:ascii="Times New Roman" w:hAnsi="Times New Roman"/>
          <w:sz w:val="28"/>
          <w:szCs w:val="28"/>
          <w:lang w:val="ru-RU"/>
        </w:rPr>
        <w:t xml:space="preserve"> - Е</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х 4,44</w:t>
      </w:r>
      <w:r w:rsidR="00893CED">
        <w:rPr>
          <w:rFonts w:ascii="Times New Roman" w:hAnsi="Times New Roman"/>
          <w:sz w:val="28"/>
          <w:szCs w:val="28"/>
          <w:lang w:val="ru-RU"/>
        </w:rPr>
        <w:t xml:space="preserve">                                   (4)</w:t>
      </w:r>
    </w:p>
    <w:p w14:paraId="0B0F6345"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де Е</w:t>
      </w:r>
      <w:r w:rsidRPr="00420CC8">
        <w:rPr>
          <w:rFonts w:ascii="Times New Roman" w:hAnsi="Times New Roman"/>
          <w:sz w:val="28"/>
          <w:szCs w:val="28"/>
          <w:vertAlign w:val="subscript"/>
          <w:lang w:val="ru-RU"/>
        </w:rPr>
        <w:t>х</w:t>
      </w:r>
      <w:r w:rsidRPr="00420CC8">
        <w:rPr>
          <w:rFonts w:ascii="Times New Roman" w:hAnsi="Times New Roman"/>
          <w:sz w:val="28"/>
          <w:szCs w:val="28"/>
          <w:lang w:val="ru-RU"/>
        </w:rPr>
        <w:t xml:space="preserve"> і Е</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xml:space="preserve"> - оптична щільність холостий і дослідної проби;</w:t>
      </w:r>
    </w:p>
    <w:p w14:paraId="68600B48"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4.44 - коефіцієнт перерахунку.</w:t>
      </w:r>
    </w:p>
    <w:p w14:paraId="61972FEE" w14:textId="74FD5762" w:rsidR="008B5D70"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ферменту виражали в умовних одиницях (у.о.). 1 у.о. = 1 мМ H</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O</w:t>
      </w:r>
      <w:r w:rsidRPr="00420CC8">
        <w:rPr>
          <w:rFonts w:ascii="Times New Roman" w:hAnsi="Times New Roman"/>
          <w:sz w:val="28"/>
          <w:szCs w:val="28"/>
          <w:vertAlign w:val="subscript"/>
          <w:lang w:val="ru-RU"/>
        </w:rPr>
        <w:t>2</w:t>
      </w:r>
      <w:r w:rsidRPr="00420CC8">
        <w:rPr>
          <w:rFonts w:ascii="Times New Roman" w:hAnsi="Times New Roman"/>
          <w:sz w:val="28"/>
          <w:szCs w:val="28"/>
          <w:lang w:val="ru-RU"/>
        </w:rPr>
        <w:t xml:space="preserve"> хв / л ротової рідини</w:t>
      </w:r>
      <w:r>
        <w:rPr>
          <w:rFonts w:ascii="Times New Roman" w:hAnsi="Times New Roman"/>
          <w:sz w:val="28"/>
          <w:szCs w:val="28"/>
          <w:lang w:val="ru-RU"/>
        </w:rPr>
        <w:t xml:space="preserve"> </w:t>
      </w:r>
      <w:sdt>
        <w:sdtPr>
          <w:rPr>
            <w:rFonts w:ascii="Times New Roman" w:hAnsi="Times New Roman"/>
            <w:sz w:val="28"/>
            <w:szCs w:val="28"/>
            <w:lang w:val="ru-RU"/>
          </w:rPr>
          <w:id w:val="-1569714292"/>
          <w:citation/>
        </w:sdtPr>
        <w:sdtEndPr/>
        <w:sdtContent>
          <w:r>
            <w:rPr>
              <w:rFonts w:ascii="Times New Roman" w:hAnsi="Times New Roman"/>
              <w:sz w:val="28"/>
              <w:szCs w:val="28"/>
              <w:lang w:val="ru-RU"/>
            </w:rPr>
            <w:fldChar w:fldCharType="begin"/>
          </w:r>
          <w:r>
            <w:rPr>
              <w:rFonts w:ascii="Times New Roman" w:hAnsi="Times New Roman"/>
              <w:sz w:val="28"/>
              <w:szCs w:val="28"/>
              <w:lang w:val="uk-UA"/>
            </w:rPr>
            <w:instrText xml:space="preserve"> CITATION Бар91 \l 1058 </w:instrText>
          </w:r>
          <w:r>
            <w:rPr>
              <w:rFonts w:ascii="Times New Roman" w:hAnsi="Times New Roman"/>
              <w:sz w:val="28"/>
              <w:szCs w:val="28"/>
              <w:lang w:val="ru-RU"/>
            </w:rPr>
            <w:fldChar w:fldCharType="separate"/>
          </w:r>
          <w:r w:rsidR="000953B6" w:rsidRPr="000953B6">
            <w:rPr>
              <w:rFonts w:ascii="Times New Roman" w:hAnsi="Times New Roman"/>
              <w:noProof/>
              <w:sz w:val="28"/>
              <w:szCs w:val="28"/>
              <w:lang w:val="uk-UA"/>
            </w:rPr>
            <w:t>[81]</w:t>
          </w:r>
          <w:r>
            <w:rPr>
              <w:rFonts w:ascii="Times New Roman" w:hAnsi="Times New Roman"/>
              <w:sz w:val="28"/>
              <w:szCs w:val="28"/>
              <w:lang w:val="ru-RU"/>
            </w:rPr>
            <w:fldChar w:fldCharType="end"/>
          </w:r>
        </w:sdtContent>
      </w:sdt>
      <w:r w:rsidRPr="00420CC8">
        <w:rPr>
          <w:rFonts w:ascii="Times New Roman" w:hAnsi="Times New Roman"/>
          <w:sz w:val="28"/>
          <w:szCs w:val="28"/>
          <w:lang w:val="ru-RU"/>
        </w:rPr>
        <w:t>.</w:t>
      </w:r>
    </w:p>
    <w:p w14:paraId="6D105ECF" w14:textId="7387E34E"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супероксиддисмутази визначали методом окислення кверцетину в</w:t>
      </w:r>
      <w:r w:rsidR="00A81FA8">
        <w:rPr>
          <w:rFonts w:ascii="Times New Roman" w:hAnsi="Times New Roman"/>
          <w:sz w:val="28"/>
          <w:szCs w:val="28"/>
          <w:lang w:val="ru-RU"/>
        </w:rPr>
        <w:t xml:space="preserve"> модифікації В.А.Костюка і спів</w:t>
      </w:r>
      <w:r w:rsidR="00A81FA8">
        <w:rPr>
          <w:rFonts w:ascii="Times New Roman" w:hAnsi="Times New Roman"/>
          <w:sz w:val="28"/>
          <w:szCs w:val="28"/>
          <w:lang w:val="uk-UA"/>
        </w:rPr>
        <w:t>авторів</w:t>
      </w:r>
      <w:r w:rsidR="00A81FA8" w:rsidRPr="00A81FA8">
        <w:rPr>
          <w:rFonts w:ascii="Times New Roman" w:hAnsi="Times New Roman"/>
          <w:sz w:val="28"/>
          <w:szCs w:val="28"/>
          <w:lang w:val="ru-RU"/>
        </w:rPr>
        <w:t xml:space="preserve"> [</w:t>
      </w:r>
      <w:r w:rsidR="00A81FA8">
        <w:rPr>
          <w:rFonts w:ascii="Times New Roman" w:hAnsi="Times New Roman"/>
          <w:sz w:val="28"/>
          <w:szCs w:val="28"/>
          <w:lang w:val="ru-RU"/>
        </w:rPr>
        <w:t>236</w:t>
      </w:r>
      <w:r w:rsidR="00A81FA8" w:rsidRPr="00A81FA8">
        <w:rPr>
          <w:rFonts w:ascii="Times New Roman" w:hAnsi="Times New Roman"/>
          <w:sz w:val="28"/>
          <w:szCs w:val="28"/>
          <w:lang w:val="ru-RU"/>
        </w:rPr>
        <w:t>]</w:t>
      </w:r>
      <w:r w:rsidRPr="00420CC8">
        <w:rPr>
          <w:rFonts w:ascii="Times New Roman" w:hAnsi="Times New Roman"/>
          <w:sz w:val="28"/>
          <w:szCs w:val="28"/>
          <w:lang w:val="ru-RU"/>
        </w:rPr>
        <w:t>. До 0,05 мл ротової рідини додавали 0,5 мл 0,015 М фосфатног</w:t>
      </w:r>
      <w:r w:rsidR="0025200C">
        <w:rPr>
          <w:rFonts w:ascii="Times New Roman" w:hAnsi="Times New Roman"/>
          <w:sz w:val="28"/>
          <w:szCs w:val="28"/>
          <w:lang w:val="ru-RU"/>
        </w:rPr>
        <w:t>о буфера (рН 7,8); 0,5 мл розчину</w:t>
      </w:r>
      <w:r w:rsidRPr="00420CC8">
        <w:rPr>
          <w:rFonts w:ascii="Times New Roman" w:hAnsi="Times New Roman"/>
          <w:sz w:val="28"/>
          <w:szCs w:val="28"/>
          <w:lang w:val="ru-RU"/>
        </w:rPr>
        <w:t xml:space="preserve">, що містить 0,08 мМ ЕДТА і 0,8 мМ ТМЕДА; 3,5 мл води і 0,1 мл 0,14 мМ розчину кверцетину в ДМСО. До кожної дослідній пробі ставили холосту, в яку вносили </w:t>
      </w:r>
      <w:r w:rsidRPr="00420CC8">
        <w:rPr>
          <w:rFonts w:ascii="Times New Roman" w:hAnsi="Times New Roman"/>
          <w:sz w:val="28"/>
          <w:szCs w:val="28"/>
          <w:lang w:val="ru-RU"/>
        </w:rPr>
        <w:lastRenderedPageBreak/>
        <w:t>всі реактиви крім досліджуваної рідини. Оптичну щільність проб визначали на СФ-46 при довжині хвилі 406 нм відразу і через 20 хв. інкубації при t</w:t>
      </w:r>
      <w:r w:rsidRPr="00BC3FD7">
        <w:rPr>
          <w:rFonts w:ascii="Times New Roman" w:hAnsi="Times New Roman"/>
          <w:sz w:val="28"/>
          <w:szCs w:val="28"/>
          <w:vertAlign w:val="superscript"/>
          <w:lang w:val="ru-RU"/>
        </w:rPr>
        <w:t>o</w:t>
      </w:r>
      <w:r w:rsidRPr="00420CC8">
        <w:rPr>
          <w:rFonts w:ascii="Times New Roman" w:hAnsi="Times New Roman"/>
          <w:sz w:val="28"/>
          <w:szCs w:val="28"/>
          <w:lang w:val="ru-RU"/>
        </w:rPr>
        <w:t xml:space="preserve"> = 37</w:t>
      </w:r>
      <w:r w:rsidRPr="00BC3FD7">
        <w:rPr>
          <w:rFonts w:ascii="Times New Roman" w:hAnsi="Times New Roman"/>
          <w:sz w:val="28"/>
          <w:szCs w:val="28"/>
          <w:vertAlign w:val="superscript"/>
          <w:lang w:val="ru-RU"/>
        </w:rPr>
        <w:t>o</w:t>
      </w:r>
      <w:r w:rsidRPr="00420CC8">
        <w:rPr>
          <w:rFonts w:ascii="Times New Roman" w:hAnsi="Times New Roman"/>
          <w:sz w:val="28"/>
          <w:szCs w:val="28"/>
          <w:lang w:val="ru-RU"/>
        </w:rPr>
        <w:t>C. Активність супероксиддисмутази розраховували за формулою:</w:t>
      </w:r>
    </w:p>
    <w:p w14:paraId="28120E08" w14:textId="53D25630" w:rsidR="00420CC8" w:rsidRPr="00114791" w:rsidRDefault="00420CC8" w:rsidP="00893CED">
      <w:pPr>
        <w:spacing w:after="0" w:line="240" w:lineRule="auto"/>
        <w:ind w:left="2880" w:firstLine="720"/>
        <w:rPr>
          <w:rFonts w:ascii="Times New Roman" w:hAnsi="Times New Roman"/>
          <w:sz w:val="28"/>
          <w:szCs w:val="28"/>
          <w:lang w:val="ru-RU"/>
        </w:rPr>
      </w:pP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к</w:t>
      </w:r>
      <w:r w:rsidRPr="00114791">
        <w:rPr>
          <w:rFonts w:ascii="Times New Roman" w:hAnsi="Times New Roman"/>
          <w:sz w:val="28"/>
          <w:szCs w:val="28"/>
          <w:lang w:val="ru-RU"/>
        </w:rPr>
        <w:t xml:space="preserve"> - </w:t>
      </w: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о</w:t>
      </w:r>
    </w:p>
    <w:p w14:paraId="57B112DC" w14:textId="74E41539" w:rsidR="00420CC8" w:rsidRPr="00114791" w:rsidRDefault="00420CC8" w:rsidP="00893CED">
      <w:pPr>
        <w:spacing w:after="0" w:line="240" w:lineRule="auto"/>
        <w:ind w:firstLine="709"/>
        <w:jc w:val="center"/>
        <w:rPr>
          <w:rFonts w:ascii="Times New Roman" w:hAnsi="Times New Roman"/>
          <w:sz w:val="28"/>
          <w:szCs w:val="28"/>
          <w:lang w:val="ru-RU"/>
        </w:rPr>
      </w:pPr>
      <w:r w:rsidRPr="00893CED">
        <w:rPr>
          <w:rFonts w:ascii="Times New Roman" w:hAnsi="Times New Roman"/>
          <w:sz w:val="28"/>
          <w:szCs w:val="28"/>
        </w:rPr>
        <w:t>A</w:t>
      </w:r>
      <w:r w:rsidRPr="00114791">
        <w:rPr>
          <w:rFonts w:ascii="Times New Roman" w:hAnsi="Times New Roman"/>
          <w:sz w:val="28"/>
          <w:szCs w:val="28"/>
          <w:lang w:val="ru-RU"/>
        </w:rPr>
        <w:t xml:space="preserve"> =   </w:t>
      </w:r>
      <w:r w:rsidR="00893CED" w:rsidRPr="00114791">
        <w:rPr>
          <w:rFonts w:ascii="Times New Roman" w:hAnsi="Times New Roman"/>
          <w:sz w:val="28"/>
          <w:szCs w:val="28"/>
          <w:lang w:val="ru-RU"/>
        </w:rPr>
        <w:t xml:space="preserve"> </w:t>
      </w:r>
      <w:r w:rsidRPr="00114791">
        <w:rPr>
          <w:rFonts w:ascii="Times New Roman" w:hAnsi="Times New Roman"/>
          <w:sz w:val="28"/>
          <w:szCs w:val="28"/>
          <w:lang w:val="ru-RU"/>
        </w:rPr>
        <w:t xml:space="preserve">-----------       </w:t>
      </w:r>
      <w:r w:rsidRPr="00893CED">
        <w:rPr>
          <w:rFonts w:ascii="Times New Roman" w:hAnsi="Times New Roman"/>
          <w:sz w:val="28"/>
          <w:szCs w:val="28"/>
        </w:rPr>
        <w:t>x</w:t>
      </w:r>
      <w:r w:rsidRPr="00114791">
        <w:rPr>
          <w:rFonts w:ascii="Times New Roman" w:hAnsi="Times New Roman"/>
          <w:sz w:val="28"/>
          <w:szCs w:val="28"/>
          <w:lang w:val="ru-RU"/>
        </w:rPr>
        <w:t xml:space="preserve"> 8</w:t>
      </w:r>
      <w:r w:rsidR="00893CED" w:rsidRPr="00114791">
        <w:rPr>
          <w:rFonts w:ascii="Times New Roman" w:hAnsi="Times New Roman"/>
          <w:sz w:val="28"/>
          <w:szCs w:val="28"/>
          <w:lang w:val="ru-RU"/>
        </w:rPr>
        <w:t xml:space="preserve">                      (5)</w:t>
      </w:r>
    </w:p>
    <w:p w14:paraId="7E8D4AD1" w14:textId="47415869" w:rsidR="00420CC8" w:rsidRPr="00114791" w:rsidRDefault="00420CC8" w:rsidP="00893CED">
      <w:pPr>
        <w:spacing w:after="0" w:line="240" w:lineRule="auto"/>
        <w:ind w:left="2880" w:firstLine="720"/>
        <w:rPr>
          <w:rFonts w:ascii="Times New Roman" w:hAnsi="Times New Roman"/>
          <w:sz w:val="28"/>
          <w:szCs w:val="28"/>
          <w:lang w:val="ru-RU"/>
        </w:rPr>
      </w:pPr>
      <w:r w:rsidRPr="00420CC8">
        <w:rPr>
          <w:rFonts w:ascii="Times New Roman" w:hAnsi="Times New Roman"/>
          <w:sz w:val="28"/>
          <w:szCs w:val="28"/>
          <w:vertAlign w:val="subscript"/>
          <w:lang w:val="ru-RU"/>
        </w:rPr>
        <w:t>д</w:t>
      </w:r>
      <w:r w:rsidRPr="00893CED">
        <w:rPr>
          <w:rFonts w:ascii="Times New Roman" w:hAnsi="Times New Roman"/>
          <w:sz w:val="28"/>
          <w:szCs w:val="28"/>
        </w:rPr>
        <w:t>D</w:t>
      </w:r>
      <w:r w:rsidRPr="00420CC8">
        <w:rPr>
          <w:rFonts w:ascii="Times New Roman" w:hAnsi="Times New Roman"/>
          <w:sz w:val="28"/>
          <w:szCs w:val="28"/>
          <w:vertAlign w:val="subscript"/>
          <w:lang w:val="ru-RU"/>
        </w:rPr>
        <w:t>к</w:t>
      </w:r>
    </w:p>
    <w:p w14:paraId="25C6291E"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 xml:space="preserve">де </w:t>
      </w:r>
      <w:r w:rsidRPr="00420CC8">
        <w:rPr>
          <w:rFonts w:ascii="Times New Roman" w:hAnsi="Times New Roman"/>
          <w:sz w:val="28"/>
          <w:szCs w:val="28"/>
          <w:vertAlign w:val="subscript"/>
          <w:lang w:val="ru-RU"/>
        </w:rPr>
        <w:t>д</w:t>
      </w:r>
      <w:r w:rsidRPr="00420CC8">
        <w:rPr>
          <w:rFonts w:ascii="Times New Roman" w:hAnsi="Times New Roman"/>
          <w:sz w:val="28"/>
          <w:szCs w:val="28"/>
          <w:lang w:val="ru-RU"/>
        </w:rPr>
        <w:t>D</w:t>
      </w:r>
      <w:r w:rsidRPr="00420CC8">
        <w:rPr>
          <w:rFonts w:ascii="Times New Roman" w:hAnsi="Times New Roman"/>
          <w:sz w:val="28"/>
          <w:szCs w:val="28"/>
          <w:vertAlign w:val="subscript"/>
          <w:lang w:val="ru-RU"/>
        </w:rPr>
        <w:t>к</w:t>
      </w:r>
      <w:r w:rsidRPr="00420CC8">
        <w:rPr>
          <w:rFonts w:ascii="Times New Roman" w:hAnsi="Times New Roman"/>
          <w:sz w:val="28"/>
          <w:szCs w:val="28"/>
          <w:lang w:val="ru-RU"/>
        </w:rPr>
        <w:t xml:space="preserve"> - різниця між показниками через 20 хв. контрольної проби;</w:t>
      </w:r>
    </w:p>
    <w:p w14:paraId="3E243AF7" w14:textId="77777777"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vertAlign w:val="subscript"/>
          <w:lang w:val="ru-RU"/>
        </w:rPr>
        <w:t>д</w:t>
      </w:r>
      <w:r w:rsidRPr="00420CC8">
        <w:rPr>
          <w:rFonts w:ascii="Times New Roman" w:hAnsi="Times New Roman"/>
          <w:sz w:val="28"/>
          <w:szCs w:val="28"/>
          <w:lang w:val="ru-RU"/>
        </w:rPr>
        <w:t>D</w:t>
      </w:r>
      <w:r w:rsidRPr="00420CC8">
        <w:rPr>
          <w:rFonts w:ascii="Times New Roman" w:hAnsi="Times New Roman"/>
          <w:sz w:val="28"/>
          <w:szCs w:val="28"/>
          <w:vertAlign w:val="subscript"/>
          <w:lang w:val="ru-RU"/>
        </w:rPr>
        <w:t>о</w:t>
      </w:r>
      <w:r w:rsidRPr="00420CC8">
        <w:rPr>
          <w:rFonts w:ascii="Times New Roman" w:hAnsi="Times New Roman"/>
          <w:sz w:val="28"/>
          <w:szCs w:val="28"/>
          <w:lang w:val="ru-RU"/>
        </w:rPr>
        <w:t xml:space="preserve"> - різниця між показниками через 20 хв. дослідної проби;</w:t>
      </w:r>
    </w:p>
    <w:p w14:paraId="0EF6F21F" w14:textId="389CB8F0" w:rsidR="00420CC8" w:rsidRPr="00420CC8" w:rsidRDefault="00420CC8" w:rsidP="00420CC8">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8</w:t>
      </w:r>
      <w:r w:rsidR="00700B4C">
        <w:rPr>
          <w:rFonts w:ascii="Times New Roman" w:hAnsi="Times New Roman"/>
          <w:sz w:val="28"/>
          <w:szCs w:val="28"/>
          <w:lang w:val="ru-RU"/>
        </w:rPr>
        <w:t xml:space="preserve"> - коефіцієнт перерахунку в у.од</w:t>
      </w:r>
      <w:r w:rsidRPr="00420CC8">
        <w:rPr>
          <w:rFonts w:ascii="Times New Roman" w:hAnsi="Times New Roman"/>
          <w:sz w:val="28"/>
          <w:szCs w:val="28"/>
          <w:lang w:val="ru-RU"/>
        </w:rPr>
        <w:t>.</w:t>
      </w:r>
    </w:p>
    <w:p w14:paraId="1A2077D1" w14:textId="58DB1CBD" w:rsidR="00BC3FD7" w:rsidRPr="00792595" w:rsidRDefault="00420CC8" w:rsidP="00792595">
      <w:pPr>
        <w:spacing w:after="0" w:line="360" w:lineRule="auto"/>
        <w:ind w:firstLine="709"/>
        <w:jc w:val="both"/>
        <w:rPr>
          <w:rFonts w:ascii="Times New Roman" w:hAnsi="Times New Roman"/>
          <w:sz w:val="28"/>
          <w:szCs w:val="28"/>
          <w:lang w:val="ru-RU"/>
        </w:rPr>
      </w:pPr>
      <w:r w:rsidRPr="00420CC8">
        <w:rPr>
          <w:rFonts w:ascii="Times New Roman" w:hAnsi="Times New Roman"/>
          <w:sz w:val="28"/>
          <w:szCs w:val="28"/>
          <w:lang w:val="ru-RU"/>
        </w:rPr>
        <w:t>Активність ферменту виражали в у.о. / л ротової рідини.</w:t>
      </w:r>
    </w:p>
    <w:p w14:paraId="6ECEF882" w14:textId="12C7C732" w:rsidR="005E471D" w:rsidRDefault="005E471D" w:rsidP="008A119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активності лізоциму у</w:t>
      </w:r>
      <w:r w:rsidRPr="005E471D">
        <w:rPr>
          <w:rFonts w:ascii="Times New Roman" w:hAnsi="Times New Roman"/>
          <w:sz w:val="28"/>
          <w:szCs w:val="28"/>
          <w:lang w:val="uk-UA"/>
        </w:rPr>
        <w:t xml:space="preserve"> ротовій рідині проводили бактеріологічним методом Горіна та співавт. в модифікації Левицького і Жігіной</w:t>
      </w:r>
      <w:r w:rsidR="00A81FA8">
        <w:rPr>
          <w:rFonts w:ascii="Times New Roman" w:hAnsi="Times New Roman"/>
          <w:sz w:val="28"/>
          <w:szCs w:val="28"/>
          <w:lang w:val="uk-UA"/>
        </w:rPr>
        <w:t xml:space="preserve"> </w:t>
      </w:r>
      <w:r w:rsidR="00A81FA8" w:rsidRPr="00A81FA8">
        <w:rPr>
          <w:rFonts w:ascii="Times New Roman" w:hAnsi="Times New Roman"/>
          <w:sz w:val="28"/>
          <w:szCs w:val="28"/>
          <w:lang w:val="ru-RU"/>
        </w:rPr>
        <w:t>[236]</w:t>
      </w:r>
      <w:r w:rsidRPr="005E471D">
        <w:rPr>
          <w:rFonts w:ascii="Times New Roman" w:hAnsi="Times New Roman"/>
          <w:sz w:val="28"/>
          <w:szCs w:val="28"/>
          <w:lang w:val="uk-UA"/>
        </w:rPr>
        <w:t>. У кювету спе</w:t>
      </w:r>
      <w:r>
        <w:rPr>
          <w:rFonts w:ascii="Times New Roman" w:hAnsi="Times New Roman"/>
          <w:sz w:val="28"/>
          <w:szCs w:val="28"/>
          <w:lang w:val="uk-UA"/>
        </w:rPr>
        <w:t>ктрофотометра при термостатуючих умовах вносили</w:t>
      </w:r>
      <w:r w:rsidRPr="005E471D">
        <w:rPr>
          <w:rFonts w:ascii="Times New Roman" w:hAnsi="Times New Roman"/>
          <w:sz w:val="28"/>
          <w:szCs w:val="28"/>
          <w:lang w:val="uk-UA"/>
        </w:rPr>
        <w:t xml:space="preserve"> 3 мл суспензії бактерій Micrococcus lysodekticus (стандартний штам 2665) в ацетатному буфері рН 6,</w:t>
      </w:r>
      <w:r>
        <w:rPr>
          <w:rFonts w:ascii="Times New Roman" w:hAnsi="Times New Roman"/>
          <w:sz w:val="28"/>
          <w:szCs w:val="28"/>
          <w:lang w:val="uk-UA"/>
        </w:rPr>
        <w:t>2; прогрівали</w:t>
      </w:r>
      <w:r w:rsidRPr="005E471D">
        <w:rPr>
          <w:rFonts w:ascii="Times New Roman" w:hAnsi="Times New Roman"/>
          <w:sz w:val="28"/>
          <w:szCs w:val="28"/>
          <w:lang w:val="uk-UA"/>
        </w:rPr>
        <w:t xml:space="preserve"> до t</w:t>
      </w:r>
      <w:r w:rsidRPr="005E471D">
        <w:rPr>
          <w:rFonts w:ascii="Times New Roman" w:hAnsi="Times New Roman"/>
          <w:sz w:val="28"/>
          <w:szCs w:val="28"/>
          <w:vertAlign w:val="superscript"/>
          <w:lang w:val="uk-UA"/>
        </w:rPr>
        <w:t>o</w:t>
      </w:r>
      <w:r w:rsidRPr="005E471D">
        <w:rPr>
          <w:rFonts w:ascii="Times New Roman" w:hAnsi="Times New Roman"/>
          <w:sz w:val="28"/>
          <w:szCs w:val="28"/>
          <w:lang w:val="uk-UA"/>
        </w:rPr>
        <w:t xml:space="preserve"> = 30</w:t>
      </w:r>
      <w:r w:rsidRPr="005E471D">
        <w:rPr>
          <w:rFonts w:ascii="Times New Roman" w:hAnsi="Times New Roman"/>
          <w:sz w:val="28"/>
          <w:szCs w:val="28"/>
          <w:vertAlign w:val="superscript"/>
          <w:lang w:val="uk-UA"/>
        </w:rPr>
        <w:t>о</w:t>
      </w:r>
      <w:r w:rsidRPr="005E471D">
        <w:rPr>
          <w:rFonts w:ascii="Times New Roman" w:hAnsi="Times New Roman"/>
          <w:sz w:val="28"/>
          <w:szCs w:val="28"/>
          <w:lang w:val="uk-UA"/>
        </w:rPr>
        <w:t>С протягом 5 - 6 хв. Потім в кювету дода</w:t>
      </w:r>
      <w:r>
        <w:rPr>
          <w:rFonts w:ascii="Times New Roman" w:hAnsi="Times New Roman"/>
          <w:sz w:val="28"/>
          <w:szCs w:val="28"/>
          <w:lang w:val="uk-UA"/>
        </w:rPr>
        <w:t>вали</w:t>
      </w:r>
      <w:r w:rsidRPr="005E471D">
        <w:rPr>
          <w:rFonts w:ascii="Times New Roman" w:hAnsi="Times New Roman"/>
          <w:sz w:val="28"/>
          <w:szCs w:val="28"/>
          <w:lang w:val="uk-UA"/>
        </w:rPr>
        <w:t xml:space="preserve"> 0,</w:t>
      </w:r>
      <w:r>
        <w:rPr>
          <w:rFonts w:ascii="Times New Roman" w:hAnsi="Times New Roman"/>
          <w:sz w:val="28"/>
          <w:szCs w:val="28"/>
          <w:lang w:val="uk-UA"/>
        </w:rPr>
        <w:t>1 мл ротової рідини, перемішували прямо в кюветі і визначали</w:t>
      </w:r>
      <w:r w:rsidRPr="005E471D">
        <w:rPr>
          <w:rFonts w:ascii="Times New Roman" w:hAnsi="Times New Roman"/>
          <w:sz w:val="28"/>
          <w:szCs w:val="28"/>
          <w:lang w:val="uk-UA"/>
        </w:rPr>
        <w:t xml:space="preserve"> оптичну щільність при довжині хвилі 570 нм на 1-й, 3-й і 6-й хв. інкубації. Активність лізоциму розрахову</w:t>
      </w:r>
      <w:r>
        <w:rPr>
          <w:rFonts w:ascii="Times New Roman" w:hAnsi="Times New Roman"/>
          <w:sz w:val="28"/>
          <w:szCs w:val="28"/>
          <w:lang w:val="uk-UA"/>
        </w:rPr>
        <w:t>вали</w:t>
      </w:r>
      <w:r w:rsidRPr="005E471D">
        <w:rPr>
          <w:rFonts w:ascii="Times New Roman" w:hAnsi="Times New Roman"/>
          <w:sz w:val="28"/>
          <w:szCs w:val="28"/>
          <w:lang w:val="uk-UA"/>
        </w:rPr>
        <w:t xml:space="preserve"> за формулою</w:t>
      </w:r>
      <w:r>
        <w:rPr>
          <w:rFonts w:ascii="Times New Roman" w:hAnsi="Times New Roman"/>
          <w:sz w:val="28"/>
          <w:szCs w:val="28"/>
          <w:lang w:val="uk-UA"/>
        </w:rPr>
        <w:t>:</w:t>
      </w:r>
    </w:p>
    <w:p w14:paraId="28DC3372" w14:textId="1E50FC55"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 xml:space="preserve">                     Л</w:t>
      </w:r>
      <w:r w:rsidRPr="005E471D">
        <w:rPr>
          <w:rFonts w:ascii="Times New Roman" w:hAnsi="Times New Roman"/>
          <w:sz w:val="28"/>
          <w:szCs w:val="28"/>
          <w:vertAlign w:val="subscript"/>
          <w:lang w:val="uk-UA"/>
        </w:rPr>
        <w:t>оп</w:t>
      </w:r>
      <w:r w:rsidRPr="005E471D">
        <w:rPr>
          <w:rFonts w:ascii="Times New Roman" w:hAnsi="Times New Roman"/>
          <w:sz w:val="28"/>
          <w:szCs w:val="28"/>
          <w:lang w:val="uk-UA"/>
        </w:rPr>
        <w:t xml:space="preserve">  = ( ΔЕ *3,1 * n * 1000) / Δt   * 0,1</w:t>
      </w:r>
      <w:r w:rsidR="00893CED">
        <w:rPr>
          <w:rFonts w:ascii="Times New Roman" w:hAnsi="Times New Roman"/>
          <w:sz w:val="28"/>
          <w:szCs w:val="28"/>
          <w:lang w:val="uk-UA"/>
        </w:rPr>
        <w:t xml:space="preserve">                    (6)</w:t>
      </w:r>
    </w:p>
    <w:p w14:paraId="22AE524A" w14:textId="4F519B07"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где  Л</w:t>
      </w:r>
      <w:r w:rsidRPr="005E471D">
        <w:rPr>
          <w:rFonts w:ascii="Times New Roman" w:hAnsi="Times New Roman"/>
          <w:sz w:val="28"/>
          <w:szCs w:val="28"/>
          <w:vertAlign w:val="subscript"/>
          <w:lang w:val="uk-UA"/>
        </w:rPr>
        <w:t>оп</w:t>
      </w:r>
      <w:r w:rsidRPr="005E471D">
        <w:rPr>
          <w:rFonts w:ascii="Times New Roman" w:hAnsi="Times New Roman"/>
          <w:sz w:val="28"/>
          <w:szCs w:val="28"/>
          <w:lang w:val="uk-UA"/>
        </w:rPr>
        <w:t xml:space="preserve">  –активність лізоциму у од/л;   </w:t>
      </w:r>
    </w:p>
    <w:p w14:paraId="1497AB5D" w14:textId="0B6CF8B0"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 xml:space="preserve">    ΔЕ – різність екстинцій на різних хвилинах;</w:t>
      </w:r>
    </w:p>
    <w:p w14:paraId="1995D765" w14:textId="0203249A"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100 – перерахунок од</w:t>
      </w:r>
      <w:r>
        <w:rPr>
          <w:rFonts w:ascii="Times New Roman" w:hAnsi="Times New Roman"/>
          <w:sz w:val="28"/>
          <w:szCs w:val="28"/>
          <w:lang w:val="uk-UA"/>
        </w:rPr>
        <w:t>.</w:t>
      </w:r>
      <w:r w:rsidRPr="005E471D">
        <w:rPr>
          <w:rFonts w:ascii="Times New Roman" w:hAnsi="Times New Roman"/>
          <w:sz w:val="28"/>
          <w:szCs w:val="28"/>
          <w:lang w:val="uk-UA"/>
        </w:rPr>
        <w:t xml:space="preserve">/л;   </w:t>
      </w:r>
    </w:p>
    <w:p w14:paraId="2474F18B" w14:textId="0AD22012"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n  – розведення ротової рідини;</w:t>
      </w:r>
    </w:p>
    <w:p w14:paraId="35632FA6" w14:textId="3945CD7D" w:rsidR="005E471D" w:rsidRPr="005E471D" w:rsidRDefault="005E471D" w:rsidP="005E471D">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 xml:space="preserve">   Δt – час бактеріолізу (</w:t>
      </w:r>
      <w:r>
        <w:rPr>
          <w:rFonts w:ascii="Times New Roman" w:hAnsi="Times New Roman"/>
          <w:sz w:val="28"/>
          <w:szCs w:val="28"/>
          <w:lang w:val="uk-UA"/>
        </w:rPr>
        <w:t>хв</w:t>
      </w:r>
      <w:r w:rsidRPr="005E471D">
        <w:rPr>
          <w:rFonts w:ascii="Times New Roman" w:hAnsi="Times New Roman"/>
          <w:sz w:val="28"/>
          <w:szCs w:val="28"/>
          <w:lang w:val="uk-UA"/>
        </w:rPr>
        <w:t>.).</w:t>
      </w:r>
    </w:p>
    <w:p w14:paraId="6C29B51A" w14:textId="0B229EE4" w:rsidR="008A1198" w:rsidRDefault="005E471D" w:rsidP="008A1198">
      <w:pPr>
        <w:spacing w:after="0" w:line="360" w:lineRule="auto"/>
        <w:ind w:firstLine="709"/>
        <w:jc w:val="both"/>
        <w:rPr>
          <w:rFonts w:ascii="Times New Roman" w:hAnsi="Times New Roman"/>
          <w:sz w:val="28"/>
          <w:szCs w:val="28"/>
          <w:lang w:val="uk-UA"/>
        </w:rPr>
      </w:pPr>
      <w:r w:rsidRPr="005E471D">
        <w:rPr>
          <w:rFonts w:ascii="Times New Roman" w:hAnsi="Times New Roman"/>
          <w:sz w:val="28"/>
          <w:szCs w:val="28"/>
          <w:lang w:val="uk-UA"/>
        </w:rPr>
        <w:tab/>
        <w:t>Активність ферменту в</w:t>
      </w:r>
      <w:r w:rsidR="008A1198">
        <w:rPr>
          <w:rFonts w:ascii="Times New Roman" w:hAnsi="Times New Roman"/>
          <w:sz w:val="28"/>
          <w:szCs w:val="28"/>
          <w:lang w:val="uk-UA"/>
        </w:rPr>
        <w:t>иражали в од./л ротової рідини.</w:t>
      </w:r>
    </w:p>
    <w:p w14:paraId="630EB588" w14:textId="736AE68A" w:rsidR="00A365D8" w:rsidRDefault="00A365D8" w:rsidP="00A365D8">
      <w:pPr>
        <w:spacing w:after="0" w:line="360" w:lineRule="auto"/>
        <w:ind w:firstLine="709"/>
        <w:jc w:val="both"/>
        <w:rPr>
          <w:rFonts w:ascii="Times New Roman" w:hAnsi="Times New Roman"/>
          <w:sz w:val="28"/>
          <w:szCs w:val="28"/>
          <w:lang w:val="uk-UA"/>
        </w:rPr>
      </w:pPr>
      <w:r w:rsidRPr="00BC3FD7">
        <w:rPr>
          <w:rFonts w:ascii="Times New Roman" w:hAnsi="Times New Roman"/>
          <w:sz w:val="28"/>
          <w:szCs w:val="28"/>
          <w:lang w:val="uk-UA"/>
        </w:rPr>
        <w:t>Рівень секре</w:t>
      </w:r>
      <w:r>
        <w:rPr>
          <w:rFonts w:ascii="Times New Roman" w:hAnsi="Times New Roman"/>
          <w:sz w:val="28"/>
          <w:szCs w:val="28"/>
          <w:lang w:val="uk-UA"/>
        </w:rPr>
        <w:t xml:space="preserve">торного імуноглобуліну А, імуноглобулінів А, </w:t>
      </w:r>
      <w:r>
        <w:rPr>
          <w:rFonts w:ascii="Times New Roman" w:hAnsi="Times New Roman"/>
          <w:sz w:val="28"/>
          <w:szCs w:val="28"/>
        </w:rPr>
        <w:t>G</w:t>
      </w:r>
      <w:r w:rsidRPr="00BC3FD7">
        <w:rPr>
          <w:rFonts w:ascii="Times New Roman" w:hAnsi="Times New Roman"/>
          <w:sz w:val="28"/>
          <w:szCs w:val="28"/>
          <w:lang w:val="ru-RU"/>
        </w:rPr>
        <w:t xml:space="preserve">, </w:t>
      </w:r>
      <w:r>
        <w:rPr>
          <w:rFonts w:ascii="Times New Roman" w:hAnsi="Times New Roman"/>
          <w:sz w:val="28"/>
          <w:szCs w:val="28"/>
        </w:rPr>
        <w:t>M</w:t>
      </w:r>
      <w:r w:rsidR="002C4FF6">
        <w:rPr>
          <w:rFonts w:ascii="Times New Roman" w:hAnsi="Times New Roman"/>
          <w:sz w:val="28"/>
          <w:szCs w:val="28"/>
          <w:lang w:val="uk-UA"/>
        </w:rPr>
        <w:t xml:space="preserve"> визначали на ім</w:t>
      </w:r>
      <w:r w:rsidRPr="00BC3FD7">
        <w:rPr>
          <w:rFonts w:ascii="Times New Roman" w:hAnsi="Times New Roman"/>
          <w:sz w:val="28"/>
          <w:szCs w:val="28"/>
          <w:lang w:val="uk-UA"/>
        </w:rPr>
        <w:t>уноферментном</w:t>
      </w:r>
      <w:r w:rsidR="002C4FF6">
        <w:rPr>
          <w:rFonts w:ascii="Times New Roman" w:hAnsi="Times New Roman"/>
          <w:sz w:val="28"/>
          <w:szCs w:val="28"/>
          <w:lang w:val="uk-UA"/>
        </w:rPr>
        <w:t>у</w:t>
      </w:r>
      <w:r w:rsidRPr="00BC3FD7">
        <w:rPr>
          <w:rFonts w:ascii="Times New Roman" w:hAnsi="Times New Roman"/>
          <w:sz w:val="28"/>
          <w:szCs w:val="28"/>
          <w:lang w:val="uk-UA"/>
        </w:rPr>
        <w:t xml:space="preserve"> аналізаторі «Лаблайн-90» з використанням комерційних наборів «Вектор-Бест» (Росія) за доданою до набору методикою.</w:t>
      </w:r>
      <w:r w:rsidR="008A1198">
        <w:rPr>
          <w:rFonts w:ascii="Times New Roman" w:hAnsi="Times New Roman"/>
          <w:sz w:val="28"/>
          <w:szCs w:val="28"/>
          <w:lang w:val="uk-UA"/>
        </w:rPr>
        <w:t xml:space="preserve"> Для цього н</w:t>
      </w:r>
      <w:r w:rsidR="008A1198" w:rsidRPr="00970967">
        <w:rPr>
          <w:rFonts w:ascii="Times New Roman" w:hAnsi="Times New Roman"/>
          <w:sz w:val="28"/>
          <w:szCs w:val="28"/>
          <w:lang w:val="uk-UA"/>
        </w:rPr>
        <w:t xml:space="preserve">естимульована </w:t>
      </w:r>
      <w:r w:rsidR="008A1198">
        <w:rPr>
          <w:rFonts w:ascii="Times New Roman" w:hAnsi="Times New Roman"/>
          <w:sz w:val="28"/>
          <w:szCs w:val="28"/>
          <w:lang w:val="uk-UA"/>
        </w:rPr>
        <w:t>ротова рідина була зібрана від пацієнтів з 8</w:t>
      </w:r>
      <w:r w:rsidR="008A1198" w:rsidRPr="00970967">
        <w:rPr>
          <w:rFonts w:ascii="Times New Roman" w:hAnsi="Times New Roman"/>
          <w:sz w:val="28"/>
          <w:szCs w:val="28"/>
          <w:lang w:val="uk-UA"/>
        </w:rPr>
        <w:t>:00 до 12:00</w:t>
      </w:r>
      <w:r w:rsidR="008A1198">
        <w:rPr>
          <w:rFonts w:ascii="Times New Roman" w:hAnsi="Times New Roman"/>
          <w:sz w:val="28"/>
          <w:szCs w:val="28"/>
          <w:lang w:val="uk-UA"/>
        </w:rPr>
        <w:t xml:space="preserve"> об</w:t>
      </w:r>
      <w:r w:rsidR="008A1198" w:rsidRPr="008A1198">
        <w:rPr>
          <w:rFonts w:ascii="Times New Roman" w:hAnsi="Times New Roman"/>
          <w:sz w:val="28"/>
          <w:szCs w:val="28"/>
          <w:lang w:val="uk-UA"/>
        </w:rPr>
        <w:t>’</w:t>
      </w:r>
      <w:r w:rsidR="008A1198">
        <w:rPr>
          <w:rFonts w:ascii="Times New Roman" w:hAnsi="Times New Roman"/>
          <w:sz w:val="28"/>
          <w:szCs w:val="28"/>
          <w:lang w:val="uk-UA"/>
        </w:rPr>
        <w:t xml:space="preserve">ємом 2-5 мл натщесерце, </w:t>
      </w:r>
      <w:r w:rsidR="008A1198" w:rsidRPr="00970967">
        <w:rPr>
          <w:rFonts w:ascii="Times New Roman" w:hAnsi="Times New Roman"/>
          <w:sz w:val="28"/>
          <w:szCs w:val="28"/>
          <w:lang w:val="uk-UA"/>
        </w:rPr>
        <w:t xml:space="preserve">пацієнтів просили не виконувати гігієнічні процедури порожнини рота (чищення зубів, використання ополіскувача) за 60 хвилин до </w:t>
      </w:r>
      <w:r w:rsidR="008A1198" w:rsidRPr="00970967">
        <w:rPr>
          <w:rFonts w:ascii="Times New Roman" w:hAnsi="Times New Roman"/>
          <w:sz w:val="28"/>
          <w:szCs w:val="28"/>
          <w:lang w:val="uk-UA"/>
        </w:rPr>
        <w:lastRenderedPageBreak/>
        <w:t>процедури збору слини. Зразки передавали у біохімічну лабораторію Харківського національного медичного університету, де їх зб</w:t>
      </w:r>
      <w:r w:rsidR="008A1198">
        <w:rPr>
          <w:rFonts w:ascii="Times New Roman" w:hAnsi="Times New Roman"/>
          <w:sz w:val="28"/>
          <w:szCs w:val="28"/>
          <w:lang w:val="uk-UA"/>
        </w:rPr>
        <w:t>ерігали при температурі -20 ° С, після цього був здійснений імуноферментний аналіз.</w:t>
      </w:r>
    </w:p>
    <w:p w14:paraId="59E56E26" w14:textId="77777777" w:rsidR="00FB4D60" w:rsidRPr="00FB4D60" w:rsidRDefault="00FB4D60" w:rsidP="00FB4D60">
      <w:pPr>
        <w:ind w:firstLine="709"/>
        <w:rPr>
          <w:rFonts w:ascii="Times New Roman" w:hAnsi="Times New Roman" w:cs="Times New Roman"/>
          <w:sz w:val="28"/>
          <w:szCs w:val="28"/>
          <w:lang w:val="uk-UA"/>
        </w:rPr>
      </w:pPr>
    </w:p>
    <w:p w14:paraId="5AA2E586" w14:textId="08EF93E9" w:rsidR="0056180A" w:rsidRPr="00F42F7A" w:rsidRDefault="00E30802" w:rsidP="00F42F7A">
      <w:pPr>
        <w:pStyle w:val="Heading2"/>
        <w:spacing w:line="360" w:lineRule="auto"/>
        <w:ind w:firstLine="709"/>
        <w:rPr>
          <w:rFonts w:ascii="Times New Roman" w:hAnsi="Times New Roman" w:cs="Times New Roman"/>
          <w:color w:val="auto"/>
          <w:sz w:val="28"/>
          <w:szCs w:val="28"/>
          <w:lang w:val="ru-RU"/>
        </w:rPr>
      </w:pPr>
      <w:bookmarkStart w:id="10" w:name="_Toc507575303"/>
      <w:r>
        <w:rPr>
          <w:rFonts w:ascii="Times New Roman" w:hAnsi="Times New Roman" w:cs="Times New Roman"/>
          <w:color w:val="auto"/>
          <w:sz w:val="28"/>
          <w:szCs w:val="28"/>
          <w:lang w:val="ru-RU"/>
        </w:rPr>
        <w:t>2.3</w:t>
      </w:r>
      <w:r w:rsidR="00670A97" w:rsidRPr="00F42F7A">
        <w:rPr>
          <w:rFonts w:ascii="Times New Roman" w:hAnsi="Times New Roman" w:cs="Times New Roman"/>
          <w:color w:val="auto"/>
          <w:sz w:val="28"/>
          <w:szCs w:val="28"/>
          <w:lang w:val="ru-RU"/>
        </w:rPr>
        <w:t xml:space="preserve"> </w:t>
      </w:r>
      <w:r w:rsidR="0056180A" w:rsidRPr="00F42F7A">
        <w:rPr>
          <w:rFonts w:ascii="Times New Roman" w:hAnsi="Times New Roman" w:cs="Times New Roman"/>
          <w:color w:val="auto"/>
          <w:sz w:val="28"/>
          <w:szCs w:val="28"/>
          <w:lang w:val="ru-RU"/>
        </w:rPr>
        <w:t>Методи експериментальних досліджень</w:t>
      </w:r>
      <w:bookmarkEnd w:id="10"/>
    </w:p>
    <w:p w14:paraId="364C3F4A" w14:textId="2D72A3F4" w:rsidR="0056180A" w:rsidRDefault="0056180A" w:rsidP="00F42F7A">
      <w:pPr>
        <w:spacing w:line="360" w:lineRule="auto"/>
        <w:ind w:firstLine="709"/>
        <w:jc w:val="both"/>
        <w:rPr>
          <w:rFonts w:ascii="Times New Roman" w:hAnsi="Times New Roman" w:cs="Times New Roman"/>
          <w:sz w:val="28"/>
          <w:szCs w:val="28"/>
          <w:lang w:val="ru-RU"/>
        </w:rPr>
      </w:pPr>
      <w:r w:rsidRPr="00F42F7A">
        <w:rPr>
          <w:rFonts w:ascii="Times New Roman" w:hAnsi="Times New Roman" w:cs="Times New Roman"/>
          <w:sz w:val="28"/>
          <w:szCs w:val="28"/>
          <w:lang w:val="ru-RU"/>
        </w:rPr>
        <w:t xml:space="preserve">Для морфологічного вивчення ланок патогенезу розвитку патологічних станів ротової порожнини при атопічній патології в релевантних умовах, з метою виключення впливу соматичної патології, виключення впливу соціальних факторів нами проведено експериментальне дослідження. Експеримент був поставлений на 40 експериментальних </w:t>
      </w:r>
      <w:r w:rsidRPr="0056180A">
        <w:rPr>
          <w:rFonts w:ascii="Times New Roman" w:hAnsi="Times New Roman" w:cs="Times New Roman"/>
          <w:sz w:val="28"/>
          <w:szCs w:val="28"/>
          <w:lang w:val="ru-RU"/>
        </w:rPr>
        <w:t>тварин</w:t>
      </w:r>
      <w:r w:rsidR="005176F9">
        <w:rPr>
          <w:rFonts w:ascii="Times New Roman" w:hAnsi="Times New Roman" w:cs="Times New Roman"/>
          <w:sz w:val="28"/>
          <w:szCs w:val="28"/>
          <w:lang w:val="ru-RU"/>
        </w:rPr>
        <w:t>ах</w:t>
      </w:r>
      <w:r w:rsidRPr="0056180A">
        <w:rPr>
          <w:rFonts w:ascii="Times New Roman" w:hAnsi="Times New Roman" w:cs="Times New Roman"/>
          <w:sz w:val="28"/>
          <w:szCs w:val="28"/>
          <w:lang w:val="ru-RU"/>
        </w:rPr>
        <w:t xml:space="preserve"> (кролі-самці голландської породи у віці 3-4 місяців), яким шляхом за описано</w:t>
      </w:r>
      <w:r>
        <w:rPr>
          <w:rFonts w:ascii="Times New Roman" w:hAnsi="Times New Roman" w:cs="Times New Roman"/>
          <w:sz w:val="28"/>
          <w:szCs w:val="28"/>
          <w:lang w:val="ru-RU"/>
        </w:rPr>
        <w:t xml:space="preserve">ю раніше </w:t>
      </w:r>
      <w:r w:rsidRPr="0056180A">
        <w:rPr>
          <w:rFonts w:ascii="Times New Roman" w:hAnsi="Times New Roman" w:cs="Times New Roman"/>
          <w:sz w:val="28"/>
          <w:szCs w:val="28"/>
          <w:lang w:val="ru-RU"/>
        </w:rPr>
        <w:t>Cho S</w:t>
      </w:r>
      <w:r>
        <w:rPr>
          <w:rFonts w:ascii="Times New Roman" w:hAnsi="Times New Roman" w:cs="Times New Roman"/>
          <w:sz w:val="28"/>
          <w:szCs w:val="28"/>
          <w:lang w:val="ru-RU"/>
        </w:rPr>
        <w:t xml:space="preserve">. </w:t>
      </w:r>
      <w:r w:rsidRPr="0056180A">
        <w:rPr>
          <w:rFonts w:ascii="Times New Roman" w:hAnsi="Times New Roman" w:cs="Times New Roman"/>
          <w:sz w:val="28"/>
          <w:szCs w:val="28"/>
          <w:lang w:val="ru-RU"/>
        </w:rPr>
        <w:t>J</w:t>
      </w:r>
      <w:r>
        <w:rPr>
          <w:rFonts w:ascii="Times New Roman" w:hAnsi="Times New Roman" w:cs="Times New Roman"/>
          <w:sz w:val="28"/>
          <w:szCs w:val="28"/>
          <w:lang w:val="ru-RU"/>
        </w:rPr>
        <w:t>.</w:t>
      </w:r>
      <w:r w:rsidRPr="0056180A">
        <w:rPr>
          <w:rFonts w:ascii="Times New Roman" w:hAnsi="Times New Roman" w:cs="Times New Roman"/>
          <w:sz w:val="28"/>
          <w:szCs w:val="28"/>
          <w:lang w:val="ru-RU"/>
        </w:rPr>
        <w:t>, Kim H</w:t>
      </w:r>
      <w:r>
        <w:rPr>
          <w:rFonts w:ascii="Times New Roman" w:hAnsi="Times New Roman" w:cs="Times New Roman"/>
          <w:sz w:val="28"/>
          <w:szCs w:val="28"/>
          <w:lang w:val="ru-RU"/>
        </w:rPr>
        <w:t>.</w:t>
      </w:r>
      <w:r w:rsidR="00A81FA8">
        <w:rPr>
          <w:rFonts w:ascii="Times New Roman" w:hAnsi="Times New Roman" w:cs="Times New Roman"/>
          <w:sz w:val="28"/>
          <w:szCs w:val="28"/>
          <w:lang w:val="ru-RU"/>
        </w:rPr>
        <w:t xml:space="preserve"> </w:t>
      </w:r>
      <w:r w:rsidR="00A81FA8" w:rsidRPr="00A81FA8">
        <w:rPr>
          <w:rFonts w:ascii="Times New Roman" w:hAnsi="Times New Roman" w:cs="Times New Roman"/>
          <w:sz w:val="28"/>
          <w:szCs w:val="28"/>
          <w:lang w:val="ru-RU"/>
        </w:rPr>
        <w:t>[</w:t>
      </w:r>
      <w:r w:rsidR="00A448F8" w:rsidRPr="00A448F8">
        <w:rPr>
          <w:rFonts w:ascii="Times New Roman" w:hAnsi="Times New Roman" w:cs="Times New Roman"/>
          <w:sz w:val="28"/>
          <w:szCs w:val="28"/>
          <w:lang w:val="ru-RU"/>
        </w:rPr>
        <w:t>239</w:t>
      </w:r>
      <w:r w:rsidR="00A81FA8" w:rsidRPr="00A81FA8">
        <w:rPr>
          <w:rFonts w:ascii="Times New Roman" w:hAnsi="Times New Roman" w:cs="Times New Roman"/>
          <w:sz w:val="28"/>
          <w:szCs w:val="28"/>
          <w:lang w:val="ru-RU"/>
        </w:rPr>
        <w:t>]</w:t>
      </w:r>
      <w:r w:rsidR="00A448F8">
        <w:rPr>
          <w:rFonts w:ascii="Times New Roman" w:hAnsi="Times New Roman" w:cs="Times New Roman"/>
          <w:sz w:val="28"/>
          <w:szCs w:val="28"/>
          <w:lang w:val="ru-RU"/>
        </w:rPr>
        <w:t>,</w:t>
      </w:r>
      <w:r w:rsidRPr="0056180A">
        <w:rPr>
          <w:rFonts w:ascii="Times New Roman" w:hAnsi="Times New Roman" w:cs="Times New Roman"/>
          <w:sz w:val="28"/>
          <w:szCs w:val="28"/>
          <w:lang w:val="ru-RU"/>
        </w:rPr>
        <w:t xml:space="preserve"> </w:t>
      </w:r>
      <w:r>
        <w:rPr>
          <w:rFonts w:ascii="Times New Roman" w:hAnsi="Times New Roman" w:cs="Times New Roman"/>
          <w:sz w:val="28"/>
          <w:szCs w:val="28"/>
          <w:lang w:val="ru-RU"/>
        </w:rPr>
        <w:t>і широко застосованою</w:t>
      </w:r>
      <w:r w:rsidRPr="0056180A">
        <w:rPr>
          <w:rFonts w:ascii="Times New Roman" w:hAnsi="Times New Roman" w:cs="Times New Roman"/>
          <w:sz w:val="28"/>
          <w:szCs w:val="28"/>
          <w:lang w:val="ru-RU"/>
        </w:rPr>
        <w:t xml:space="preserve"> методикою формували атопічну патологію (рис.</w:t>
      </w:r>
      <w:r w:rsidR="00C01419">
        <w:rPr>
          <w:rFonts w:ascii="Times New Roman" w:hAnsi="Times New Roman" w:cs="Times New Roman"/>
          <w:sz w:val="28"/>
          <w:szCs w:val="28"/>
          <w:lang w:val="ru-RU"/>
        </w:rPr>
        <w:t>2.</w:t>
      </w:r>
      <w:r w:rsidRPr="0056180A">
        <w:rPr>
          <w:rFonts w:ascii="Times New Roman" w:hAnsi="Times New Roman" w:cs="Times New Roman"/>
          <w:sz w:val="28"/>
          <w:szCs w:val="28"/>
          <w:lang w:val="ru-RU"/>
        </w:rPr>
        <w:t>1)</w:t>
      </w:r>
      <w:r>
        <w:rPr>
          <w:rFonts w:ascii="Times New Roman" w:hAnsi="Times New Roman" w:cs="Times New Roman"/>
          <w:sz w:val="28"/>
          <w:szCs w:val="28"/>
          <w:lang w:val="ru-RU"/>
        </w:rPr>
        <w:t xml:space="preserve"> </w:t>
      </w:r>
    </w:p>
    <w:p w14:paraId="17829BE8" w14:textId="77777777" w:rsidR="0056180A" w:rsidRPr="005176F9" w:rsidRDefault="0056180A" w:rsidP="0056180A">
      <w:pPr>
        <w:autoSpaceDE w:val="0"/>
        <w:autoSpaceDN w:val="0"/>
        <w:adjustRightInd w:val="0"/>
        <w:spacing w:line="360" w:lineRule="auto"/>
        <w:jc w:val="both"/>
        <w:rPr>
          <w:i/>
          <w:color w:val="800000"/>
          <w:sz w:val="28"/>
          <w:szCs w:val="28"/>
          <w:lang w:val="ru-RU"/>
        </w:rPr>
      </w:pPr>
    </w:p>
    <w:p w14:paraId="08A3C5B6" w14:textId="71D9E465" w:rsidR="0056180A" w:rsidRPr="00947EBD" w:rsidRDefault="0056180A" w:rsidP="0056180A">
      <w:pPr>
        <w:autoSpaceDE w:val="0"/>
        <w:autoSpaceDN w:val="0"/>
        <w:adjustRightInd w:val="0"/>
        <w:spacing w:line="360" w:lineRule="auto"/>
        <w:jc w:val="both"/>
        <w:rPr>
          <w:color w:val="800000"/>
          <w:sz w:val="28"/>
          <w:szCs w:val="28"/>
        </w:rPr>
      </w:pPr>
      <w:r w:rsidRPr="00947EBD">
        <w:rPr>
          <w:noProof/>
          <w:color w:val="800000"/>
          <w:sz w:val="28"/>
          <w:szCs w:val="28"/>
        </w:rPr>
        <w:drawing>
          <wp:inline distT="0" distB="0" distL="0" distR="0" wp14:anchorId="6EB1010F" wp14:editId="34F68F08">
            <wp:extent cx="6115050" cy="3086100"/>
            <wp:effectExtent l="0" t="0" r="0" b="0"/>
            <wp:docPr id="24" name="Picture 24"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5050" cy="3086100"/>
                    </a:xfrm>
                    <a:prstGeom prst="rect">
                      <a:avLst/>
                    </a:prstGeom>
                    <a:noFill/>
                    <a:ln>
                      <a:noFill/>
                    </a:ln>
                  </pic:spPr>
                </pic:pic>
              </a:graphicData>
            </a:graphic>
          </wp:inline>
        </w:drawing>
      </w:r>
    </w:p>
    <w:p w14:paraId="0DE493F6" w14:textId="10B4B7C8" w:rsidR="0056180A" w:rsidRPr="00670A97" w:rsidRDefault="0056180A" w:rsidP="0056180A">
      <w:pPr>
        <w:autoSpaceDE w:val="0"/>
        <w:autoSpaceDN w:val="0"/>
        <w:adjustRightInd w:val="0"/>
        <w:spacing w:line="360" w:lineRule="auto"/>
        <w:jc w:val="both"/>
        <w:rPr>
          <w:rFonts w:ascii="Times New Roman" w:hAnsi="Times New Roman" w:cs="Times New Roman"/>
          <w:sz w:val="28"/>
          <w:szCs w:val="28"/>
          <w:lang w:val="ru-RU"/>
        </w:rPr>
      </w:pPr>
      <w:r w:rsidRPr="00670A97">
        <w:rPr>
          <w:rFonts w:ascii="Times New Roman" w:hAnsi="Times New Roman" w:cs="Times New Roman"/>
          <w:sz w:val="28"/>
          <w:szCs w:val="28"/>
          <w:lang w:val="ru-RU"/>
        </w:rPr>
        <w:t>Рис.</w:t>
      </w:r>
      <w:r w:rsidRPr="00670A97">
        <w:rPr>
          <w:rFonts w:ascii="Times New Roman" w:hAnsi="Times New Roman" w:cs="Times New Roman"/>
          <w:sz w:val="28"/>
          <w:szCs w:val="28"/>
          <w:lang w:val="uk-UA"/>
        </w:rPr>
        <w:t>2.</w:t>
      </w:r>
      <w:r w:rsidRPr="00670A97">
        <w:rPr>
          <w:rFonts w:ascii="Times New Roman" w:hAnsi="Times New Roman" w:cs="Times New Roman"/>
          <w:sz w:val="28"/>
          <w:szCs w:val="28"/>
          <w:lang w:val="ru-RU"/>
        </w:rPr>
        <w:t>1. Моделювання атопії у експериментальних тварин</w:t>
      </w:r>
    </w:p>
    <w:p w14:paraId="7EAB67A9" w14:textId="013FB95E" w:rsidR="0056180A" w:rsidRDefault="0078616F" w:rsidP="0056180A">
      <w:pPr>
        <w:autoSpaceDE w:val="0"/>
        <w:autoSpaceDN w:val="0"/>
        <w:adjustRightInd w:val="0"/>
        <w:spacing w:line="360" w:lineRule="auto"/>
        <w:ind w:firstLine="709"/>
        <w:jc w:val="both"/>
        <w:rPr>
          <w:rFonts w:ascii="Times New Roman" w:hAnsi="Times New Roman" w:cs="Times New Roman"/>
          <w:sz w:val="28"/>
          <w:szCs w:val="28"/>
          <w:lang w:val="ru-RU"/>
        </w:rPr>
      </w:pPr>
      <w:r w:rsidRPr="0078616F">
        <w:rPr>
          <w:rFonts w:ascii="Times New Roman" w:hAnsi="Times New Roman" w:cs="Times New Roman"/>
          <w:sz w:val="28"/>
          <w:szCs w:val="28"/>
          <w:lang w:val="ru-RU"/>
        </w:rPr>
        <w:t>Для моделювання атопічного п</w:t>
      </w:r>
      <w:r w:rsidR="0025200C">
        <w:rPr>
          <w:rFonts w:ascii="Times New Roman" w:hAnsi="Times New Roman" w:cs="Times New Roman"/>
          <w:sz w:val="28"/>
          <w:szCs w:val="28"/>
          <w:lang w:val="ru-RU"/>
        </w:rPr>
        <w:t>роцесу використовували овальбумі</w:t>
      </w:r>
      <w:r w:rsidRPr="0078616F">
        <w:rPr>
          <w:rFonts w:ascii="Times New Roman" w:hAnsi="Times New Roman" w:cs="Times New Roman"/>
          <w:sz w:val="28"/>
          <w:szCs w:val="28"/>
          <w:lang w:val="ru-RU"/>
        </w:rPr>
        <w:t xml:space="preserve">н (альбумін яєчного білка) за запропонованою </w:t>
      </w:r>
      <w:r>
        <w:rPr>
          <w:rFonts w:ascii="Times New Roman" w:hAnsi="Times New Roman" w:cs="Times New Roman"/>
          <w:sz w:val="28"/>
          <w:szCs w:val="28"/>
          <w:lang w:val="ru-RU"/>
        </w:rPr>
        <w:t>сх</w:t>
      </w:r>
      <w:r w:rsidR="00A448F8">
        <w:rPr>
          <w:rFonts w:ascii="Times New Roman" w:hAnsi="Times New Roman" w:cs="Times New Roman"/>
          <w:sz w:val="28"/>
          <w:szCs w:val="28"/>
          <w:lang w:val="ru-RU"/>
        </w:rPr>
        <w:t>емою Cho S.J., Kim H.</w:t>
      </w:r>
      <w:r w:rsidRPr="0078616F">
        <w:rPr>
          <w:rFonts w:ascii="Times New Roman" w:hAnsi="Times New Roman" w:cs="Times New Roman"/>
          <w:sz w:val="28"/>
          <w:szCs w:val="28"/>
          <w:lang w:val="ru-RU"/>
        </w:rPr>
        <w:t xml:space="preserve"> Експериментальних тварин (самці-кролі у віці 3 місяці)</w:t>
      </w:r>
      <w:r w:rsidR="005176F9">
        <w:rPr>
          <w:rFonts w:ascii="Times New Roman" w:hAnsi="Times New Roman" w:cs="Times New Roman"/>
          <w:sz w:val="28"/>
          <w:szCs w:val="28"/>
          <w:lang w:val="ru-RU"/>
        </w:rPr>
        <w:t xml:space="preserve"> сенсибілізу</w:t>
      </w:r>
      <w:r>
        <w:rPr>
          <w:rFonts w:ascii="Times New Roman" w:hAnsi="Times New Roman" w:cs="Times New Roman"/>
          <w:sz w:val="28"/>
          <w:szCs w:val="28"/>
          <w:lang w:val="ru-RU"/>
        </w:rPr>
        <w:t>вали</w:t>
      </w:r>
      <w:r w:rsidRPr="0078616F">
        <w:rPr>
          <w:rFonts w:ascii="Times New Roman" w:hAnsi="Times New Roman" w:cs="Times New Roman"/>
          <w:sz w:val="28"/>
          <w:szCs w:val="28"/>
          <w:lang w:val="ru-RU"/>
        </w:rPr>
        <w:t xml:space="preserve"> шляхом </w:t>
      </w:r>
      <w:r w:rsidRPr="0078616F">
        <w:rPr>
          <w:rFonts w:ascii="Times New Roman" w:hAnsi="Times New Roman" w:cs="Times New Roman"/>
          <w:sz w:val="28"/>
          <w:szCs w:val="28"/>
          <w:lang w:val="ru-RU"/>
        </w:rPr>
        <w:lastRenderedPageBreak/>
        <w:t>внутрішньочеревно</w:t>
      </w:r>
      <w:r>
        <w:rPr>
          <w:rFonts w:ascii="Times New Roman" w:hAnsi="Times New Roman" w:cs="Times New Roman"/>
          <w:sz w:val="28"/>
          <w:szCs w:val="28"/>
          <w:lang w:val="ru-RU"/>
        </w:rPr>
        <w:t>ї</w:t>
      </w:r>
      <w:r w:rsidRPr="0078616F">
        <w:rPr>
          <w:rFonts w:ascii="Times New Roman" w:hAnsi="Times New Roman" w:cs="Times New Roman"/>
          <w:sz w:val="28"/>
          <w:szCs w:val="28"/>
          <w:lang w:val="ru-RU"/>
        </w:rPr>
        <w:t xml:space="preserve"> ін'єкції овальбуміна і гідроксиду алюмінію протягом перших 3-х днів експерименту. Через п'ять днів </w:t>
      </w:r>
      <w:r>
        <w:rPr>
          <w:rFonts w:ascii="Times New Roman" w:hAnsi="Times New Roman" w:cs="Times New Roman"/>
          <w:sz w:val="28"/>
          <w:szCs w:val="28"/>
          <w:lang w:val="ru-RU"/>
        </w:rPr>
        <w:t>кролям під місцевою анестезією і</w:t>
      </w:r>
      <w:r w:rsidRPr="0078616F">
        <w:rPr>
          <w:rFonts w:ascii="Times New Roman" w:hAnsi="Times New Roman" w:cs="Times New Roman"/>
          <w:sz w:val="28"/>
          <w:szCs w:val="28"/>
          <w:lang w:val="ru-RU"/>
        </w:rPr>
        <w:t xml:space="preserve">нтраназально </w:t>
      </w:r>
      <w:r>
        <w:rPr>
          <w:rFonts w:ascii="Times New Roman" w:hAnsi="Times New Roman" w:cs="Times New Roman"/>
          <w:sz w:val="28"/>
          <w:szCs w:val="28"/>
          <w:lang w:val="ru-RU"/>
        </w:rPr>
        <w:t>вводили</w:t>
      </w:r>
      <w:r w:rsidRPr="0078616F">
        <w:rPr>
          <w:rFonts w:ascii="Times New Roman" w:hAnsi="Times New Roman" w:cs="Times New Roman"/>
          <w:sz w:val="28"/>
          <w:szCs w:val="28"/>
          <w:lang w:val="ru-RU"/>
        </w:rPr>
        <w:t xml:space="preserve"> в два рази меншу дозу овальб</w:t>
      </w:r>
      <w:r>
        <w:rPr>
          <w:rFonts w:ascii="Times New Roman" w:hAnsi="Times New Roman" w:cs="Times New Roman"/>
          <w:sz w:val="28"/>
          <w:szCs w:val="28"/>
          <w:lang w:val="ru-RU"/>
        </w:rPr>
        <w:t>уміна (8-й день) і повторювали інтраназальн</w:t>
      </w:r>
      <w:r w:rsidR="00F42F7A">
        <w:rPr>
          <w:rFonts w:ascii="Times New Roman" w:hAnsi="Times New Roman" w:cs="Times New Roman"/>
          <w:sz w:val="28"/>
          <w:szCs w:val="28"/>
          <w:lang w:val="ru-RU"/>
        </w:rPr>
        <w:t xml:space="preserve">е введення овальбуміна </w:t>
      </w:r>
      <w:r w:rsidRPr="0078616F">
        <w:rPr>
          <w:rFonts w:ascii="Times New Roman" w:hAnsi="Times New Roman" w:cs="Times New Roman"/>
          <w:sz w:val="28"/>
          <w:szCs w:val="28"/>
          <w:lang w:val="ru-RU"/>
        </w:rPr>
        <w:t>на 16-й, 17-й, 20-й і 21-й день.</w:t>
      </w:r>
      <w:r>
        <w:rPr>
          <w:rFonts w:ascii="Times New Roman" w:hAnsi="Times New Roman" w:cs="Times New Roman"/>
          <w:sz w:val="28"/>
          <w:szCs w:val="28"/>
          <w:lang w:val="ru-RU"/>
        </w:rPr>
        <w:t xml:space="preserve"> </w:t>
      </w:r>
    </w:p>
    <w:p w14:paraId="2CD06777" w14:textId="65D4A7E9" w:rsidR="0078616F" w:rsidRDefault="0078616F" w:rsidP="0056180A">
      <w:pPr>
        <w:autoSpaceDE w:val="0"/>
        <w:autoSpaceDN w:val="0"/>
        <w:adjustRightInd w:val="0"/>
        <w:spacing w:line="360" w:lineRule="auto"/>
        <w:ind w:firstLine="709"/>
        <w:jc w:val="both"/>
        <w:rPr>
          <w:rFonts w:ascii="Times New Roman" w:hAnsi="Times New Roman" w:cs="Times New Roman"/>
          <w:sz w:val="28"/>
          <w:szCs w:val="28"/>
          <w:lang w:val="ru-RU"/>
        </w:rPr>
      </w:pPr>
      <w:r w:rsidRPr="0078616F">
        <w:rPr>
          <w:rFonts w:ascii="Times New Roman" w:hAnsi="Times New Roman" w:cs="Times New Roman"/>
          <w:sz w:val="28"/>
          <w:szCs w:val="28"/>
          <w:lang w:val="ru-RU"/>
        </w:rPr>
        <w:t>Дози препаратів, які використовуються</w:t>
      </w:r>
      <w:r>
        <w:rPr>
          <w:rFonts w:ascii="Times New Roman" w:hAnsi="Times New Roman" w:cs="Times New Roman"/>
          <w:sz w:val="28"/>
          <w:szCs w:val="28"/>
          <w:lang w:val="ru-RU"/>
        </w:rPr>
        <w:t>,</w:t>
      </w:r>
      <w:r w:rsidRPr="0078616F">
        <w:rPr>
          <w:rFonts w:ascii="Times New Roman" w:hAnsi="Times New Roman" w:cs="Times New Roman"/>
          <w:sz w:val="28"/>
          <w:szCs w:val="28"/>
          <w:lang w:val="ru-RU"/>
        </w:rPr>
        <w:t xml:space="preserve"> визначали відповідно до маси тіла тварини</w:t>
      </w:r>
      <w:r>
        <w:rPr>
          <w:rFonts w:ascii="Times New Roman" w:hAnsi="Times New Roman" w:cs="Times New Roman"/>
          <w:sz w:val="28"/>
          <w:szCs w:val="28"/>
          <w:lang w:val="ru-RU"/>
        </w:rPr>
        <w:t>. Були сформовані три групи</w:t>
      </w:r>
      <w:r w:rsidRPr="0078616F">
        <w:rPr>
          <w:rFonts w:ascii="Times New Roman" w:hAnsi="Times New Roman" w:cs="Times New Roman"/>
          <w:sz w:val="28"/>
          <w:szCs w:val="28"/>
          <w:lang w:val="ru-RU"/>
        </w:rPr>
        <w:t>: інтактні тварини</w:t>
      </w:r>
      <w:r>
        <w:rPr>
          <w:rFonts w:ascii="Times New Roman" w:hAnsi="Times New Roman" w:cs="Times New Roman"/>
          <w:sz w:val="28"/>
          <w:szCs w:val="28"/>
          <w:lang w:val="ru-RU"/>
        </w:rPr>
        <w:t xml:space="preserve"> (10 тварин)</w:t>
      </w:r>
      <w:r w:rsidRPr="0078616F">
        <w:rPr>
          <w:rFonts w:ascii="Times New Roman" w:hAnsi="Times New Roman" w:cs="Times New Roman"/>
          <w:sz w:val="28"/>
          <w:szCs w:val="28"/>
          <w:lang w:val="ru-RU"/>
        </w:rPr>
        <w:t xml:space="preserve">, група </w:t>
      </w:r>
      <w:r>
        <w:rPr>
          <w:rFonts w:ascii="Times New Roman" w:hAnsi="Times New Roman" w:cs="Times New Roman"/>
          <w:sz w:val="28"/>
          <w:szCs w:val="28"/>
          <w:lang w:val="ru-RU"/>
        </w:rPr>
        <w:t>тварин з модельованою атопією (15 тварин), група тварин з модельованою атопією, яка</w:t>
      </w:r>
      <w:r w:rsidRPr="0078616F">
        <w:rPr>
          <w:rFonts w:ascii="Times New Roman" w:hAnsi="Times New Roman" w:cs="Times New Roman"/>
          <w:sz w:val="28"/>
          <w:szCs w:val="28"/>
          <w:lang w:val="ru-RU"/>
        </w:rPr>
        <w:t xml:space="preserve"> отримувала </w:t>
      </w:r>
      <w:r>
        <w:rPr>
          <w:rFonts w:ascii="Times New Roman" w:hAnsi="Times New Roman" w:cs="Times New Roman"/>
          <w:sz w:val="28"/>
          <w:szCs w:val="28"/>
          <w:lang w:val="ru-RU"/>
        </w:rPr>
        <w:t xml:space="preserve">місцеву </w:t>
      </w:r>
      <w:r w:rsidRPr="0078616F">
        <w:rPr>
          <w:rFonts w:ascii="Times New Roman" w:hAnsi="Times New Roman" w:cs="Times New Roman"/>
          <w:sz w:val="28"/>
          <w:szCs w:val="28"/>
          <w:lang w:val="ru-RU"/>
        </w:rPr>
        <w:t xml:space="preserve">терапію </w:t>
      </w:r>
      <w:r>
        <w:rPr>
          <w:rFonts w:ascii="Times New Roman" w:hAnsi="Times New Roman" w:cs="Times New Roman"/>
          <w:sz w:val="28"/>
          <w:szCs w:val="28"/>
          <w:lang w:val="ru-RU"/>
        </w:rPr>
        <w:t>у вигляді аплікацій гел</w:t>
      </w:r>
      <w:r w:rsidR="00F42F7A">
        <w:rPr>
          <w:rFonts w:ascii="Times New Roman" w:hAnsi="Times New Roman" w:cs="Times New Roman"/>
          <w:sz w:val="28"/>
          <w:szCs w:val="28"/>
          <w:lang w:val="ru-RU"/>
        </w:rPr>
        <w:t>ю, який містить бетаїн, алое вера</w:t>
      </w:r>
      <w:r>
        <w:rPr>
          <w:rFonts w:ascii="Times New Roman" w:hAnsi="Times New Roman" w:cs="Times New Roman"/>
          <w:sz w:val="28"/>
          <w:szCs w:val="28"/>
          <w:lang w:val="ru-RU"/>
        </w:rPr>
        <w:t>, ксиліт («</w:t>
      </w:r>
      <w:r>
        <w:rPr>
          <w:rFonts w:ascii="Times New Roman" w:hAnsi="Times New Roman" w:cs="Times New Roman"/>
          <w:sz w:val="28"/>
          <w:szCs w:val="28"/>
        </w:rPr>
        <w:t>Dentaid</w:t>
      </w:r>
      <w:r w:rsidRPr="0078616F">
        <w:rPr>
          <w:rFonts w:ascii="Times New Roman" w:hAnsi="Times New Roman" w:cs="Times New Roman"/>
          <w:sz w:val="28"/>
          <w:szCs w:val="28"/>
          <w:lang w:val="ru-RU"/>
        </w:rPr>
        <w:t xml:space="preserve"> </w:t>
      </w:r>
      <w:r>
        <w:rPr>
          <w:rFonts w:ascii="Times New Roman" w:hAnsi="Times New Roman" w:cs="Times New Roman"/>
          <w:sz w:val="28"/>
          <w:szCs w:val="28"/>
        </w:rPr>
        <w:t>Xeros</w:t>
      </w:r>
      <w:r>
        <w:rPr>
          <w:rFonts w:ascii="Times New Roman" w:hAnsi="Times New Roman" w:cs="Times New Roman"/>
          <w:sz w:val="28"/>
          <w:szCs w:val="28"/>
          <w:lang w:val="ru-RU"/>
        </w:rPr>
        <w:t>»</w:t>
      </w:r>
      <w:r w:rsidRPr="0078616F">
        <w:rPr>
          <w:rFonts w:ascii="Times New Roman" w:hAnsi="Times New Roman" w:cs="Times New Roman"/>
          <w:sz w:val="28"/>
          <w:szCs w:val="28"/>
          <w:lang w:val="ru-RU"/>
        </w:rPr>
        <w:t xml:space="preserve">, </w:t>
      </w:r>
      <w:r>
        <w:rPr>
          <w:rFonts w:ascii="Times New Roman" w:hAnsi="Times New Roman" w:cs="Times New Roman"/>
          <w:sz w:val="28"/>
          <w:szCs w:val="28"/>
          <w:lang w:val="ru-RU"/>
        </w:rPr>
        <w:t>Dentaid I</w:t>
      </w:r>
      <w:r w:rsidRPr="0078616F">
        <w:rPr>
          <w:rFonts w:ascii="Times New Roman" w:hAnsi="Times New Roman" w:cs="Times New Roman"/>
          <w:sz w:val="28"/>
          <w:szCs w:val="28"/>
          <w:lang w:val="ru-RU"/>
        </w:rPr>
        <w:t>nternational</w:t>
      </w:r>
      <w:r>
        <w:rPr>
          <w:rFonts w:ascii="Times New Roman" w:hAnsi="Times New Roman" w:cs="Times New Roman"/>
          <w:sz w:val="28"/>
          <w:szCs w:val="28"/>
          <w:lang w:val="uk-UA"/>
        </w:rPr>
        <w:t>, Іспанія</w:t>
      </w:r>
      <w:r>
        <w:rPr>
          <w:rFonts w:ascii="Times New Roman" w:hAnsi="Times New Roman" w:cs="Times New Roman"/>
          <w:sz w:val="28"/>
          <w:szCs w:val="28"/>
          <w:lang w:val="ru-RU"/>
        </w:rPr>
        <w:t>) (15 тварин)</w:t>
      </w:r>
      <w:r w:rsidRPr="0078616F">
        <w:rPr>
          <w:rFonts w:ascii="Times New Roman" w:hAnsi="Times New Roman" w:cs="Times New Roman"/>
          <w:sz w:val="28"/>
          <w:szCs w:val="28"/>
          <w:lang w:val="ru-RU"/>
        </w:rPr>
        <w:t xml:space="preserve"> (рис.2</w:t>
      </w:r>
      <w:r w:rsidR="00C01419">
        <w:rPr>
          <w:rFonts w:ascii="Times New Roman" w:hAnsi="Times New Roman" w:cs="Times New Roman"/>
          <w:sz w:val="28"/>
          <w:szCs w:val="28"/>
          <w:lang w:val="ru-RU"/>
        </w:rPr>
        <w:t>.2</w:t>
      </w:r>
      <w:r w:rsidRPr="0078616F">
        <w:rPr>
          <w:rFonts w:ascii="Times New Roman" w:hAnsi="Times New Roman" w:cs="Times New Roman"/>
          <w:sz w:val="28"/>
          <w:szCs w:val="28"/>
          <w:lang w:val="ru-RU"/>
        </w:rPr>
        <w:t>).</w:t>
      </w:r>
    </w:p>
    <w:p w14:paraId="42541A9B" w14:textId="77777777" w:rsidR="00C01419" w:rsidRPr="00C01419" w:rsidRDefault="00C01419" w:rsidP="00C01419">
      <w:pPr>
        <w:spacing w:line="360" w:lineRule="auto"/>
        <w:ind w:firstLine="900"/>
        <w:jc w:val="both"/>
        <w:rPr>
          <w:sz w:val="28"/>
          <w:szCs w:val="28"/>
          <w:shd w:val="clear" w:color="auto" w:fill="FFFFFF"/>
          <w:lang w:val="ru-RU"/>
        </w:rPr>
      </w:pPr>
    </w:p>
    <w:p w14:paraId="2F8D8673" w14:textId="33B50293" w:rsidR="00C01419" w:rsidRPr="00947EBD" w:rsidRDefault="00C01419" w:rsidP="00C01419">
      <w:pPr>
        <w:spacing w:line="360" w:lineRule="auto"/>
        <w:jc w:val="both"/>
        <w:rPr>
          <w:sz w:val="28"/>
          <w:szCs w:val="28"/>
          <w:shd w:val="clear" w:color="auto" w:fill="FFFFFF"/>
        </w:rPr>
      </w:pPr>
      <w:r w:rsidRPr="00947EBD">
        <w:rPr>
          <w:noProof/>
          <w:sz w:val="28"/>
          <w:szCs w:val="28"/>
          <w:shd w:val="clear" w:color="auto" w:fill="FFFFFF"/>
        </w:rPr>
        <w:drawing>
          <wp:inline distT="0" distB="0" distL="0" distR="0" wp14:anchorId="17E18911" wp14:editId="475219CF">
            <wp:extent cx="6105525" cy="2800350"/>
            <wp:effectExtent l="0" t="0" r="9525" b="0"/>
            <wp:docPr id="25" name="Picture 25"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05525" cy="2800350"/>
                    </a:xfrm>
                    <a:prstGeom prst="rect">
                      <a:avLst/>
                    </a:prstGeom>
                    <a:noFill/>
                    <a:ln>
                      <a:noFill/>
                    </a:ln>
                  </pic:spPr>
                </pic:pic>
              </a:graphicData>
            </a:graphic>
          </wp:inline>
        </w:drawing>
      </w:r>
    </w:p>
    <w:p w14:paraId="636BB0F5" w14:textId="03EF8C4B" w:rsidR="00C01419" w:rsidRPr="00C01419" w:rsidRDefault="00C01419" w:rsidP="00C01419">
      <w:pPr>
        <w:autoSpaceDE w:val="0"/>
        <w:autoSpaceDN w:val="0"/>
        <w:adjustRightInd w:val="0"/>
        <w:spacing w:line="360" w:lineRule="auto"/>
        <w:jc w:val="both"/>
        <w:rPr>
          <w:rFonts w:ascii="Times New Roman" w:hAnsi="Times New Roman" w:cs="Times New Roman"/>
          <w:sz w:val="28"/>
          <w:szCs w:val="28"/>
          <w:lang w:val="uk-UA"/>
        </w:rPr>
      </w:pPr>
      <w:r w:rsidRPr="00C01419">
        <w:rPr>
          <w:rFonts w:ascii="Times New Roman" w:hAnsi="Times New Roman" w:cs="Times New Roman"/>
          <w:sz w:val="28"/>
          <w:szCs w:val="28"/>
          <w:lang w:val="ru-RU"/>
        </w:rPr>
        <w:t>Рис.2.</w:t>
      </w:r>
      <w:r>
        <w:rPr>
          <w:rFonts w:ascii="Times New Roman" w:hAnsi="Times New Roman" w:cs="Times New Roman"/>
          <w:sz w:val="28"/>
          <w:szCs w:val="28"/>
          <w:lang w:val="uk-UA"/>
        </w:rPr>
        <w:t>2.</w:t>
      </w:r>
      <w:r w:rsidRPr="00C01419">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Обробка м’яких тканин порожнини рота кролів за допомогою гелю з бетаїном, </w:t>
      </w:r>
      <w:r w:rsidR="00F42F7A">
        <w:rPr>
          <w:rFonts w:ascii="Times New Roman" w:hAnsi="Times New Roman" w:cs="Times New Roman"/>
          <w:sz w:val="28"/>
          <w:szCs w:val="28"/>
          <w:lang w:val="uk-UA"/>
        </w:rPr>
        <w:t>алое вера</w:t>
      </w:r>
      <w:r>
        <w:rPr>
          <w:rFonts w:ascii="Times New Roman" w:hAnsi="Times New Roman" w:cs="Times New Roman"/>
          <w:sz w:val="28"/>
          <w:szCs w:val="28"/>
          <w:lang w:val="uk-UA"/>
        </w:rPr>
        <w:t>, ксилітом третьої групи експериментальних тварин</w:t>
      </w:r>
    </w:p>
    <w:p w14:paraId="0D883318" w14:textId="08A8F5AF" w:rsidR="00C01419" w:rsidRPr="00EA04CC" w:rsidRDefault="00C01419" w:rsidP="0056180A">
      <w:pPr>
        <w:autoSpaceDE w:val="0"/>
        <w:autoSpaceDN w:val="0"/>
        <w:adjustRightInd w:val="0"/>
        <w:spacing w:line="360" w:lineRule="auto"/>
        <w:ind w:firstLine="709"/>
        <w:jc w:val="both"/>
        <w:rPr>
          <w:rFonts w:ascii="Times New Roman" w:hAnsi="Times New Roman" w:cs="Times New Roman"/>
          <w:sz w:val="28"/>
          <w:szCs w:val="28"/>
          <w:lang w:val="uk-UA"/>
        </w:rPr>
      </w:pPr>
      <w:r w:rsidRPr="00C01419">
        <w:rPr>
          <w:rFonts w:ascii="Times New Roman" w:hAnsi="Times New Roman" w:cs="Times New Roman"/>
          <w:sz w:val="28"/>
          <w:szCs w:val="28"/>
          <w:lang w:val="uk-UA"/>
        </w:rPr>
        <w:t>Після виведення кролів з експерименту, тканини слизової оболонки ротової порожнини фіксували в 10% формаліні і після рутинної проводки виготовляли зрізи, які фарбувал</w:t>
      </w:r>
      <w:r>
        <w:rPr>
          <w:rFonts w:ascii="Times New Roman" w:hAnsi="Times New Roman" w:cs="Times New Roman"/>
          <w:sz w:val="28"/>
          <w:szCs w:val="28"/>
          <w:lang w:val="uk-UA"/>
        </w:rPr>
        <w:t>и гематоксиліном і еозином, за Ван-Гізоном</w:t>
      </w:r>
      <w:r w:rsidRPr="00C01419">
        <w:rPr>
          <w:rFonts w:ascii="Times New Roman" w:hAnsi="Times New Roman" w:cs="Times New Roman"/>
          <w:sz w:val="28"/>
          <w:szCs w:val="28"/>
          <w:lang w:val="uk-UA"/>
        </w:rPr>
        <w:t xml:space="preserve">, ставили </w:t>
      </w:r>
      <w:r w:rsidRPr="00C01419">
        <w:rPr>
          <w:rFonts w:ascii="Times New Roman" w:hAnsi="Times New Roman" w:cs="Times New Roman"/>
          <w:sz w:val="28"/>
          <w:szCs w:val="28"/>
          <w:lang w:val="ru-RU"/>
        </w:rPr>
        <w:t>PAS</w:t>
      </w:r>
      <w:r w:rsidR="00670A97">
        <w:rPr>
          <w:rFonts w:ascii="Times New Roman" w:hAnsi="Times New Roman" w:cs="Times New Roman"/>
          <w:sz w:val="28"/>
          <w:szCs w:val="28"/>
          <w:lang w:val="uk-UA"/>
        </w:rPr>
        <w:t>-реакцію</w:t>
      </w:r>
      <w:r w:rsidRPr="00EA04CC">
        <w:rPr>
          <w:rFonts w:ascii="Times New Roman" w:hAnsi="Times New Roman" w:cs="Times New Roman"/>
          <w:sz w:val="28"/>
          <w:szCs w:val="28"/>
          <w:lang w:val="uk-UA"/>
        </w:rPr>
        <w:t xml:space="preserve">. </w:t>
      </w:r>
    </w:p>
    <w:p w14:paraId="471BF5F2" w14:textId="7C7B2479" w:rsidR="00E45A7E" w:rsidRPr="00E45A7E" w:rsidRDefault="00C01419" w:rsidP="00A448F8">
      <w:pPr>
        <w:autoSpaceDE w:val="0"/>
        <w:autoSpaceDN w:val="0"/>
        <w:adjustRightInd w:val="0"/>
        <w:spacing w:line="360" w:lineRule="auto"/>
        <w:ind w:firstLine="709"/>
        <w:jc w:val="both"/>
        <w:rPr>
          <w:rFonts w:ascii="Times New Roman" w:hAnsi="Times New Roman" w:cs="Times New Roman"/>
          <w:sz w:val="28"/>
          <w:szCs w:val="28"/>
        </w:rPr>
      </w:pPr>
      <w:r w:rsidRPr="00EA04CC">
        <w:rPr>
          <w:rFonts w:ascii="Times New Roman" w:hAnsi="Times New Roman" w:cs="Times New Roman"/>
          <w:sz w:val="28"/>
          <w:szCs w:val="28"/>
          <w:lang w:val="uk-UA"/>
        </w:rPr>
        <w:t xml:space="preserve">Імуногістохімічне дослідження (ІГХ) проводили постановкою непрямої імунопероксидазної реакції з моноклональними антитілами (МКА) до </w:t>
      </w:r>
      <w:r w:rsidRPr="00EA04CC">
        <w:rPr>
          <w:rFonts w:ascii="Times New Roman" w:hAnsi="Times New Roman" w:cs="Times New Roman"/>
          <w:sz w:val="28"/>
          <w:szCs w:val="28"/>
          <w:lang w:val="uk-UA"/>
        </w:rPr>
        <w:lastRenderedPageBreak/>
        <w:t xml:space="preserve">ендотеліальної </w:t>
      </w:r>
      <w:r w:rsidR="0025200C">
        <w:rPr>
          <w:rFonts w:ascii="Times New Roman" w:hAnsi="Times New Roman" w:cs="Times New Roman"/>
          <w:sz w:val="28"/>
          <w:szCs w:val="28"/>
          <w:lang w:val="uk-UA"/>
        </w:rPr>
        <w:t>і індуци</w:t>
      </w:r>
      <w:r w:rsidRPr="00EA04CC">
        <w:rPr>
          <w:rFonts w:ascii="Times New Roman" w:hAnsi="Times New Roman" w:cs="Times New Roman"/>
          <w:sz w:val="28"/>
          <w:szCs w:val="28"/>
          <w:lang w:val="uk-UA"/>
        </w:rPr>
        <w:t xml:space="preserve">бельної фракціям </w:t>
      </w:r>
      <w:r w:rsidRPr="00C01419">
        <w:rPr>
          <w:rFonts w:ascii="Times New Roman" w:hAnsi="Times New Roman" w:cs="Times New Roman"/>
          <w:sz w:val="28"/>
          <w:szCs w:val="28"/>
          <w:lang w:val="ru-RU"/>
        </w:rPr>
        <w:t>NO</w:t>
      </w:r>
      <w:r w:rsidRPr="00EA04CC">
        <w:rPr>
          <w:rFonts w:ascii="Times New Roman" w:hAnsi="Times New Roman" w:cs="Times New Roman"/>
          <w:sz w:val="28"/>
          <w:szCs w:val="28"/>
          <w:lang w:val="uk-UA"/>
        </w:rPr>
        <w:t>-синтази (</w:t>
      </w:r>
      <w:r w:rsidRPr="00C01419">
        <w:rPr>
          <w:rFonts w:ascii="Times New Roman" w:hAnsi="Times New Roman" w:cs="Times New Roman"/>
          <w:sz w:val="28"/>
          <w:szCs w:val="28"/>
          <w:lang w:val="ru-RU"/>
        </w:rPr>
        <w:t>eNOs</w:t>
      </w:r>
      <w:r w:rsidRPr="00EA04CC">
        <w:rPr>
          <w:rFonts w:ascii="Times New Roman" w:hAnsi="Times New Roman" w:cs="Times New Roman"/>
          <w:sz w:val="28"/>
          <w:szCs w:val="28"/>
          <w:lang w:val="uk-UA"/>
        </w:rPr>
        <w:t xml:space="preserve"> і </w:t>
      </w:r>
      <w:r w:rsidRPr="00C01419">
        <w:rPr>
          <w:rFonts w:ascii="Times New Roman" w:hAnsi="Times New Roman" w:cs="Times New Roman"/>
          <w:sz w:val="28"/>
          <w:szCs w:val="28"/>
          <w:lang w:val="ru-RU"/>
        </w:rPr>
        <w:t>iNOs</w:t>
      </w:r>
      <w:r w:rsidRPr="00EA04CC">
        <w:rPr>
          <w:rFonts w:ascii="Times New Roman" w:hAnsi="Times New Roman" w:cs="Times New Roman"/>
          <w:sz w:val="28"/>
          <w:szCs w:val="28"/>
          <w:lang w:val="uk-UA"/>
        </w:rPr>
        <w:t xml:space="preserve"> відповідно), </w:t>
      </w:r>
      <w:r w:rsidRPr="00C01419">
        <w:rPr>
          <w:rFonts w:ascii="Times New Roman" w:hAnsi="Times New Roman" w:cs="Times New Roman"/>
          <w:sz w:val="28"/>
          <w:szCs w:val="28"/>
          <w:lang w:val="ru-RU"/>
        </w:rPr>
        <w:t>collagen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IV</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3,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30,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20, </w:t>
      </w:r>
      <w:r w:rsidRPr="00C01419">
        <w:rPr>
          <w:rFonts w:ascii="Times New Roman" w:hAnsi="Times New Roman" w:cs="Times New Roman"/>
          <w:sz w:val="28"/>
          <w:szCs w:val="28"/>
          <w:lang w:val="ru-RU"/>
        </w:rPr>
        <w:t>CD</w:t>
      </w:r>
      <w:r w:rsidRPr="00EA04CC">
        <w:rPr>
          <w:rFonts w:ascii="Times New Roman" w:hAnsi="Times New Roman" w:cs="Times New Roman"/>
          <w:sz w:val="28"/>
          <w:szCs w:val="28"/>
          <w:lang w:val="uk-UA"/>
        </w:rPr>
        <w:t xml:space="preserve">23, </w:t>
      </w:r>
      <w:r w:rsidRPr="00C01419">
        <w:rPr>
          <w:rFonts w:ascii="Times New Roman" w:hAnsi="Times New Roman" w:cs="Times New Roman"/>
          <w:sz w:val="28"/>
          <w:szCs w:val="28"/>
          <w:lang w:val="ru-RU"/>
        </w:rPr>
        <w:t>VEGF</w:t>
      </w:r>
      <w:r w:rsidRPr="00EA04CC">
        <w:rPr>
          <w:rFonts w:ascii="Times New Roman" w:hAnsi="Times New Roman" w:cs="Times New Roman"/>
          <w:sz w:val="28"/>
          <w:szCs w:val="28"/>
          <w:lang w:val="uk-UA"/>
        </w:rPr>
        <w:t xml:space="preserve"> фірми </w:t>
      </w:r>
      <w:r w:rsidRPr="00C01419">
        <w:rPr>
          <w:rFonts w:ascii="Times New Roman" w:hAnsi="Times New Roman" w:cs="Times New Roman"/>
          <w:sz w:val="28"/>
          <w:szCs w:val="28"/>
          <w:lang w:val="ru-RU"/>
        </w:rPr>
        <w:t>Thermo</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scientific</w:t>
      </w:r>
      <w:r w:rsidRPr="00EA04CC">
        <w:rPr>
          <w:rFonts w:ascii="Times New Roman" w:hAnsi="Times New Roman" w:cs="Times New Roman"/>
          <w:sz w:val="28"/>
          <w:szCs w:val="28"/>
          <w:lang w:val="uk-UA"/>
        </w:rPr>
        <w:t>. Специфічність рецепторів, визначених ІГХ дослідженням, представлена у таблиці</w:t>
      </w:r>
      <w:r w:rsidR="00670A97">
        <w:rPr>
          <w:rFonts w:ascii="Times New Roman" w:hAnsi="Times New Roman" w:cs="Times New Roman"/>
          <w:sz w:val="28"/>
          <w:szCs w:val="28"/>
          <w:lang w:val="uk-UA"/>
        </w:rPr>
        <w:t xml:space="preserve"> 2.2</w:t>
      </w:r>
      <w:r w:rsidRPr="00EA04CC">
        <w:rPr>
          <w:rFonts w:ascii="Times New Roman" w:hAnsi="Times New Roman" w:cs="Times New Roman"/>
          <w:sz w:val="28"/>
          <w:szCs w:val="28"/>
          <w:lang w:val="uk-UA"/>
        </w:rPr>
        <w:t xml:space="preserve">. Реакція візуалізувалася за допомогою набору </w:t>
      </w:r>
      <w:r w:rsidRPr="00C01419">
        <w:rPr>
          <w:rFonts w:ascii="Times New Roman" w:hAnsi="Times New Roman" w:cs="Times New Roman"/>
          <w:sz w:val="28"/>
          <w:szCs w:val="28"/>
          <w:lang w:val="ru-RU"/>
        </w:rPr>
        <w:t>UltraVision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LP</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Detection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System</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HRP</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Polymer</w:t>
      </w:r>
      <w:r w:rsidRPr="00EA04CC">
        <w:rPr>
          <w:rFonts w:ascii="Times New Roman" w:hAnsi="Times New Roman" w:cs="Times New Roman"/>
          <w:sz w:val="28"/>
          <w:szCs w:val="28"/>
          <w:lang w:val="uk-UA"/>
        </w:rPr>
        <w:t xml:space="preserve"> &amp; </w:t>
      </w:r>
      <w:r w:rsidRPr="00C01419">
        <w:rPr>
          <w:rFonts w:ascii="Times New Roman" w:hAnsi="Times New Roman" w:cs="Times New Roman"/>
          <w:sz w:val="28"/>
          <w:szCs w:val="28"/>
          <w:lang w:val="ru-RU"/>
        </w:rPr>
        <w:t>DAB</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Plus</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Chromogen</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Thermo</w:t>
      </w:r>
      <w:r w:rsidRPr="00EA04CC">
        <w:rPr>
          <w:rFonts w:ascii="Times New Roman" w:hAnsi="Times New Roman" w:cs="Times New Roman"/>
          <w:sz w:val="28"/>
          <w:szCs w:val="28"/>
          <w:lang w:val="uk-UA"/>
        </w:rPr>
        <w:t xml:space="preserve"> </w:t>
      </w:r>
      <w:r w:rsidRPr="00C01419">
        <w:rPr>
          <w:rFonts w:ascii="Times New Roman" w:hAnsi="Times New Roman" w:cs="Times New Roman"/>
          <w:sz w:val="28"/>
          <w:szCs w:val="28"/>
          <w:lang w:val="ru-RU"/>
        </w:rPr>
        <w:t>scientific</w:t>
      </w:r>
      <w:r w:rsidRPr="00EA04CC">
        <w:rPr>
          <w:rFonts w:ascii="Times New Roman" w:hAnsi="Times New Roman" w:cs="Times New Roman"/>
          <w:sz w:val="28"/>
          <w:szCs w:val="28"/>
          <w:lang w:val="uk-UA"/>
        </w:rPr>
        <w:t>). Виготовлення мікропрепаратів здійснювали на кафедрі патологічної анатомії Харківської медичної академ</w:t>
      </w:r>
      <w:r w:rsidR="002C1BA9" w:rsidRPr="00EA04CC">
        <w:rPr>
          <w:rFonts w:ascii="Times New Roman" w:hAnsi="Times New Roman" w:cs="Times New Roman"/>
          <w:sz w:val="28"/>
          <w:szCs w:val="28"/>
          <w:lang w:val="uk-UA"/>
        </w:rPr>
        <w:t>ії післядипломної освіти (зав. к</w:t>
      </w:r>
      <w:r w:rsidRPr="00EA04CC">
        <w:rPr>
          <w:rFonts w:ascii="Times New Roman" w:hAnsi="Times New Roman" w:cs="Times New Roman"/>
          <w:sz w:val="28"/>
          <w:szCs w:val="28"/>
          <w:lang w:val="uk-UA"/>
        </w:rPr>
        <w:t xml:space="preserve">афедрою </w:t>
      </w:r>
      <w:r w:rsidRPr="00C01419">
        <w:rPr>
          <w:rFonts w:ascii="Times New Roman" w:hAnsi="Times New Roman" w:cs="Times New Roman"/>
          <w:sz w:val="28"/>
          <w:szCs w:val="28"/>
          <w:lang w:val="ru-RU"/>
        </w:rPr>
        <w:t>І.І. Яковцова).</w:t>
      </w:r>
    </w:p>
    <w:p w14:paraId="4835A312" w14:textId="11CF2A17" w:rsidR="002C1BA9" w:rsidRPr="002C1BA9" w:rsidRDefault="00607395" w:rsidP="002C1BA9">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2.4</w:t>
      </w:r>
    </w:p>
    <w:p w14:paraId="4CBDD177" w14:textId="77777777" w:rsidR="002C1BA9" w:rsidRPr="002C1BA9" w:rsidRDefault="002C1BA9" w:rsidP="002C1BA9">
      <w:pPr>
        <w:spacing w:after="0" w:line="360" w:lineRule="auto"/>
        <w:jc w:val="center"/>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Панель антитіл для ІГХ дослідження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6"/>
        <w:gridCol w:w="5580"/>
        <w:gridCol w:w="2064"/>
      </w:tblGrid>
      <w:tr w:rsidR="002C1BA9" w:rsidRPr="002C1BA9" w14:paraId="339B0143" w14:textId="77777777" w:rsidTr="00EE0E06">
        <w:trPr>
          <w:trHeight w:val="325"/>
          <w:jc w:val="center"/>
        </w:trPr>
        <w:tc>
          <w:tcPr>
            <w:tcW w:w="1606" w:type="dxa"/>
            <w:shd w:val="clear" w:color="auto" w:fill="auto"/>
          </w:tcPr>
          <w:p w14:paraId="2919999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Антитіло</w:t>
            </w:r>
          </w:p>
        </w:tc>
        <w:tc>
          <w:tcPr>
            <w:tcW w:w="5580" w:type="dxa"/>
            <w:shd w:val="clear" w:color="auto" w:fill="auto"/>
          </w:tcPr>
          <w:p w14:paraId="5626547A" w14:textId="2FC2FD36"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ru-RU" w:eastAsia="ru-RU"/>
              </w:rPr>
              <w:t>Специфічність рецепторі</w:t>
            </w:r>
            <w:r w:rsidRPr="002C1BA9">
              <w:rPr>
                <w:rFonts w:ascii="Times New Roman" w:eastAsia="Times New Roman" w:hAnsi="Times New Roman" w:cs="Times New Roman"/>
                <w:sz w:val="28"/>
                <w:szCs w:val="28"/>
                <w:lang w:val="ru-RU" w:eastAsia="ru-RU"/>
              </w:rPr>
              <w:t>в</w:t>
            </w:r>
          </w:p>
        </w:tc>
        <w:tc>
          <w:tcPr>
            <w:tcW w:w="2064" w:type="dxa"/>
            <w:shd w:val="clear" w:color="auto" w:fill="auto"/>
          </w:tcPr>
          <w:p w14:paraId="1783BA9E"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 xml:space="preserve">Локалізація </w:t>
            </w:r>
          </w:p>
        </w:tc>
      </w:tr>
      <w:tr w:rsidR="002C1BA9" w:rsidRPr="002C1BA9" w14:paraId="5E2E3E6B" w14:textId="77777777" w:rsidTr="00EE0E06">
        <w:trPr>
          <w:trHeight w:val="343"/>
          <w:jc w:val="center"/>
        </w:trPr>
        <w:tc>
          <w:tcPr>
            <w:tcW w:w="1606" w:type="dxa"/>
            <w:shd w:val="clear" w:color="auto" w:fill="auto"/>
          </w:tcPr>
          <w:p w14:paraId="5C8C3437"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CD3</w:t>
            </w:r>
          </w:p>
        </w:tc>
        <w:tc>
          <w:tcPr>
            <w:tcW w:w="5580" w:type="dxa"/>
            <w:shd w:val="clear" w:color="auto" w:fill="auto"/>
          </w:tcPr>
          <w:p w14:paraId="09BC09C3" w14:textId="246FBB72"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М</w:t>
            </w:r>
            <w:r>
              <w:rPr>
                <w:rFonts w:ascii="Times New Roman" w:eastAsia="Times New Roman" w:hAnsi="Times New Roman" w:cs="Times New Roman"/>
                <w:iCs/>
                <w:sz w:val="28"/>
                <w:szCs w:val="28"/>
                <w:lang w:val="ru-RU" w:eastAsia="ru-RU"/>
              </w:rPr>
              <w:t>ультипротеїновий комплекс на поверхні Т-лімфоциті</w:t>
            </w:r>
            <w:r w:rsidRPr="002C1BA9">
              <w:rPr>
                <w:rFonts w:ascii="Times New Roman" w:eastAsia="Times New Roman" w:hAnsi="Times New Roman" w:cs="Times New Roman"/>
                <w:iCs/>
                <w:sz w:val="28"/>
                <w:szCs w:val="28"/>
                <w:lang w:val="ru-RU" w:eastAsia="ru-RU"/>
              </w:rPr>
              <w:t>в</w:t>
            </w:r>
          </w:p>
        </w:tc>
        <w:tc>
          <w:tcPr>
            <w:tcW w:w="2064" w:type="dxa"/>
            <w:shd w:val="clear" w:color="auto" w:fill="auto"/>
          </w:tcPr>
          <w:p w14:paraId="0DCF20E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Мембрана клітини</w:t>
            </w:r>
          </w:p>
        </w:tc>
      </w:tr>
      <w:tr w:rsidR="002C1BA9" w:rsidRPr="002C1BA9" w14:paraId="74F6DC7B" w14:textId="77777777" w:rsidTr="00EE0E06">
        <w:trPr>
          <w:trHeight w:val="325"/>
          <w:jc w:val="center"/>
        </w:trPr>
        <w:tc>
          <w:tcPr>
            <w:tcW w:w="1606" w:type="dxa"/>
            <w:shd w:val="clear" w:color="auto" w:fill="auto"/>
          </w:tcPr>
          <w:p w14:paraId="2F1D7C6B"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CD</w:t>
            </w:r>
            <w:r w:rsidRPr="002C1BA9">
              <w:rPr>
                <w:rFonts w:ascii="Times New Roman" w:eastAsia="Times New Roman" w:hAnsi="Times New Roman" w:cs="Times New Roman"/>
                <w:iCs/>
                <w:sz w:val="28"/>
                <w:szCs w:val="28"/>
                <w:lang w:val="ru-RU" w:eastAsia="ru-RU"/>
              </w:rPr>
              <w:t>20</w:t>
            </w:r>
          </w:p>
        </w:tc>
        <w:tc>
          <w:tcPr>
            <w:tcW w:w="5580" w:type="dxa"/>
            <w:shd w:val="clear" w:color="auto" w:fill="auto"/>
          </w:tcPr>
          <w:p w14:paraId="193ADDC7" w14:textId="30F6F373"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B</w:t>
            </w:r>
            <w:r w:rsidRPr="002C1BA9">
              <w:rPr>
                <w:rFonts w:ascii="Times New Roman" w:eastAsia="Times New Roman" w:hAnsi="Times New Roman" w:cs="Times New Roman"/>
                <w:iCs/>
                <w:sz w:val="28"/>
                <w:szCs w:val="28"/>
                <w:lang w:val="uk-UA" w:eastAsia="ru-RU"/>
              </w:rPr>
              <w:t xml:space="preserve">-лімфоцитарний антиген, корецептор, розташований на поверхні </w:t>
            </w:r>
            <w:r w:rsidRPr="002C1BA9">
              <w:rPr>
                <w:rFonts w:ascii="Times New Roman" w:eastAsia="Times New Roman" w:hAnsi="Times New Roman" w:cs="Times New Roman"/>
                <w:iCs/>
                <w:sz w:val="28"/>
                <w:szCs w:val="28"/>
                <w:lang w:eastAsia="ru-RU"/>
              </w:rPr>
              <w:t>B</w:t>
            </w:r>
            <w:r w:rsidRPr="002C1BA9">
              <w:rPr>
                <w:rFonts w:ascii="Times New Roman" w:eastAsia="Times New Roman" w:hAnsi="Times New Roman" w:cs="Times New Roman"/>
                <w:iCs/>
                <w:sz w:val="28"/>
                <w:szCs w:val="28"/>
                <w:lang w:val="uk-UA" w:eastAsia="ru-RU"/>
              </w:rPr>
              <w:t xml:space="preserve">-лімфоцитів, приймає участь у активації та проліфірації </w:t>
            </w:r>
            <w:r w:rsidRPr="002C1BA9">
              <w:rPr>
                <w:rFonts w:ascii="Times New Roman" w:eastAsia="Times New Roman" w:hAnsi="Times New Roman" w:cs="Times New Roman"/>
                <w:iCs/>
                <w:sz w:val="28"/>
                <w:szCs w:val="28"/>
                <w:lang w:eastAsia="ru-RU"/>
              </w:rPr>
              <w:t>B</w:t>
            </w:r>
            <w:r>
              <w:rPr>
                <w:rFonts w:ascii="Times New Roman" w:eastAsia="Times New Roman" w:hAnsi="Times New Roman" w:cs="Times New Roman"/>
                <w:iCs/>
                <w:sz w:val="28"/>
                <w:szCs w:val="28"/>
                <w:lang w:val="uk-UA" w:eastAsia="ru-RU"/>
              </w:rPr>
              <w:t>-лі</w:t>
            </w:r>
            <w:r w:rsidRPr="002C1BA9">
              <w:rPr>
                <w:rFonts w:ascii="Times New Roman" w:eastAsia="Times New Roman" w:hAnsi="Times New Roman" w:cs="Times New Roman"/>
                <w:iCs/>
                <w:sz w:val="28"/>
                <w:szCs w:val="28"/>
                <w:lang w:val="uk-UA" w:eastAsia="ru-RU"/>
              </w:rPr>
              <w:t>мфоцитів</w:t>
            </w:r>
          </w:p>
        </w:tc>
        <w:tc>
          <w:tcPr>
            <w:tcW w:w="2064" w:type="dxa"/>
            <w:shd w:val="clear" w:color="auto" w:fill="auto"/>
          </w:tcPr>
          <w:p w14:paraId="025AEB05"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2C1BA9" w:rsidRPr="002C1BA9" w14:paraId="157BFB70" w14:textId="77777777" w:rsidTr="00EE0E06">
        <w:trPr>
          <w:trHeight w:val="325"/>
          <w:jc w:val="center"/>
        </w:trPr>
        <w:tc>
          <w:tcPr>
            <w:tcW w:w="1606" w:type="dxa"/>
            <w:shd w:val="clear" w:color="auto" w:fill="auto"/>
          </w:tcPr>
          <w:p w14:paraId="3D754755"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CD</w:t>
            </w:r>
            <w:r w:rsidRPr="002C1BA9">
              <w:rPr>
                <w:rFonts w:ascii="Times New Roman" w:eastAsia="Times New Roman" w:hAnsi="Times New Roman" w:cs="Times New Roman"/>
                <w:iCs/>
                <w:sz w:val="28"/>
                <w:szCs w:val="28"/>
                <w:lang w:val="ru-RU" w:eastAsia="ru-RU"/>
              </w:rPr>
              <w:t>23</w:t>
            </w:r>
          </w:p>
        </w:tc>
        <w:tc>
          <w:tcPr>
            <w:tcW w:w="5580" w:type="dxa"/>
            <w:shd w:val="clear" w:color="auto" w:fill="auto"/>
          </w:tcPr>
          <w:p w14:paraId="573E60F8"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"Низькоафінний" рецептор IgE, ізотип антитіл, є важливим при регуляції рівнів IgE. Виявляється на зрілих В-клітинах, активізованих макрофагах, еозинофілах, фолікулярних дендритних клітинах та тромбоцитах.</w:t>
            </w:r>
          </w:p>
        </w:tc>
        <w:tc>
          <w:tcPr>
            <w:tcW w:w="2064" w:type="dxa"/>
            <w:shd w:val="clear" w:color="auto" w:fill="auto"/>
          </w:tcPr>
          <w:p w14:paraId="0F1AE2D0"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Мембрана клітини</w:t>
            </w:r>
          </w:p>
        </w:tc>
      </w:tr>
      <w:tr w:rsidR="002C1BA9" w:rsidRPr="002C1BA9" w14:paraId="761891AB" w14:textId="77777777" w:rsidTr="00EE0E06">
        <w:trPr>
          <w:trHeight w:val="343"/>
          <w:jc w:val="center"/>
        </w:trPr>
        <w:tc>
          <w:tcPr>
            <w:tcW w:w="1606" w:type="dxa"/>
            <w:shd w:val="clear" w:color="auto" w:fill="auto"/>
          </w:tcPr>
          <w:p w14:paraId="5069C22A"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CD30</w:t>
            </w:r>
          </w:p>
        </w:tc>
        <w:tc>
          <w:tcPr>
            <w:tcW w:w="5580" w:type="dxa"/>
            <w:shd w:val="clear" w:color="auto" w:fill="auto"/>
          </w:tcPr>
          <w:p w14:paraId="044AB43B" w14:textId="7A7C4216"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iCs/>
                <w:sz w:val="28"/>
                <w:szCs w:val="28"/>
                <w:lang w:val="ru-RU" w:eastAsia="ru-RU"/>
              </w:rPr>
              <w:t xml:space="preserve">Протеїн мембрани клітини з родини рецепторів для факторів некроза пухлини </w:t>
            </w:r>
          </w:p>
        </w:tc>
        <w:tc>
          <w:tcPr>
            <w:tcW w:w="2064" w:type="dxa"/>
            <w:shd w:val="clear" w:color="auto" w:fill="auto"/>
          </w:tcPr>
          <w:p w14:paraId="40F0EF4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783A88" w:rsidRPr="002C1BA9" w14:paraId="3DC66107" w14:textId="77777777" w:rsidTr="00BD034E">
        <w:trPr>
          <w:trHeight w:val="1459"/>
          <w:jc w:val="center"/>
        </w:trPr>
        <w:tc>
          <w:tcPr>
            <w:tcW w:w="1606" w:type="dxa"/>
            <w:shd w:val="clear" w:color="auto" w:fill="auto"/>
          </w:tcPr>
          <w:p w14:paraId="27993845"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eastAsia="ru-RU"/>
              </w:rPr>
              <w:t>collagen</w:t>
            </w:r>
            <w:r w:rsidRPr="002C1BA9">
              <w:rPr>
                <w:rFonts w:ascii="Times New Roman" w:eastAsia="Times New Roman" w:hAnsi="Times New Roman" w:cs="Times New Roman"/>
                <w:iCs/>
                <w:sz w:val="28"/>
                <w:szCs w:val="28"/>
                <w:lang w:val="ru-RU" w:eastAsia="ru-RU"/>
              </w:rPr>
              <w:t xml:space="preserve"> </w:t>
            </w:r>
            <w:r w:rsidRPr="002C1BA9">
              <w:rPr>
                <w:rFonts w:ascii="Times New Roman" w:eastAsia="Times New Roman" w:hAnsi="Times New Roman" w:cs="Times New Roman"/>
                <w:iCs/>
                <w:sz w:val="28"/>
                <w:szCs w:val="28"/>
                <w:lang w:eastAsia="ru-RU"/>
              </w:rPr>
              <w:t>IV</w:t>
            </w:r>
          </w:p>
        </w:tc>
        <w:tc>
          <w:tcPr>
            <w:tcW w:w="5580" w:type="dxa"/>
            <w:shd w:val="clear" w:color="auto" w:fill="auto"/>
          </w:tcPr>
          <w:p w14:paraId="3C107F51"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 xml:space="preserve">Тип коллагену базальних мемебран </w:t>
            </w:r>
          </w:p>
        </w:tc>
        <w:tc>
          <w:tcPr>
            <w:tcW w:w="2064" w:type="dxa"/>
            <w:shd w:val="clear" w:color="auto" w:fill="auto"/>
          </w:tcPr>
          <w:p w14:paraId="5FF10E81" w14:textId="77777777" w:rsidR="00783A88" w:rsidRPr="002C1BA9" w:rsidRDefault="00783A88"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Базальні мембрани</w:t>
            </w:r>
          </w:p>
        </w:tc>
      </w:tr>
      <w:tr w:rsidR="00783A88" w:rsidRPr="002C1BA9" w14:paraId="6BC6BA32" w14:textId="77777777" w:rsidTr="00783A88">
        <w:trPr>
          <w:trHeight w:val="325"/>
          <w:jc w:val="center"/>
        </w:trPr>
        <w:tc>
          <w:tcPr>
            <w:tcW w:w="9250" w:type="dxa"/>
            <w:gridSpan w:val="3"/>
            <w:tcBorders>
              <w:top w:val="single" w:sz="4" w:space="0" w:color="FFFFFF" w:themeColor="background1"/>
              <w:left w:val="single" w:sz="4" w:space="0" w:color="FFFFFF" w:themeColor="background1"/>
              <w:right w:val="single" w:sz="4" w:space="0" w:color="FFFFFF" w:themeColor="background1"/>
            </w:tcBorders>
            <w:shd w:val="clear" w:color="auto" w:fill="auto"/>
          </w:tcPr>
          <w:p w14:paraId="4B894271" w14:textId="43FC3E44" w:rsidR="00783A88" w:rsidRPr="002C1BA9" w:rsidRDefault="00783A88" w:rsidP="00783A88">
            <w:pPr>
              <w:spacing w:after="0" w:line="360" w:lineRule="auto"/>
              <w:jc w:val="right"/>
              <w:rPr>
                <w:rFonts w:ascii="Times New Roman" w:eastAsia="Times New Roman" w:hAnsi="Times New Roman" w:cs="Times New Roman"/>
                <w:sz w:val="28"/>
                <w:szCs w:val="28"/>
                <w:lang w:val="uk-UA" w:eastAsia="ru-RU"/>
              </w:rPr>
            </w:pPr>
            <w:r w:rsidRPr="00783A88">
              <w:rPr>
                <w:rFonts w:ascii="Times New Roman" w:eastAsia="Times New Roman" w:hAnsi="Times New Roman" w:cs="Times New Roman"/>
                <w:i/>
                <w:sz w:val="28"/>
                <w:szCs w:val="28"/>
                <w:lang w:val="uk-UA" w:eastAsia="ru-RU"/>
              </w:rPr>
              <w:lastRenderedPageBreak/>
              <w:t>Продовження таблиці 2.4</w:t>
            </w:r>
          </w:p>
        </w:tc>
      </w:tr>
      <w:tr w:rsidR="002C1BA9" w:rsidRPr="002C1BA9" w14:paraId="6ED7B300" w14:textId="77777777" w:rsidTr="00EE0E06">
        <w:trPr>
          <w:trHeight w:val="325"/>
          <w:jc w:val="center"/>
        </w:trPr>
        <w:tc>
          <w:tcPr>
            <w:tcW w:w="1606" w:type="dxa"/>
            <w:shd w:val="clear" w:color="auto" w:fill="auto"/>
          </w:tcPr>
          <w:p w14:paraId="7E850E2C"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eNOs</w:t>
            </w:r>
          </w:p>
        </w:tc>
        <w:tc>
          <w:tcPr>
            <w:tcW w:w="5580" w:type="dxa"/>
            <w:shd w:val="clear" w:color="auto" w:fill="auto"/>
          </w:tcPr>
          <w:p w14:paraId="517DBCDF" w14:textId="642B6DB2"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Одна з трьох лізоформ (конститутивна), які синтезують оксид азоту (NO), перш за все несе відповідальність за вир</w:t>
            </w:r>
            <w:r w:rsidR="0025200C">
              <w:rPr>
                <w:rFonts w:ascii="Times New Roman" w:eastAsia="Times New Roman" w:hAnsi="Times New Roman" w:cs="Times New Roman"/>
                <w:sz w:val="28"/>
                <w:szCs w:val="28"/>
                <w:lang w:val="uk-UA" w:eastAsia="ru-RU"/>
              </w:rPr>
              <w:t>облення NO в судинному ендотелії</w:t>
            </w:r>
            <w:r w:rsidRPr="002C1BA9">
              <w:rPr>
                <w:rFonts w:ascii="Times New Roman" w:eastAsia="Times New Roman" w:hAnsi="Times New Roman" w:cs="Times New Roman"/>
                <w:sz w:val="28"/>
                <w:szCs w:val="28"/>
                <w:lang w:val="uk-UA" w:eastAsia="ru-RU"/>
              </w:rPr>
              <w:t xml:space="preserve"> (монослой плоских клітин, що вистилає внутрішню поверх</w:t>
            </w:r>
            <w:r w:rsidR="0025200C">
              <w:rPr>
                <w:rFonts w:ascii="Times New Roman" w:eastAsia="Times New Roman" w:hAnsi="Times New Roman" w:cs="Times New Roman"/>
                <w:sz w:val="28"/>
                <w:szCs w:val="28"/>
                <w:lang w:val="uk-UA" w:eastAsia="ru-RU"/>
              </w:rPr>
              <w:t>ню кровоносних судин, на межі</w:t>
            </w:r>
            <w:r w:rsidRPr="002C1BA9">
              <w:rPr>
                <w:rFonts w:ascii="Times New Roman" w:eastAsia="Times New Roman" w:hAnsi="Times New Roman" w:cs="Times New Roman"/>
                <w:sz w:val="28"/>
                <w:szCs w:val="28"/>
                <w:lang w:val="uk-UA" w:eastAsia="ru-RU"/>
              </w:rPr>
              <w:t xml:space="preserve"> між циркулюючою кров'ю в просвіті та рештою стінки судини). </w:t>
            </w:r>
          </w:p>
        </w:tc>
        <w:tc>
          <w:tcPr>
            <w:tcW w:w="2064" w:type="dxa"/>
            <w:shd w:val="clear" w:color="auto" w:fill="auto"/>
          </w:tcPr>
          <w:p w14:paraId="5FC39FD6"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r w:rsidR="002C1BA9" w:rsidRPr="002C1BA9" w14:paraId="701FD600" w14:textId="77777777" w:rsidTr="00EE0E06">
        <w:trPr>
          <w:trHeight w:val="343"/>
          <w:jc w:val="center"/>
        </w:trPr>
        <w:tc>
          <w:tcPr>
            <w:tcW w:w="1606" w:type="dxa"/>
            <w:shd w:val="clear" w:color="auto" w:fill="auto"/>
          </w:tcPr>
          <w:p w14:paraId="63FAF42B"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iCs/>
                <w:sz w:val="28"/>
                <w:szCs w:val="28"/>
                <w:lang w:val="ru-RU" w:eastAsia="ru-RU"/>
              </w:rPr>
              <w:t>iNOs</w:t>
            </w:r>
          </w:p>
        </w:tc>
        <w:tc>
          <w:tcPr>
            <w:tcW w:w="5580" w:type="dxa"/>
            <w:shd w:val="clear" w:color="auto" w:fill="auto"/>
          </w:tcPr>
          <w:p w14:paraId="2D76087D"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Одна з трьох лізоформ (індукована), які синтезують оксид азоту (NO), вираження якої зазвичай індукується при запальних захворюваннях</w:t>
            </w:r>
          </w:p>
        </w:tc>
        <w:tc>
          <w:tcPr>
            <w:tcW w:w="2064" w:type="dxa"/>
            <w:shd w:val="clear" w:color="auto" w:fill="auto"/>
          </w:tcPr>
          <w:p w14:paraId="24306859"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клітини</w:t>
            </w:r>
          </w:p>
        </w:tc>
      </w:tr>
      <w:tr w:rsidR="002C1BA9" w:rsidRPr="002C1BA9" w14:paraId="50D4D223" w14:textId="77777777" w:rsidTr="00EE0E06">
        <w:trPr>
          <w:trHeight w:val="325"/>
          <w:jc w:val="center"/>
        </w:trPr>
        <w:tc>
          <w:tcPr>
            <w:tcW w:w="1606" w:type="dxa"/>
            <w:shd w:val="clear" w:color="auto" w:fill="auto"/>
          </w:tcPr>
          <w:p w14:paraId="1061BCA2"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VEGF</w:t>
            </w:r>
          </w:p>
        </w:tc>
        <w:tc>
          <w:tcPr>
            <w:tcW w:w="5580" w:type="dxa"/>
            <w:shd w:val="clear" w:color="auto" w:fill="auto"/>
          </w:tcPr>
          <w:p w14:paraId="108E456E" w14:textId="543DCB1E"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е</w:t>
            </w:r>
            <w:r w:rsidRPr="002C1BA9">
              <w:rPr>
                <w:rFonts w:ascii="Times New Roman" w:eastAsia="Times New Roman" w:hAnsi="Times New Roman" w:cs="Times New Roman"/>
                <w:sz w:val="28"/>
                <w:szCs w:val="28"/>
                <w:lang w:val="uk-UA" w:eastAsia="ru-RU"/>
              </w:rPr>
              <w:t xml:space="preserve">цептор аутогенної стимуляції ангіогенезу, </w:t>
            </w:r>
            <w:r>
              <w:rPr>
                <w:rFonts w:ascii="Times New Roman" w:eastAsia="Times New Roman" w:hAnsi="Times New Roman" w:cs="Times New Roman"/>
                <w:sz w:val="28"/>
                <w:szCs w:val="28"/>
                <w:lang w:val="uk-UA" w:eastAsia="ru-RU"/>
              </w:rPr>
              <w:t xml:space="preserve">стимулює відгук клітини, зв’язуючись з рецепторними тирозінкіназами на поверхні клітин </w:t>
            </w:r>
          </w:p>
        </w:tc>
        <w:tc>
          <w:tcPr>
            <w:tcW w:w="2064" w:type="dxa"/>
            <w:shd w:val="clear" w:color="auto" w:fill="auto"/>
          </w:tcPr>
          <w:p w14:paraId="3D0A57BD" w14:textId="77777777" w:rsidR="002C1BA9" w:rsidRPr="002C1BA9" w:rsidRDefault="002C1BA9" w:rsidP="002C1BA9">
            <w:pPr>
              <w:spacing w:after="0" w:line="360" w:lineRule="auto"/>
              <w:rPr>
                <w:rFonts w:ascii="Times New Roman" w:eastAsia="Times New Roman" w:hAnsi="Times New Roman" w:cs="Times New Roman"/>
                <w:sz w:val="28"/>
                <w:szCs w:val="28"/>
                <w:lang w:val="uk-UA" w:eastAsia="ru-RU"/>
              </w:rPr>
            </w:pPr>
            <w:r w:rsidRPr="002C1BA9">
              <w:rPr>
                <w:rFonts w:ascii="Times New Roman" w:eastAsia="Times New Roman" w:hAnsi="Times New Roman" w:cs="Times New Roman"/>
                <w:sz w:val="28"/>
                <w:szCs w:val="28"/>
                <w:lang w:val="uk-UA" w:eastAsia="ru-RU"/>
              </w:rPr>
              <w:t>Цитоплазма та мембрана клітини</w:t>
            </w:r>
          </w:p>
        </w:tc>
      </w:tr>
    </w:tbl>
    <w:p w14:paraId="0F8E78D0" w14:textId="77777777" w:rsidR="002C1BA9" w:rsidRPr="002C1BA9" w:rsidRDefault="002C1BA9" w:rsidP="002C1BA9">
      <w:pPr>
        <w:tabs>
          <w:tab w:val="left" w:pos="8793"/>
        </w:tabs>
        <w:spacing w:after="0" w:line="360" w:lineRule="auto"/>
        <w:ind w:firstLine="567"/>
        <w:jc w:val="both"/>
        <w:rPr>
          <w:rFonts w:ascii="Times New Roman" w:eastAsia="Times New Roman" w:hAnsi="Times New Roman" w:cs="Times New Roman"/>
          <w:sz w:val="28"/>
          <w:szCs w:val="28"/>
          <w:lang w:val="ru-RU" w:eastAsia="ru-RU"/>
        </w:rPr>
      </w:pPr>
    </w:p>
    <w:p w14:paraId="6D947532" w14:textId="57953017" w:rsidR="002C1BA9" w:rsidRPr="002C1BA9" w:rsidRDefault="002C1BA9" w:rsidP="002C1BA9">
      <w:pPr>
        <w:autoSpaceDE w:val="0"/>
        <w:autoSpaceDN w:val="0"/>
        <w:adjustRightInd w:val="0"/>
        <w:spacing w:line="360" w:lineRule="auto"/>
        <w:ind w:firstLine="709"/>
        <w:jc w:val="both"/>
        <w:rPr>
          <w:rFonts w:ascii="Times New Roman" w:hAnsi="Times New Roman" w:cs="Times New Roman"/>
          <w:sz w:val="28"/>
          <w:szCs w:val="28"/>
          <w:lang w:val="ru-RU"/>
        </w:rPr>
      </w:pPr>
      <w:r w:rsidRPr="002C1BA9">
        <w:rPr>
          <w:rFonts w:ascii="Times New Roman" w:hAnsi="Times New Roman" w:cs="Times New Roman"/>
          <w:sz w:val="28"/>
          <w:szCs w:val="28"/>
          <w:lang w:val="ru-RU"/>
        </w:rPr>
        <w:t xml:space="preserve">Мікропрепарати вивчали на мікроскопі "Olympus BX-41" з подальшою обробкою програмою </w:t>
      </w:r>
      <w:r>
        <w:rPr>
          <w:rFonts w:ascii="Times New Roman" w:hAnsi="Times New Roman" w:cs="Times New Roman"/>
          <w:sz w:val="28"/>
          <w:szCs w:val="28"/>
          <w:lang w:val="ru-RU"/>
        </w:rPr>
        <w:t>"Olympus DP-soft version 3.2", за</w:t>
      </w:r>
      <w:r w:rsidRPr="002C1BA9">
        <w:rPr>
          <w:rFonts w:ascii="Times New Roman" w:hAnsi="Times New Roman" w:cs="Times New Roman"/>
          <w:sz w:val="28"/>
          <w:szCs w:val="28"/>
          <w:lang w:val="ru-RU"/>
        </w:rPr>
        <w:t xml:space="preserve"> допомогою якої проводили визначення інтенсивності імуногістохімічних реакцій, морфометричне дослідження.</w:t>
      </w:r>
    </w:p>
    <w:p w14:paraId="51386190" w14:textId="57B1E30D" w:rsidR="0056180A" w:rsidRPr="00C01419" w:rsidRDefault="002C1BA9" w:rsidP="00670A97">
      <w:pPr>
        <w:autoSpaceDE w:val="0"/>
        <w:autoSpaceDN w:val="0"/>
        <w:adjustRightInd w:val="0"/>
        <w:spacing w:line="360" w:lineRule="auto"/>
        <w:ind w:firstLine="709"/>
        <w:jc w:val="both"/>
        <w:rPr>
          <w:rFonts w:ascii="Times New Roman" w:hAnsi="Times New Roman" w:cs="Times New Roman"/>
          <w:sz w:val="28"/>
          <w:szCs w:val="28"/>
          <w:lang w:val="ru-RU"/>
        </w:rPr>
      </w:pPr>
      <w:r w:rsidRPr="002C1BA9">
        <w:rPr>
          <w:rFonts w:ascii="Times New Roman" w:hAnsi="Times New Roman" w:cs="Times New Roman"/>
          <w:sz w:val="28"/>
          <w:szCs w:val="28"/>
          <w:lang w:val="ru-RU"/>
        </w:rPr>
        <w:t>Всі процедури цього дослідження вик</w:t>
      </w:r>
      <w:r>
        <w:rPr>
          <w:rFonts w:ascii="Times New Roman" w:hAnsi="Times New Roman" w:cs="Times New Roman"/>
          <w:sz w:val="28"/>
          <w:szCs w:val="28"/>
          <w:lang w:val="ru-RU"/>
        </w:rPr>
        <w:t>онані відповідно до Гельсінської декларації, Європейської конвенції</w:t>
      </w:r>
      <w:r w:rsidRPr="002C1BA9">
        <w:rPr>
          <w:rFonts w:ascii="Times New Roman" w:hAnsi="Times New Roman" w:cs="Times New Roman"/>
          <w:sz w:val="28"/>
          <w:szCs w:val="28"/>
          <w:lang w:val="ru-RU"/>
        </w:rPr>
        <w:t xml:space="preserve"> захисту хребетних тварин від 18.03.1986 року, директиви Ради Європейського економічного співтовариства щодо захисту хребетних тварин від 24.11.1986 (протокол №8 від 4 листопада 2015 року комісії з питань етики та біоетики Харківського національного медичного університету).</w:t>
      </w:r>
    </w:p>
    <w:p w14:paraId="351DDD0F" w14:textId="373679D8" w:rsidR="002C3D20" w:rsidRPr="00E24DEC" w:rsidRDefault="00E30802" w:rsidP="00E24DEC">
      <w:pPr>
        <w:pStyle w:val="Heading2"/>
        <w:spacing w:line="360" w:lineRule="auto"/>
        <w:ind w:firstLine="709"/>
        <w:rPr>
          <w:rFonts w:ascii="Times New Roman" w:hAnsi="Times New Roman" w:cs="Times New Roman"/>
          <w:color w:val="auto"/>
          <w:sz w:val="28"/>
          <w:szCs w:val="28"/>
          <w:lang w:val="uk-UA"/>
        </w:rPr>
      </w:pPr>
      <w:bookmarkStart w:id="11" w:name="_Toc507575304"/>
      <w:r>
        <w:rPr>
          <w:rFonts w:ascii="Times New Roman" w:hAnsi="Times New Roman" w:cs="Times New Roman"/>
          <w:color w:val="auto"/>
          <w:sz w:val="28"/>
          <w:szCs w:val="28"/>
          <w:lang w:val="ru-RU"/>
        </w:rPr>
        <w:lastRenderedPageBreak/>
        <w:t>2.4</w:t>
      </w:r>
      <w:r w:rsidR="00670A97" w:rsidRPr="00E24DEC">
        <w:rPr>
          <w:rFonts w:ascii="Times New Roman" w:hAnsi="Times New Roman" w:cs="Times New Roman"/>
          <w:color w:val="auto"/>
          <w:sz w:val="28"/>
          <w:szCs w:val="28"/>
          <w:lang w:val="ru-RU"/>
        </w:rPr>
        <w:t xml:space="preserve"> </w:t>
      </w:r>
      <w:r w:rsidR="002C3D20" w:rsidRPr="00E24DEC">
        <w:rPr>
          <w:rFonts w:ascii="Times New Roman" w:hAnsi="Times New Roman" w:cs="Times New Roman"/>
          <w:color w:val="auto"/>
          <w:sz w:val="28"/>
          <w:szCs w:val="28"/>
          <w:lang w:val="uk-UA"/>
        </w:rPr>
        <w:t>Методи цитоморфологічних досліджень</w:t>
      </w:r>
      <w:bookmarkEnd w:id="11"/>
    </w:p>
    <w:p w14:paraId="35063389" w14:textId="1C62C89E" w:rsidR="002C3D20" w:rsidRPr="00FB3A3B" w:rsidRDefault="00FB3A3B" w:rsidP="00E24DEC">
      <w:pPr>
        <w:spacing w:line="360" w:lineRule="auto"/>
        <w:ind w:firstLine="709"/>
        <w:jc w:val="both"/>
        <w:rPr>
          <w:rFonts w:ascii="Times New Roman" w:hAnsi="Times New Roman" w:cs="Times New Roman"/>
          <w:sz w:val="28"/>
          <w:szCs w:val="28"/>
          <w:lang w:val="uk-UA"/>
        </w:rPr>
      </w:pPr>
      <w:r w:rsidRPr="00E24DEC">
        <w:rPr>
          <w:rFonts w:ascii="Times New Roman" w:hAnsi="Times New Roman" w:cs="Times New Roman"/>
          <w:sz w:val="28"/>
          <w:szCs w:val="28"/>
          <w:lang w:val="uk-UA"/>
        </w:rPr>
        <w:t xml:space="preserve">Цитоморфологічне дослідження клітин букального епітелію та ступеню конденсації хроматину були виконані за методикою </w:t>
      </w:r>
      <w:r>
        <w:rPr>
          <w:rFonts w:ascii="Times New Roman" w:hAnsi="Times New Roman" w:cs="Times New Roman"/>
          <w:sz w:val="28"/>
          <w:szCs w:val="28"/>
          <w:lang w:val="uk-UA"/>
        </w:rPr>
        <w:t xml:space="preserve">Ю. Г. Шкорбатова </w:t>
      </w:r>
      <w:r w:rsidRPr="00FB3A3B">
        <w:rPr>
          <w:rFonts w:ascii="Times New Roman" w:hAnsi="Times New Roman" w:cs="Times New Roman"/>
          <w:sz w:val="28"/>
          <w:szCs w:val="28"/>
          <w:lang w:val="uk-UA"/>
        </w:rPr>
        <w:t>[</w:t>
      </w:r>
      <w:r w:rsidR="00A448F8" w:rsidRPr="00814C64">
        <w:rPr>
          <w:rFonts w:ascii="Times New Roman" w:hAnsi="Times New Roman" w:cs="Times New Roman"/>
          <w:sz w:val="28"/>
          <w:szCs w:val="28"/>
          <w:lang w:val="uk-UA"/>
        </w:rPr>
        <w:t>240</w:t>
      </w:r>
      <w:r w:rsidRPr="00FB3A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3D20">
        <w:rPr>
          <w:rFonts w:ascii="Times New Roman" w:hAnsi="Times New Roman" w:cs="Times New Roman"/>
          <w:sz w:val="28"/>
          <w:szCs w:val="28"/>
          <w:lang w:val="uk-UA"/>
        </w:rPr>
        <w:t>Клітини бук</w:t>
      </w:r>
      <w:r w:rsidR="002C3D20" w:rsidRPr="006109A8">
        <w:rPr>
          <w:rFonts w:ascii="Times New Roman" w:hAnsi="Times New Roman" w:cs="Times New Roman"/>
          <w:sz w:val="28"/>
          <w:szCs w:val="28"/>
          <w:lang w:val="uk-UA"/>
        </w:rPr>
        <w:t xml:space="preserve">ального епітелію були отримані вранці, натщесерце, шляхом зшкрябування шпателем з внутрішньої поверхні слизової оболонки щоки. </w:t>
      </w:r>
      <w:r>
        <w:rPr>
          <w:rFonts w:ascii="Times New Roman" w:hAnsi="Times New Roman"/>
          <w:sz w:val="28"/>
          <w:szCs w:val="28"/>
          <w:lang w:val="uk-UA"/>
        </w:rPr>
        <w:t xml:space="preserve">Усього було досліджено 60 зразків, 30 з яких склали основну групу (група дітей з атопічними захворюваннями), 30 зразків склали контрольну групу (група дітей без атопії). </w:t>
      </w:r>
      <w:r w:rsidR="002C3D20" w:rsidRPr="006109A8">
        <w:rPr>
          <w:rFonts w:ascii="Times New Roman" w:hAnsi="Times New Roman" w:cs="Times New Roman"/>
          <w:sz w:val="28"/>
          <w:szCs w:val="28"/>
          <w:lang w:val="uk-UA"/>
        </w:rPr>
        <w:t>Отриманий матеріал наносився на предметне скло, висушувався та маркувався, потім фарбувався 1% розчином ацетоорсеїну та досліджувався при 1000-кратному збільшенні під імерсійною системою мікроскопа (Zeiss). У кожному препараті оцінювалось 50 ядер за наступними критеріями: морфологічно незмінними вважалися ядра з добре оконтурованою оболонкою, світлою каріоплазмою, добре забарвленими глибками конденсован</w:t>
      </w:r>
      <w:r w:rsidR="00670A97">
        <w:rPr>
          <w:rFonts w:ascii="Times New Roman" w:hAnsi="Times New Roman" w:cs="Times New Roman"/>
          <w:sz w:val="28"/>
          <w:szCs w:val="28"/>
          <w:lang w:val="uk-UA"/>
        </w:rPr>
        <w:t>ого хроматину.</w:t>
      </w:r>
    </w:p>
    <w:p w14:paraId="799DD516" w14:textId="7DDFFA30" w:rsidR="00437A27" w:rsidRPr="00E24DEC" w:rsidRDefault="00E30802" w:rsidP="00E24DEC">
      <w:pPr>
        <w:pStyle w:val="Heading2"/>
        <w:spacing w:line="360" w:lineRule="auto"/>
        <w:ind w:firstLine="709"/>
        <w:rPr>
          <w:rFonts w:ascii="Times New Roman" w:hAnsi="Times New Roman" w:cs="Times New Roman"/>
          <w:color w:val="auto"/>
          <w:sz w:val="28"/>
          <w:szCs w:val="28"/>
          <w:lang w:val="uk-UA"/>
        </w:rPr>
      </w:pPr>
      <w:bookmarkStart w:id="12" w:name="_Toc507575305"/>
      <w:r>
        <w:rPr>
          <w:rFonts w:ascii="Times New Roman" w:hAnsi="Times New Roman" w:cs="Times New Roman"/>
          <w:color w:val="auto"/>
          <w:sz w:val="28"/>
          <w:szCs w:val="28"/>
          <w:lang w:val="uk-UA"/>
        </w:rPr>
        <w:t>2.5</w:t>
      </w:r>
      <w:r w:rsidR="00670A97" w:rsidRPr="00E24DEC">
        <w:rPr>
          <w:rFonts w:ascii="Times New Roman" w:hAnsi="Times New Roman" w:cs="Times New Roman"/>
          <w:color w:val="auto"/>
          <w:sz w:val="28"/>
          <w:szCs w:val="28"/>
          <w:lang w:val="uk-UA"/>
        </w:rPr>
        <w:t xml:space="preserve"> </w:t>
      </w:r>
      <w:r w:rsidR="005D33AD" w:rsidRPr="00E24DEC">
        <w:rPr>
          <w:rFonts w:ascii="Times New Roman" w:hAnsi="Times New Roman" w:cs="Times New Roman"/>
          <w:color w:val="auto"/>
          <w:sz w:val="28"/>
          <w:szCs w:val="28"/>
          <w:lang w:val="uk-UA"/>
        </w:rPr>
        <w:t xml:space="preserve">Методи </w:t>
      </w:r>
      <w:r w:rsidR="002C4FF6" w:rsidRPr="00E24DEC">
        <w:rPr>
          <w:rFonts w:ascii="Times New Roman" w:hAnsi="Times New Roman" w:cs="Times New Roman"/>
          <w:color w:val="auto"/>
          <w:sz w:val="28"/>
          <w:szCs w:val="28"/>
          <w:lang w:val="uk-UA"/>
        </w:rPr>
        <w:t xml:space="preserve">додаткових предиктивних </w:t>
      </w:r>
      <w:r w:rsidR="005D33AD" w:rsidRPr="00E24DEC">
        <w:rPr>
          <w:rFonts w:ascii="Times New Roman" w:hAnsi="Times New Roman" w:cs="Times New Roman"/>
          <w:color w:val="auto"/>
          <w:sz w:val="28"/>
          <w:szCs w:val="28"/>
          <w:lang w:val="uk-UA"/>
        </w:rPr>
        <w:t>досліджень</w:t>
      </w:r>
      <w:bookmarkEnd w:id="12"/>
    </w:p>
    <w:p w14:paraId="3704A733" w14:textId="210C1116" w:rsidR="005D33AD" w:rsidRPr="009C46D3" w:rsidRDefault="005D33AD" w:rsidP="00E24DEC">
      <w:pPr>
        <w:spacing w:after="0" w:line="360" w:lineRule="auto"/>
        <w:ind w:firstLine="709"/>
        <w:jc w:val="both"/>
        <w:rPr>
          <w:rFonts w:ascii="Times New Roman" w:hAnsi="Times New Roman" w:cs="Times New Roman"/>
          <w:sz w:val="28"/>
          <w:szCs w:val="28"/>
          <w:lang w:val="uk-UA"/>
        </w:rPr>
      </w:pPr>
      <w:r w:rsidRPr="00E24DEC">
        <w:rPr>
          <w:rFonts w:ascii="Times New Roman" w:hAnsi="Times New Roman" w:cs="Times New Roman"/>
          <w:sz w:val="28"/>
          <w:szCs w:val="28"/>
          <w:lang w:val="uk-UA"/>
        </w:rPr>
        <w:t xml:space="preserve">Вибірка. </w:t>
      </w:r>
      <w:r w:rsidRPr="005D33AD">
        <w:rPr>
          <w:rFonts w:ascii="Times New Roman" w:hAnsi="Times New Roman" w:cs="Times New Roman"/>
          <w:sz w:val="28"/>
          <w:szCs w:val="28"/>
          <w:lang w:val="uk-UA"/>
        </w:rPr>
        <w:t>Всього обстежено 48 дітей віком від 6</w:t>
      </w:r>
      <w:r>
        <w:rPr>
          <w:rFonts w:ascii="Times New Roman" w:hAnsi="Times New Roman" w:cs="Times New Roman"/>
          <w:sz w:val="28"/>
          <w:szCs w:val="28"/>
          <w:lang w:val="uk-UA"/>
        </w:rPr>
        <w:t xml:space="preserve"> </w:t>
      </w:r>
      <w:r w:rsidRPr="005D33AD">
        <w:rPr>
          <w:rFonts w:ascii="Times New Roman" w:hAnsi="Times New Roman" w:cs="Times New Roman"/>
          <w:sz w:val="28"/>
          <w:szCs w:val="28"/>
          <w:lang w:val="uk-UA"/>
        </w:rPr>
        <w:t>до 18</w:t>
      </w:r>
      <w:r>
        <w:rPr>
          <w:rFonts w:ascii="Times New Roman" w:hAnsi="Times New Roman" w:cs="Times New Roman"/>
          <w:sz w:val="28"/>
          <w:szCs w:val="28"/>
          <w:lang w:val="uk-UA"/>
        </w:rPr>
        <w:t xml:space="preserve"> років</w:t>
      </w:r>
      <w:r w:rsidRPr="005D33AD">
        <w:rPr>
          <w:rFonts w:ascii="Times New Roman" w:hAnsi="Times New Roman" w:cs="Times New Roman"/>
          <w:sz w:val="28"/>
          <w:szCs w:val="28"/>
          <w:lang w:val="uk-UA"/>
        </w:rPr>
        <w:t>, з яких 36 осіб увійшли в основну групу (встановлено діагноз «</w:t>
      </w:r>
      <w:r w:rsidR="00670A97">
        <w:rPr>
          <w:rFonts w:ascii="Times New Roman" w:hAnsi="Times New Roman" w:cs="Times New Roman"/>
          <w:sz w:val="28"/>
          <w:szCs w:val="28"/>
          <w:lang w:val="uk-UA"/>
        </w:rPr>
        <w:t xml:space="preserve">хронічний </w:t>
      </w:r>
      <w:r w:rsidRPr="005D33AD">
        <w:rPr>
          <w:rFonts w:ascii="Times New Roman" w:hAnsi="Times New Roman" w:cs="Times New Roman"/>
          <w:sz w:val="28"/>
          <w:szCs w:val="28"/>
          <w:lang w:val="uk-UA"/>
        </w:rPr>
        <w:t>гінгівіт» на тлі бронхіальної астми, алергічного риніту та/або атопічного дерматиту) та 12 осіб склали контрольну групу (не мають даних діагнозів). Всі обстежені та їх батьки були проінформовані щодо мети даного дослідження та методик, що будуть застосовуватись, та надали добровільну письмову згоду на участь.</w:t>
      </w:r>
      <w:r w:rsidR="009C46D3" w:rsidRPr="009C46D3">
        <w:rPr>
          <w:rFonts w:ascii="Times New Roman" w:hAnsi="Times New Roman" w:cs="Times New Roman"/>
          <w:sz w:val="28"/>
          <w:szCs w:val="28"/>
          <w:lang w:val="ru-RU"/>
        </w:rPr>
        <w:t xml:space="preserve"> </w:t>
      </w:r>
    </w:p>
    <w:p w14:paraId="488F3342" w14:textId="68211217"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Генотипування</w:t>
      </w:r>
      <w:r>
        <w:rPr>
          <w:rFonts w:ascii="Times New Roman" w:hAnsi="Times New Roman" w:cs="Times New Roman"/>
          <w:sz w:val="28"/>
          <w:szCs w:val="28"/>
          <w:lang w:val="uk-UA"/>
        </w:rPr>
        <w:t xml:space="preserve">. </w:t>
      </w:r>
      <w:r w:rsidRPr="005D33AD">
        <w:rPr>
          <w:rFonts w:ascii="Times New Roman" w:hAnsi="Times New Roman" w:cs="Times New Roman"/>
          <w:sz w:val="28"/>
          <w:szCs w:val="28"/>
          <w:lang w:val="uk-UA"/>
        </w:rPr>
        <w:t>Забір біоматеріала. Для проведення генотипування використовували клітини букального епітелію. Забір біоматеріалу для дослідження проводили під час стоматологічного обстеження за допомогою стерильного одноразового урогенітального зонду в індивідуальному пакуванні з маркуванням</w:t>
      </w:r>
      <w:r w:rsidR="00A448F8">
        <w:rPr>
          <w:rFonts w:ascii="Times New Roman" w:hAnsi="Times New Roman" w:cs="Times New Roman"/>
          <w:sz w:val="28"/>
          <w:szCs w:val="28"/>
          <w:lang w:val="uk-UA"/>
        </w:rPr>
        <w:t xml:space="preserve"> відповідно до методики [241</w:t>
      </w:r>
      <w:r w:rsidRPr="005D33AD">
        <w:rPr>
          <w:rFonts w:ascii="Times New Roman" w:hAnsi="Times New Roman" w:cs="Times New Roman"/>
          <w:sz w:val="28"/>
          <w:szCs w:val="28"/>
          <w:lang w:val="uk-UA"/>
        </w:rPr>
        <w:t xml:space="preserve">]. </w:t>
      </w:r>
    </w:p>
    <w:p w14:paraId="38AE3BC0" w14:textId="05E0350D"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Пробопідготовка. Для проведення генотипування з клітин букального епітелію виділяли ДНК за допомогою комерційного набору Diatom ™ DNA Prep 100 (Росія) відповідно до інструкції виробника.</w:t>
      </w:r>
    </w:p>
    <w:p w14:paraId="0F370740" w14:textId="2F73CF75"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lastRenderedPageBreak/>
        <w:t>Типування rs1801270 C&gt;A поліморфізму в кодоні 31 гена P21 (CDKN1A) проводили за допомогою полімеразної ланцюгової реакції (ПЛР) з наступним аналізом поліморфізму довжин рестрикційних фрагментів (ПДРФ). Для ампліфікації використовували праймери [</w:t>
      </w:r>
      <w:r w:rsidR="00A448F8">
        <w:rPr>
          <w:rFonts w:ascii="Times New Roman" w:hAnsi="Times New Roman" w:cs="Times New Roman"/>
          <w:sz w:val="28"/>
          <w:szCs w:val="28"/>
          <w:lang w:val="uk-UA"/>
        </w:rPr>
        <w:t>2</w:t>
      </w:r>
      <w:r w:rsidR="00A448F8" w:rsidRPr="00814C64">
        <w:rPr>
          <w:rFonts w:ascii="Times New Roman" w:hAnsi="Times New Roman" w:cs="Times New Roman"/>
          <w:sz w:val="28"/>
          <w:szCs w:val="28"/>
          <w:lang w:val="uk-UA"/>
        </w:rPr>
        <w:t>42</w:t>
      </w:r>
      <w:r w:rsidRPr="005D33AD">
        <w:rPr>
          <w:rFonts w:ascii="Times New Roman" w:hAnsi="Times New Roman" w:cs="Times New Roman"/>
          <w:sz w:val="28"/>
          <w:szCs w:val="28"/>
          <w:lang w:val="uk-UA"/>
        </w:rPr>
        <w:t>]:</w:t>
      </w:r>
    </w:p>
    <w:p w14:paraId="4D1DD533" w14:textId="77777777" w:rsidR="005D33AD" w:rsidRPr="005D33AD" w:rsidRDefault="005D33AD" w:rsidP="005D33AD">
      <w:pPr>
        <w:spacing w:after="0" w:line="360" w:lineRule="auto"/>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 xml:space="preserve">rs1801270 F - 5'GTCAGAACCGGCTGGGGATG-3 </w:t>
      </w:r>
    </w:p>
    <w:p w14:paraId="0C88F327" w14:textId="77777777" w:rsidR="005D33AD" w:rsidRPr="005D33AD" w:rsidRDefault="005D33AD" w:rsidP="005D33AD">
      <w:pPr>
        <w:spacing w:after="0" w:line="360" w:lineRule="auto"/>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rs1801270 R - 5'-CTCCTCCCAACTCATCCCGG-3'.</w:t>
      </w:r>
    </w:p>
    <w:p w14:paraId="7CE4C8AD" w14:textId="27EE221D" w:rsidR="005D33AD" w:rsidRP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Для проведення ПЛР використовували автоматичний термоциклер «Терцик» (Росія) та комерційні набори реагентів GenPak™ PCR Core (0,5 мл) (Росія) відповідно до інструкцій виробників. Умови ПЛР: денатурація протягом 5 хв. при 94°С; 35 циклів, що складаються з денатурації протягом 20 с при 94°С, відпал праймерів протягом 20 с при 58°С, елонгація протягом 20 с при 72°С; остаточна елонгація протягом 10 хв при 72°С [</w:t>
      </w:r>
      <w:r w:rsidR="00A448F8" w:rsidRPr="00A448F8">
        <w:rPr>
          <w:rFonts w:ascii="Times New Roman" w:hAnsi="Times New Roman" w:cs="Times New Roman"/>
          <w:sz w:val="28"/>
          <w:szCs w:val="28"/>
          <w:lang w:val="uk-UA"/>
        </w:rPr>
        <w:t>243</w:t>
      </w:r>
      <w:r w:rsidRPr="005D33AD">
        <w:rPr>
          <w:rFonts w:ascii="Times New Roman" w:hAnsi="Times New Roman" w:cs="Times New Roman"/>
          <w:sz w:val="28"/>
          <w:szCs w:val="28"/>
          <w:lang w:val="uk-UA"/>
        </w:rPr>
        <w:t>]. Перед проведенням ПДРФ аналізу всі зразки перевіряли на наявність ампліфікованого фрагменту (272 п.н.). Детекцію результатів ПЛР проводили шляхом розділення продуктів ампліфікації у 2 % агарозному гелі при постійній напрузі 70 В протягом 1 години. Для проведення електрофорезу використовували комерційні набори ELA-50 ("Неоген", Україна). Візуалізацію фрагментів проводили шляхом обробки гелю етидієм бромідом та наступним аналізом на тансілюмінаторі в ультрафіолетовому світлі. Розміри фрагментів визначали у порівнянні з маркером молекулярної маси pUC19 DNA/Mspl (HpaII) Marker, 23 (Thermo Fisher Scientific Inc.).</w:t>
      </w:r>
    </w:p>
    <w:p w14:paraId="6FF386D0" w14:textId="46F68512" w:rsidR="005D33AD" w:rsidRDefault="005D33AD" w:rsidP="005D33AD">
      <w:pPr>
        <w:spacing w:after="0" w:line="360" w:lineRule="auto"/>
        <w:ind w:firstLine="709"/>
        <w:jc w:val="both"/>
        <w:rPr>
          <w:rFonts w:ascii="Times New Roman" w:hAnsi="Times New Roman" w:cs="Times New Roman"/>
          <w:sz w:val="28"/>
          <w:szCs w:val="28"/>
          <w:lang w:val="uk-UA"/>
        </w:rPr>
      </w:pPr>
      <w:r w:rsidRPr="005D33AD">
        <w:rPr>
          <w:rFonts w:ascii="Times New Roman" w:hAnsi="Times New Roman" w:cs="Times New Roman"/>
          <w:sz w:val="28"/>
          <w:szCs w:val="28"/>
          <w:lang w:val="uk-UA"/>
        </w:rPr>
        <w:t xml:space="preserve">Продукти ампліфікації далі піддавали рестрикції ферментом Bpu1102I (BlpI) (Thermo Fisher Scientific Inc.). Реакцію проводили відповідно до інструкції виробника. Детекцію результатів рестрикції проводили шляхом розділення продуктів у 2 % агарозному гелі при постійній напрузі 70 В протягом 1 години. Наявність сайту рестрикції (2 продукти рестрикції: 183 п.н. + 89 п.н.) свідчила про C алель в третій позиції кодону 31 гена P21 (Ser у 31 позиції поліпептидного ланцюга). Відсутність сайту рестрикції (один фрагмент 272 п.н.), відповідно, - про А алель (Arg у 31 позиції поліпептидного ланцюга). Отже гомозиготи СС (Ser/Ser) характеризувались наявністю двох фрагментів ДНК розміром 183 п.н. </w:t>
      </w:r>
      <w:r w:rsidRPr="005D33AD">
        <w:rPr>
          <w:rFonts w:ascii="Times New Roman" w:hAnsi="Times New Roman" w:cs="Times New Roman"/>
          <w:sz w:val="28"/>
          <w:szCs w:val="28"/>
          <w:lang w:val="uk-UA"/>
        </w:rPr>
        <w:lastRenderedPageBreak/>
        <w:t>та 89 п.н.; гомозиготи АА (Arg/Arg) характеризувались наявністю одного фрагменту розміром 272 п.н.; гетерозиготи СА (Ser/Arg) характеризувались наявністю трьох фрагментів розміром 272 п.н., 183 п.н. та 89 п.н. [</w:t>
      </w:r>
      <w:r w:rsidR="00A448F8">
        <w:rPr>
          <w:rFonts w:ascii="Times New Roman" w:hAnsi="Times New Roman" w:cs="Times New Roman"/>
          <w:sz w:val="28"/>
          <w:szCs w:val="28"/>
          <w:lang w:val="uk-UA"/>
        </w:rPr>
        <w:t>243</w:t>
      </w:r>
      <w:r w:rsidRPr="005D33AD">
        <w:rPr>
          <w:rFonts w:ascii="Times New Roman" w:hAnsi="Times New Roman" w:cs="Times New Roman"/>
          <w:sz w:val="28"/>
          <w:szCs w:val="28"/>
          <w:lang w:val="uk-UA"/>
        </w:rPr>
        <w:t>].</w:t>
      </w:r>
    </w:p>
    <w:p w14:paraId="6C87BE0A" w14:textId="29448B4D" w:rsidR="005D33AD" w:rsidRDefault="009C46D3" w:rsidP="00E24DEC">
      <w:pPr>
        <w:spacing w:after="0" w:line="360" w:lineRule="auto"/>
        <w:ind w:firstLine="709"/>
        <w:jc w:val="both"/>
        <w:rPr>
          <w:rFonts w:ascii="Times New Roman" w:hAnsi="Times New Roman" w:cs="Times New Roman"/>
          <w:sz w:val="28"/>
          <w:szCs w:val="28"/>
          <w:lang w:val="ru-RU"/>
        </w:rPr>
      </w:pPr>
      <w:r w:rsidRPr="009C46D3">
        <w:rPr>
          <w:rFonts w:ascii="Times New Roman" w:hAnsi="Times New Roman" w:cs="Times New Roman"/>
          <w:sz w:val="28"/>
          <w:szCs w:val="28"/>
          <w:lang w:val="uk-UA"/>
        </w:rPr>
        <w:t>VNTR-типування поліморфізму в інтроні 36 гена MUC5B проводили за допомогою полімеразної ланцюгової реакції (ПЛР) з детекцією ампліфікованих фрагментів в агарозному гелі. Для ампліфікації використовували праймери MUC5B F — 5'AGTGTGCAGTGACTGGCGAG-3 та MUC5B R — 5'-CTAGAGTTGCAGGTGGCAGG-3' [</w:t>
      </w:r>
      <w:r w:rsidR="00670A97">
        <w:rPr>
          <w:rFonts w:ascii="Times New Roman" w:hAnsi="Times New Roman" w:cs="Times New Roman"/>
          <w:sz w:val="28"/>
          <w:szCs w:val="28"/>
          <w:lang w:val="uk-UA"/>
        </w:rPr>
        <w:t>2</w:t>
      </w:r>
      <w:r w:rsidR="00A448F8">
        <w:rPr>
          <w:rFonts w:ascii="Times New Roman" w:hAnsi="Times New Roman" w:cs="Times New Roman"/>
          <w:sz w:val="28"/>
          <w:szCs w:val="28"/>
          <w:lang w:val="uk-UA"/>
        </w:rPr>
        <w:t>4</w:t>
      </w:r>
      <w:r w:rsidR="00670A97">
        <w:rPr>
          <w:rFonts w:ascii="Times New Roman" w:hAnsi="Times New Roman" w:cs="Times New Roman"/>
          <w:sz w:val="28"/>
          <w:szCs w:val="28"/>
          <w:lang w:val="uk-UA"/>
        </w:rPr>
        <w:t>3</w:t>
      </w:r>
      <w:r w:rsidRPr="009C46D3">
        <w:rPr>
          <w:rFonts w:ascii="Times New Roman" w:hAnsi="Times New Roman" w:cs="Times New Roman"/>
          <w:sz w:val="28"/>
          <w:szCs w:val="28"/>
          <w:lang w:val="uk-UA"/>
        </w:rPr>
        <w:t xml:space="preserve">]. Для проведення ПЛР алелів гена </w:t>
      </w:r>
      <w:r w:rsidRPr="009C46D3">
        <w:rPr>
          <w:rFonts w:ascii="Times New Roman" w:hAnsi="Times New Roman" w:cs="Times New Roman"/>
          <w:sz w:val="28"/>
          <w:szCs w:val="28"/>
        </w:rPr>
        <w:t>MUC</w:t>
      </w:r>
      <w:r w:rsidRPr="009C46D3">
        <w:rPr>
          <w:rFonts w:ascii="Times New Roman" w:hAnsi="Times New Roman" w:cs="Times New Roman"/>
          <w:sz w:val="28"/>
          <w:szCs w:val="28"/>
          <w:lang w:val="uk-UA"/>
        </w:rPr>
        <w:t>5</w:t>
      </w:r>
      <w:r w:rsidRPr="009C46D3">
        <w:rPr>
          <w:rFonts w:ascii="Times New Roman" w:hAnsi="Times New Roman" w:cs="Times New Roman"/>
          <w:sz w:val="28"/>
          <w:szCs w:val="28"/>
        </w:rPr>
        <w:t>B</w:t>
      </w:r>
      <w:r w:rsidRPr="009C46D3">
        <w:rPr>
          <w:rFonts w:ascii="Times New Roman" w:hAnsi="Times New Roman" w:cs="Times New Roman"/>
          <w:sz w:val="28"/>
          <w:szCs w:val="28"/>
          <w:lang w:val="uk-UA"/>
        </w:rPr>
        <w:t xml:space="preserve"> використовували автоматичний термоциклер «Терцик» (Росія) та набори реагентів </w:t>
      </w:r>
      <w:r w:rsidRPr="009C46D3">
        <w:rPr>
          <w:rFonts w:ascii="Times New Roman" w:hAnsi="Times New Roman" w:cs="Times New Roman"/>
          <w:sz w:val="28"/>
          <w:szCs w:val="28"/>
        </w:rPr>
        <w:t>GenPak</w:t>
      </w:r>
      <w:r w:rsidRPr="009C46D3">
        <w:rPr>
          <w:rFonts w:ascii="Times New Roman" w:hAnsi="Times New Roman" w:cs="Times New Roman"/>
          <w:sz w:val="28"/>
          <w:szCs w:val="28"/>
          <w:lang w:val="uk-UA"/>
        </w:rPr>
        <w:t xml:space="preserve">™ </w:t>
      </w:r>
      <w:r w:rsidRPr="009C46D3">
        <w:rPr>
          <w:rFonts w:ascii="Times New Roman" w:hAnsi="Times New Roman" w:cs="Times New Roman"/>
          <w:sz w:val="28"/>
          <w:szCs w:val="28"/>
        </w:rPr>
        <w:t>PCR</w:t>
      </w:r>
      <w:r w:rsidRPr="009C46D3">
        <w:rPr>
          <w:rFonts w:ascii="Times New Roman" w:hAnsi="Times New Roman" w:cs="Times New Roman"/>
          <w:sz w:val="28"/>
          <w:szCs w:val="28"/>
          <w:lang w:val="uk-UA"/>
        </w:rPr>
        <w:t xml:space="preserve"> </w:t>
      </w:r>
      <w:r w:rsidRPr="009C46D3">
        <w:rPr>
          <w:rFonts w:ascii="Times New Roman" w:hAnsi="Times New Roman" w:cs="Times New Roman"/>
          <w:sz w:val="28"/>
          <w:szCs w:val="28"/>
        </w:rPr>
        <w:t>Core</w:t>
      </w:r>
      <w:r w:rsidRPr="009C46D3">
        <w:rPr>
          <w:rFonts w:ascii="Times New Roman" w:hAnsi="Times New Roman" w:cs="Times New Roman"/>
          <w:sz w:val="28"/>
          <w:szCs w:val="28"/>
          <w:lang w:val="uk-UA"/>
        </w:rPr>
        <w:t xml:space="preserve"> (0,5 мл) (Росія) відповідно до інструкцій виробників. </w:t>
      </w:r>
      <w:r w:rsidRPr="009C46D3">
        <w:rPr>
          <w:rFonts w:ascii="Times New Roman" w:hAnsi="Times New Roman" w:cs="Times New Roman"/>
          <w:sz w:val="28"/>
          <w:szCs w:val="28"/>
          <w:lang w:val="ru-RU"/>
        </w:rPr>
        <w:t>Умови ПЛР: денатурація протягом 3 хв. при 95 °С; 30 циклів, які складаються з денатурації протягом 30 с при 95 °С, відпал праймерів протягом 30 с при 60–95 °С, елонгація протягом 45 с при 72 °С; остаточна елонга</w:t>
      </w:r>
      <w:r w:rsidR="00A448F8">
        <w:rPr>
          <w:rFonts w:ascii="Times New Roman" w:hAnsi="Times New Roman" w:cs="Times New Roman"/>
          <w:sz w:val="28"/>
          <w:szCs w:val="28"/>
          <w:lang w:val="ru-RU"/>
        </w:rPr>
        <w:t>ція протягом 7 хв. При 72 °С [243</w:t>
      </w:r>
      <w:r w:rsidRPr="009C46D3">
        <w:rPr>
          <w:rFonts w:ascii="Times New Roman" w:hAnsi="Times New Roman" w:cs="Times New Roman"/>
          <w:sz w:val="28"/>
          <w:szCs w:val="28"/>
          <w:lang w:val="ru-RU"/>
        </w:rPr>
        <w:t xml:space="preserve">]. Детекцію результатів ПЛР проводили за допомогою розділення продуктів ампліфікації у 2% агарозному гелі при постійній напрузі 70 В протягом 1 години. Для електрофорезу використовували набори </w:t>
      </w:r>
      <w:r w:rsidRPr="009C46D3">
        <w:rPr>
          <w:rFonts w:ascii="Times New Roman" w:hAnsi="Times New Roman" w:cs="Times New Roman"/>
          <w:sz w:val="28"/>
          <w:szCs w:val="28"/>
        </w:rPr>
        <w:t>ELA</w:t>
      </w:r>
      <w:r w:rsidRPr="009C46D3">
        <w:rPr>
          <w:rFonts w:ascii="Times New Roman" w:hAnsi="Times New Roman" w:cs="Times New Roman"/>
          <w:sz w:val="28"/>
          <w:szCs w:val="28"/>
          <w:lang w:val="ru-RU"/>
        </w:rPr>
        <w:t xml:space="preserve">-50 («Неоген», Україна). Візуалізацію фрагментів проводили за допомогою обробки гелю етидій бромідом та подальшим аналізом на </w:t>
      </w:r>
      <w:r w:rsidRPr="00E24DEC">
        <w:rPr>
          <w:rFonts w:ascii="Times New Roman" w:hAnsi="Times New Roman" w:cs="Times New Roman"/>
          <w:sz w:val="28"/>
          <w:szCs w:val="28"/>
          <w:lang w:val="ru-RU"/>
        </w:rPr>
        <w:t xml:space="preserve">трансілюмінаторі в ультрафіолетовому світлі. Розміри фрагментів визначали у порівнянні з маркером молекулярної маси </w:t>
      </w:r>
      <w:r w:rsidRPr="00E24DEC">
        <w:rPr>
          <w:rFonts w:ascii="Times New Roman" w:hAnsi="Times New Roman" w:cs="Times New Roman"/>
          <w:sz w:val="28"/>
          <w:szCs w:val="28"/>
        </w:rPr>
        <w:t>pUC</w:t>
      </w:r>
      <w:r w:rsidRPr="00E24DEC">
        <w:rPr>
          <w:rFonts w:ascii="Times New Roman" w:hAnsi="Times New Roman" w:cs="Times New Roman"/>
          <w:sz w:val="28"/>
          <w:szCs w:val="28"/>
          <w:lang w:val="ru-RU"/>
        </w:rPr>
        <w:t xml:space="preserve">19 </w:t>
      </w:r>
      <w:r w:rsidRPr="00E24DEC">
        <w:rPr>
          <w:rFonts w:ascii="Times New Roman" w:hAnsi="Times New Roman" w:cs="Times New Roman"/>
          <w:sz w:val="28"/>
          <w:szCs w:val="28"/>
        </w:rPr>
        <w:t>DNA</w:t>
      </w:r>
      <w:r w:rsidRPr="00E24DEC">
        <w:rPr>
          <w:rFonts w:ascii="Times New Roman" w:hAnsi="Times New Roman" w:cs="Times New Roman"/>
          <w:sz w:val="28"/>
          <w:szCs w:val="28"/>
          <w:lang w:val="ru-RU"/>
        </w:rPr>
        <w:t>/</w:t>
      </w:r>
      <w:r w:rsidRPr="00E24DEC">
        <w:rPr>
          <w:rFonts w:ascii="Times New Roman" w:hAnsi="Times New Roman" w:cs="Times New Roman"/>
          <w:sz w:val="28"/>
          <w:szCs w:val="28"/>
        </w:rPr>
        <w:t>Mspl</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HpaII</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Marker</w:t>
      </w:r>
      <w:r w:rsidRPr="00E24DEC">
        <w:rPr>
          <w:rFonts w:ascii="Times New Roman" w:hAnsi="Times New Roman" w:cs="Times New Roman"/>
          <w:sz w:val="28"/>
          <w:szCs w:val="28"/>
          <w:lang w:val="ru-RU"/>
        </w:rPr>
        <w:t>, 23 («</w:t>
      </w:r>
      <w:r w:rsidRPr="00E24DEC">
        <w:rPr>
          <w:rFonts w:ascii="Times New Roman" w:hAnsi="Times New Roman" w:cs="Times New Roman"/>
          <w:sz w:val="28"/>
          <w:szCs w:val="28"/>
        </w:rPr>
        <w:t>Thermo</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Fisher</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Scientific</w:t>
      </w:r>
      <w:r w:rsidRPr="00E24DEC">
        <w:rPr>
          <w:rFonts w:ascii="Times New Roman" w:hAnsi="Times New Roman" w:cs="Times New Roman"/>
          <w:sz w:val="28"/>
          <w:szCs w:val="28"/>
          <w:lang w:val="ru-RU"/>
        </w:rPr>
        <w:t xml:space="preserve"> </w:t>
      </w:r>
      <w:r w:rsidRPr="00E24DEC">
        <w:rPr>
          <w:rFonts w:ascii="Times New Roman" w:hAnsi="Times New Roman" w:cs="Times New Roman"/>
          <w:sz w:val="28"/>
          <w:szCs w:val="28"/>
        </w:rPr>
        <w:t>Inc</w:t>
      </w:r>
      <w:r w:rsidRPr="00E24DEC">
        <w:rPr>
          <w:rFonts w:ascii="Times New Roman" w:hAnsi="Times New Roman" w:cs="Times New Roman"/>
          <w:sz w:val="28"/>
          <w:szCs w:val="28"/>
          <w:lang w:val="ru-RU"/>
        </w:rPr>
        <w:t>.»).</w:t>
      </w:r>
    </w:p>
    <w:p w14:paraId="6052F48E" w14:textId="77777777" w:rsidR="00F53C45" w:rsidRPr="00E24DEC" w:rsidRDefault="00F53C45" w:rsidP="00E24DEC">
      <w:pPr>
        <w:spacing w:after="0" w:line="360" w:lineRule="auto"/>
        <w:ind w:firstLine="709"/>
        <w:jc w:val="both"/>
        <w:rPr>
          <w:rFonts w:ascii="Times New Roman" w:hAnsi="Times New Roman" w:cs="Times New Roman"/>
          <w:sz w:val="28"/>
          <w:szCs w:val="28"/>
          <w:lang w:val="uk-UA"/>
        </w:rPr>
      </w:pPr>
    </w:p>
    <w:p w14:paraId="2E9275CD" w14:textId="27007E65" w:rsidR="005D33AD" w:rsidRPr="00E24DEC" w:rsidRDefault="00E30802" w:rsidP="00E24DEC">
      <w:pPr>
        <w:pStyle w:val="Heading2"/>
        <w:spacing w:line="360" w:lineRule="auto"/>
        <w:ind w:firstLine="709"/>
        <w:rPr>
          <w:rFonts w:ascii="Times New Roman" w:hAnsi="Times New Roman" w:cs="Times New Roman"/>
          <w:color w:val="auto"/>
          <w:sz w:val="28"/>
          <w:szCs w:val="28"/>
          <w:lang w:val="uk-UA"/>
        </w:rPr>
      </w:pPr>
      <w:bookmarkStart w:id="13" w:name="_Toc507575306"/>
      <w:r>
        <w:rPr>
          <w:rFonts w:ascii="Times New Roman" w:hAnsi="Times New Roman" w:cs="Times New Roman"/>
          <w:color w:val="auto"/>
          <w:sz w:val="28"/>
          <w:szCs w:val="28"/>
          <w:lang w:val="uk-UA"/>
        </w:rPr>
        <w:t>2.6</w:t>
      </w:r>
      <w:r w:rsidR="00670A97" w:rsidRPr="00E24DEC">
        <w:rPr>
          <w:rFonts w:ascii="Times New Roman" w:hAnsi="Times New Roman" w:cs="Times New Roman"/>
          <w:color w:val="auto"/>
          <w:sz w:val="28"/>
          <w:szCs w:val="28"/>
          <w:lang w:val="uk-UA"/>
        </w:rPr>
        <w:t xml:space="preserve"> </w:t>
      </w:r>
      <w:r w:rsidR="001624CF" w:rsidRPr="00E24DEC">
        <w:rPr>
          <w:rFonts w:ascii="Times New Roman" w:hAnsi="Times New Roman" w:cs="Times New Roman"/>
          <w:color w:val="auto"/>
          <w:sz w:val="28"/>
          <w:szCs w:val="28"/>
          <w:lang w:val="uk-UA"/>
        </w:rPr>
        <w:t>Методи епідеміологічних досліджень</w:t>
      </w:r>
      <w:bookmarkEnd w:id="13"/>
    </w:p>
    <w:p w14:paraId="73E0DB43" w14:textId="644C689F" w:rsidR="00670A97" w:rsidRPr="00670A97" w:rsidRDefault="00670A97" w:rsidP="00E24DEC">
      <w:pPr>
        <w:spacing w:after="0" w:line="360" w:lineRule="auto"/>
        <w:ind w:firstLine="709"/>
        <w:jc w:val="both"/>
        <w:rPr>
          <w:rFonts w:ascii="Times New Roman" w:hAnsi="Times New Roman"/>
          <w:sz w:val="28"/>
          <w:szCs w:val="28"/>
          <w:lang w:val="ru-RU"/>
        </w:rPr>
      </w:pPr>
      <w:r w:rsidRPr="00E24DEC">
        <w:rPr>
          <w:rFonts w:ascii="Times New Roman" w:hAnsi="Times New Roman" w:cs="Times New Roman"/>
          <w:sz w:val="28"/>
          <w:szCs w:val="28"/>
          <w:lang w:val="uk-UA"/>
        </w:rPr>
        <w:t>Оцінка рівня гігієнічних знань та навичок школярів проводилася традиційним анк</w:t>
      </w:r>
      <w:r w:rsidR="00FB3A3B" w:rsidRPr="00E24DEC">
        <w:rPr>
          <w:rFonts w:ascii="Times New Roman" w:hAnsi="Times New Roman" w:cs="Times New Roman"/>
          <w:sz w:val="28"/>
          <w:szCs w:val="28"/>
          <w:lang w:val="uk-UA"/>
        </w:rPr>
        <w:t>етно-опитувальним</w:t>
      </w:r>
      <w:r w:rsidRPr="00E24DEC">
        <w:rPr>
          <w:rFonts w:ascii="Times New Roman" w:hAnsi="Times New Roman" w:cs="Times New Roman"/>
          <w:sz w:val="28"/>
          <w:szCs w:val="28"/>
          <w:lang w:val="uk-UA"/>
        </w:rPr>
        <w:t xml:space="preserve"> методом серед організованих популяцій, рекомендованих ВООЗ для </w:t>
      </w:r>
      <w:r w:rsidRPr="00BA181B">
        <w:rPr>
          <w:rFonts w:ascii="Times New Roman" w:hAnsi="Times New Roman"/>
          <w:sz w:val="28"/>
          <w:szCs w:val="28"/>
          <w:lang w:val="uk-UA"/>
        </w:rPr>
        <w:t>епідеміологічних досліджень</w:t>
      </w:r>
      <w:r w:rsidR="00A448F8" w:rsidRPr="00814C64">
        <w:rPr>
          <w:rFonts w:ascii="Times New Roman" w:hAnsi="Times New Roman"/>
          <w:sz w:val="28"/>
          <w:szCs w:val="28"/>
          <w:lang w:val="uk-UA"/>
        </w:rPr>
        <w:t xml:space="preserve"> [244]</w:t>
      </w:r>
      <w:r w:rsidRPr="00BA181B">
        <w:rPr>
          <w:rFonts w:ascii="Times New Roman" w:hAnsi="Times New Roman"/>
          <w:sz w:val="28"/>
          <w:szCs w:val="28"/>
          <w:lang w:val="uk-UA"/>
        </w:rPr>
        <w:t xml:space="preserve">. </w:t>
      </w:r>
      <w:r w:rsidRPr="00670A97">
        <w:rPr>
          <w:rFonts w:ascii="Times New Roman" w:hAnsi="Times New Roman"/>
          <w:sz w:val="28"/>
          <w:szCs w:val="28"/>
          <w:lang w:val="ru-RU"/>
        </w:rPr>
        <w:t xml:space="preserve">Загальна кількість обстежених складала 156 осіб, середній вік респондентів склав </w:t>
      </w:r>
      <w:r>
        <w:rPr>
          <w:rFonts w:ascii="Times New Roman" w:hAnsi="Times New Roman"/>
          <w:sz w:val="28"/>
          <w:szCs w:val="28"/>
          <w:lang w:val="ru-RU"/>
        </w:rPr>
        <w:t>13,24 ± 1,41 року. Анкетування</w:t>
      </w:r>
      <w:r w:rsidRPr="00670A97">
        <w:rPr>
          <w:rFonts w:ascii="Times New Roman" w:hAnsi="Times New Roman"/>
          <w:sz w:val="28"/>
          <w:szCs w:val="28"/>
          <w:lang w:val="ru-RU"/>
        </w:rPr>
        <w:t xml:space="preserve"> проводилося як серед дітей, у яких у анамнезі є бронхіальна астма, алергічний риніт, атопічний дерматит</w:t>
      </w:r>
      <w:r>
        <w:rPr>
          <w:rFonts w:ascii="Times New Roman" w:hAnsi="Times New Roman"/>
          <w:sz w:val="28"/>
          <w:szCs w:val="28"/>
          <w:lang w:val="ru-RU"/>
        </w:rPr>
        <w:t>, так і серед дітей без</w:t>
      </w:r>
      <w:r w:rsidRPr="00670A97">
        <w:rPr>
          <w:rFonts w:ascii="Times New Roman" w:hAnsi="Times New Roman"/>
          <w:sz w:val="28"/>
          <w:szCs w:val="28"/>
          <w:lang w:val="ru-RU"/>
        </w:rPr>
        <w:t xml:space="preserve"> анамнезу.</w:t>
      </w:r>
    </w:p>
    <w:p w14:paraId="0BE59EBD" w14:textId="2C404BB8" w:rsidR="00670A97" w:rsidRPr="00670A97" w:rsidRDefault="00670A97" w:rsidP="00670A97">
      <w:pPr>
        <w:spacing w:after="0" w:line="360" w:lineRule="auto"/>
        <w:ind w:firstLine="709"/>
        <w:jc w:val="both"/>
        <w:rPr>
          <w:rFonts w:ascii="Times New Roman" w:hAnsi="Times New Roman"/>
          <w:sz w:val="28"/>
          <w:szCs w:val="28"/>
          <w:lang w:val="ru-RU"/>
        </w:rPr>
      </w:pPr>
      <w:r w:rsidRPr="00670A97">
        <w:rPr>
          <w:rFonts w:ascii="Times New Roman" w:hAnsi="Times New Roman"/>
          <w:sz w:val="28"/>
          <w:szCs w:val="28"/>
          <w:lang w:val="ru-RU"/>
        </w:rPr>
        <w:lastRenderedPageBreak/>
        <w:t>В основу анкети-опитування було поставлено як запропонований ВООЗ перелік питань для встановлення рівня стоматологічної культури населення, так і внесені нами додатки</w:t>
      </w:r>
      <w:r w:rsidR="00A448F8" w:rsidRPr="00A448F8">
        <w:rPr>
          <w:rFonts w:ascii="Times New Roman" w:hAnsi="Times New Roman"/>
          <w:sz w:val="28"/>
          <w:szCs w:val="28"/>
          <w:lang w:val="ru-RU"/>
        </w:rPr>
        <w:t xml:space="preserve"> [244]</w:t>
      </w:r>
      <w:r w:rsidRPr="00670A97">
        <w:rPr>
          <w:rFonts w:ascii="Times New Roman" w:hAnsi="Times New Roman"/>
          <w:sz w:val="28"/>
          <w:szCs w:val="28"/>
          <w:lang w:val="ru-RU"/>
        </w:rPr>
        <w:t>.</w:t>
      </w:r>
      <w:r>
        <w:rPr>
          <w:rFonts w:ascii="Times New Roman" w:hAnsi="Times New Roman"/>
          <w:sz w:val="28"/>
          <w:szCs w:val="28"/>
          <w:lang w:val="ru-RU"/>
        </w:rPr>
        <w:t xml:space="preserve"> </w:t>
      </w:r>
      <w:r w:rsidRPr="00670A97">
        <w:rPr>
          <w:rFonts w:ascii="Times New Roman" w:hAnsi="Times New Roman"/>
          <w:sz w:val="28"/>
          <w:szCs w:val="28"/>
          <w:lang w:val="ru-RU"/>
        </w:rPr>
        <w:t>Анкета включала 15 питань, що характеризують різні аспекти інформування, мотивації, суб'єктивної оцінки стоматологічного статусу, самооцінки стоматологічного здоров'я та базових понять гігієни порожнини рота. Також у анкеті були додані питання, які дозволяли віднести дітей до групи ризику атопічних захворювань.</w:t>
      </w:r>
    </w:p>
    <w:p w14:paraId="32D055C9" w14:textId="26523A32" w:rsidR="001624CF" w:rsidRDefault="00670A97" w:rsidP="00670A9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Анкети мали</w:t>
      </w:r>
      <w:r w:rsidRPr="00670A97">
        <w:rPr>
          <w:rFonts w:ascii="Times New Roman" w:hAnsi="Times New Roman"/>
          <w:sz w:val="28"/>
          <w:szCs w:val="28"/>
          <w:lang w:val="ru-RU"/>
        </w:rPr>
        <w:t xml:space="preserve"> питання, що відображають суб'єктивну оцінку здоров'я порожнини рота (окремо для оцінки стану зубів і стану тканин пародонта), коефіцієнт відвідування стоматолога, причину, за якою найчастіше запитуються звертаються за спеціалізованою допомогою та причиною, за якою візит може бути відкладено.</w:t>
      </w:r>
      <w:r w:rsidR="001624CF" w:rsidRPr="002804DE">
        <w:rPr>
          <w:rFonts w:ascii="Times New Roman" w:hAnsi="Times New Roman"/>
          <w:sz w:val="28"/>
          <w:szCs w:val="28"/>
          <w:lang w:val="ru-RU"/>
        </w:rPr>
        <w:t xml:space="preserve"> </w:t>
      </w:r>
      <w:r w:rsidRPr="00670A97">
        <w:rPr>
          <w:rFonts w:ascii="Times New Roman" w:hAnsi="Times New Roman"/>
          <w:sz w:val="28"/>
          <w:szCs w:val="28"/>
          <w:lang w:val="ru-RU"/>
        </w:rPr>
        <w:t>Рівень гігієнічних навичок визначали питання, що стосуються часу і режиму чищення зубів, вибору засобів і предметів гігієни. Анкета також була</w:t>
      </w:r>
      <w:r>
        <w:rPr>
          <w:rFonts w:ascii="Times New Roman" w:hAnsi="Times New Roman"/>
          <w:sz w:val="28"/>
          <w:szCs w:val="28"/>
          <w:lang w:val="ru-RU"/>
        </w:rPr>
        <w:t xml:space="preserve"> доповнена питаннями про раціони</w:t>
      </w:r>
      <w:r w:rsidRPr="00670A97">
        <w:rPr>
          <w:rFonts w:ascii="Times New Roman" w:hAnsi="Times New Roman"/>
          <w:sz w:val="28"/>
          <w:szCs w:val="28"/>
          <w:lang w:val="ru-RU"/>
        </w:rPr>
        <w:t xml:space="preserve"> </w:t>
      </w:r>
      <w:r>
        <w:rPr>
          <w:rFonts w:ascii="Times New Roman" w:hAnsi="Times New Roman"/>
          <w:sz w:val="28"/>
          <w:szCs w:val="28"/>
          <w:lang w:val="ru-RU"/>
        </w:rPr>
        <w:t>харчування як одного з можливих факторів</w:t>
      </w:r>
      <w:r w:rsidRPr="00670A97">
        <w:rPr>
          <w:rFonts w:ascii="Times New Roman" w:hAnsi="Times New Roman"/>
          <w:sz w:val="28"/>
          <w:szCs w:val="28"/>
          <w:lang w:val="ru-RU"/>
        </w:rPr>
        <w:t xml:space="preserve"> ризику розвитку стомато</w:t>
      </w:r>
      <w:r>
        <w:rPr>
          <w:rFonts w:ascii="Times New Roman" w:hAnsi="Times New Roman"/>
          <w:sz w:val="28"/>
          <w:szCs w:val="28"/>
          <w:lang w:val="ru-RU"/>
        </w:rPr>
        <w:t>логічних захворювань. Необхідною</w:t>
      </w:r>
      <w:r w:rsidRPr="00670A97">
        <w:rPr>
          <w:rFonts w:ascii="Times New Roman" w:hAnsi="Times New Roman"/>
          <w:sz w:val="28"/>
          <w:szCs w:val="28"/>
          <w:lang w:val="ru-RU"/>
        </w:rPr>
        <w:t xml:space="preserve"> для нашого дослідження була інформація про рівень освіти батьків, так як саме батьки є пріоритетним джерелом стоматологічних знань у дітей. Також в анкеті були представлені питання про наявність шкідливих звичок.</w:t>
      </w:r>
    </w:p>
    <w:p w14:paraId="697CDC33" w14:textId="77777777" w:rsidR="00F53C45" w:rsidRDefault="00F53C45" w:rsidP="00670A97">
      <w:pPr>
        <w:spacing w:after="0" w:line="360" w:lineRule="auto"/>
        <w:ind w:firstLine="709"/>
        <w:jc w:val="both"/>
        <w:rPr>
          <w:rFonts w:ascii="Times New Roman" w:hAnsi="Times New Roman"/>
          <w:sz w:val="28"/>
          <w:szCs w:val="28"/>
          <w:lang w:val="ru-RU"/>
        </w:rPr>
      </w:pPr>
    </w:p>
    <w:p w14:paraId="11330DC2" w14:textId="1978D474" w:rsidR="00970967" w:rsidRPr="00E24DEC" w:rsidRDefault="00E30802" w:rsidP="00E24DEC">
      <w:pPr>
        <w:pStyle w:val="Heading2"/>
        <w:spacing w:line="360" w:lineRule="auto"/>
        <w:ind w:firstLine="709"/>
        <w:rPr>
          <w:rFonts w:ascii="Times New Roman" w:hAnsi="Times New Roman" w:cs="Times New Roman"/>
          <w:color w:val="auto"/>
          <w:sz w:val="28"/>
          <w:szCs w:val="28"/>
          <w:lang w:val="uk-UA"/>
        </w:rPr>
      </w:pPr>
      <w:bookmarkStart w:id="14" w:name="_Toc507575307"/>
      <w:r>
        <w:rPr>
          <w:rFonts w:ascii="Times New Roman" w:hAnsi="Times New Roman" w:cs="Times New Roman"/>
          <w:color w:val="auto"/>
          <w:sz w:val="28"/>
          <w:szCs w:val="28"/>
          <w:lang w:val="uk-UA"/>
        </w:rPr>
        <w:t>2.7</w:t>
      </w:r>
      <w:r w:rsidR="00670A97" w:rsidRPr="00E24DEC">
        <w:rPr>
          <w:rFonts w:ascii="Times New Roman" w:hAnsi="Times New Roman" w:cs="Times New Roman"/>
          <w:color w:val="auto"/>
          <w:sz w:val="28"/>
          <w:szCs w:val="28"/>
          <w:lang w:val="uk-UA"/>
        </w:rPr>
        <w:t xml:space="preserve"> </w:t>
      </w:r>
      <w:r w:rsidR="00970967" w:rsidRPr="00E24DEC">
        <w:rPr>
          <w:rFonts w:ascii="Times New Roman" w:hAnsi="Times New Roman" w:cs="Times New Roman"/>
          <w:color w:val="auto"/>
          <w:sz w:val="28"/>
          <w:szCs w:val="28"/>
          <w:lang w:val="uk-UA"/>
        </w:rPr>
        <w:t>Методи статистичних досліджень</w:t>
      </w:r>
      <w:bookmarkEnd w:id="14"/>
    </w:p>
    <w:p w14:paraId="6EA398A6" w14:textId="282C1DC1" w:rsidR="00970967" w:rsidRPr="00970967" w:rsidRDefault="00970967" w:rsidP="00E24DEC">
      <w:pPr>
        <w:spacing w:line="360" w:lineRule="auto"/>
        <w:ind w:firstLine="709"/>
        <w:jc w:val="both"/>
        <w:rPr>
          <w:rFonts w:ascii="Times New Roman" w:hAnsi="Times New Roman"/>
          <w:sz w:val="28"/>
          <w:szCs w:val="28"/>
          <w:lang w:val="uk-UA"/>
        </w:rPr>
      </w:pPr>
      <w:r w:rsidRPr="00E24DEC">
        <w:rPr>
          <w:rFonts w:ascii="Times New Roman" w:hAnsi="Times New Roman" w:cs="Times New Roman"/>
          <w:sz w:val="28"/>
          <w:szCs w:val="28"/>
          <w:lang w:val="uk-UA"/>
        </w:rPr>
        <w:t>Статистичний аналіз даних здійснювався за допомогою програмного забезпечення Microsoft Office</w:t>
      </w:r>
      <w:r w:rsidR="00670A97" w:rsidRPr="00E24DEC">
        <w:rPr>
          <w:rFonts w:ascii="Times New Roman" w:hAnsi="Times New Roman" w:cs="Times New Roman"/>
          <w:sz w:val="28"/>
          <w:szCs w:val="28"/>
          <w:lang w:val="uk-UA"/>
        </w:rPr>
        <w:t xml:space="preserve"> 2016</w:t>
      </w:r>
      <w:r w:rsidRPr="00970967">
        <w:rPr>
          <w:rFonts w:ascii="Times New Roman" w:hAnsi="Times New Roman"/>
          <w:sz w:val="28"/>
          <w:szCs w:val="28"/>
          <w:lang w:val="uk-UA"/>
        </w:rPr>
        <w:t>. Дані статистично аналізу були оброблені у Microsoft Excel 2016, використовуючи t-тест для визначення відмінностей між групами, та регресійного аналізу методом найменших квадратів, що є статистичним процесом для оцінки співвідношень між змінними. Значення P менше 0,05 вважали статистично значимими</w:t>
      </w:r>
      <w:r w:rsidR="005025E5">
        <w:rPr>
          <w:rFonts w:ascii="Times New Roman" w:hAnsi="Times New Roman"/>
          <w:sz w:val="28"/>
          <w:szCs w:val="28"/>
          <w:lang w:val="uk-UA"/>
        </w:rPr>
        <w:t xml:space="preserve"> </w:t>
      </w:r>
      <w:r w:rsidR="005025E5" w:rsidRPr="00002170">
        <w:rPr>
          <w:rFonts w:ascii="Times New Roman" w:hAnsi="Times New Roman"/>
          <w:sz w:val="28"/>
          <w:szCs w:val="28"/>
          <w:lang w:val="uk-UA"/>
        </w:rPr>
        <w:t>[</w:t>
      </w:r>
      <w:r w:rsidR="00A448F8" w:rsidRPr="00814C64">
        <w:rPr>
          <w:rFonts w:ascii="Times New Roman" w:hAnsi="Times New Roman"/>
          <w:sz w:val="28"/>
          <w:szCs w:val="28"/>
          <w:lang w:val="ru-RU"/>
        </w:rPr>
        <w:t>245</w:t>
      </w:r>
      <w:r w:rsidR="00EF697D">
        <w:rPr>
          <w:rFonts w:ascii="Times New Roman" w:hAnsi="Times New Roman"/>
          <w:sz w:val="28"/>
          <w:szCs w:val="28"/>
          <w:lang w:val="ru-RU"/>
        </w:rPr>
        <w:t>, 246</w:t>
      </w:r>
      <w:r w:rsidR="005025E5" w:rsidRPr="00C12514">
        <w:rPr>
          <w:rFonts w:ascii="Times New Roman" w:hAnsi="Times New Roman"/>
          <w:sz w:val="28"/>
          <w:szCs w:val="28"/>
          <w:lang w:val="uk-UA"/>
        </w:rPr>
        <w:t>]</w:t>
      </w:r>
      <w:r w:rsidRPr="00970967">
        <w:rPr>
          <w:rFonts w:ascii="Times New Roman" w:hAnsi="Times New Roman"/>
          <w:sz w:val="28"/>
          <w:szCs w:val="28"/>
          <w:lang w:val="uk-UA"/>
        </w:rPr>
        <w:t>. Нормальність даних була перевірена до проведення статистичного аналізу.</w:t>
      </w:r>
    </w:p>
    <w:p w14:paraId="375479E3" w14:textId="77777777" w:rsidR="001624CF" w:rsidRPr="00970967" w:rsidRDefault="001624CF" w:rsidP="005D33AD">
      <w:pPr>
        <w:spacing w:after="0" w:line="360" w:lineRule="auto"/>
        <w:ind w:firstLine="709"/>
        <w:jc w:val="both"/>
        <w:rPr>
          <w:rFonts w:ascii="Times New Roman" w:hAnsi="Times New Roman" w:cs="Times New Roman"/>
          <w:sz w:val="28"/>
          <w:szCs w:val="28"/>
          <w:lang w:val="uk-UA"/>
        </w:rPr>
      </w:pPr>
    </w:p>
    <w:p w14:paraId="43BE102A" w14:textId="77777777" w:rsidR="00B86F5C" w:rsidRPr="00970967" w:rsidRDefault="00B86F5C" w:rsidP="005D33AD">
      <w:pPr>
        <w:spacing w:after="0" w:line="360" w:lineRule="auto"/>
        <w:ind w:firstLine="709"/>
        <w:jc w:val="both"/>
        <w:rPr>
          <w:rFonts w:ascii="Times New Roman" w:hAnsi="Times New Roman" w:cs="Times New Roman"/>
          <w:sz w:val="28"/>
          <w:szCs w:val="28"/>
          <w:lang w:val="uk-UA"/>
        </w:rPr>
      </w:pPr>
    </w:p>
    <w:p w14:paraId="4A03C2C9" w14:textId="4D366CB3" w:rsidR="002C3D20" w:rsidRPr="00E24DEC" w:rsidRDefault="002C4FF6" w:rsidP="00E24DEC">
      <w:pPr>
        <w:pStyle w:val="Heading2"/>
        <w:spacing w:line="360" w:lineRule="auto"/>
        <w:ind w:firstLine="709"/>
        <w:rPr>
          <w:rFonts w:ascii="Times New Roman" w:hAnsi="Times New Roman" w:cs="Times New Roman"/>
          <w:color w:val="auto"/>
          <w:sz w:val="28"/>
          <w:szCs w:val="28"/>
          <w:lang w:val="uk-UA"/>
        </w:rPr>
      </w:pPr>
      <w:bookmarkStart w:id="15" w:name="_Toc507575308"/>
      <w:r w:rsidRPr="00E24DEC">
        <w:rPr>
          <w:rFonts w:ascii="Times New Roman" w:hAnsi="Times New Roman" w:cs="Times New Roman"/>
          <w:color w:val="auto"/>
          <w:sz w:val="28"/>
          <w:szCs w:val="28"/>
          <w:lang w:val="uk-UA"/>
        </w:rPr>
        <w:lastRenderedPageBreak/>
        <w:t>2</w:t>
      </w:r>
      <w:r w:rsidR="00670A97" w:rsidRPr="00E24DEC">
        <w:rPr>
          <w:rFonts w:ascii="Times New Roman" w:hAnsi="Times New Roman" w:cs="Times New Roman"/>
          <w:color w:val="auto"/>
          <w:sz w:val="28"/>
          <w:szCs w:val="28"/>
          <w:lang w:val="uk-UA"/>
        </w:rPr>
        <w:t>.</w:t>
      </w:r>
      <w:r w:rsidR="00E30802">
        <w:rPr>
          <w:rFonts w:ascii="Times New Roman" w:hAnsi="Times New Roman" w:cs="Times New Roman"/>
          <w:color w:val="auto"/>
          <w:sz w:val="28"/>
          <w:szCs w:val="28"/>
          <w:lang w:val="uk-UA"/>
        </w:rPr>
        <w:t>8</w:t>
      </w:r>
      <w:r w:rsidR="00670A97" w:rsidRPr="00E24DEC">
        <w:rPr>
          <w:rFonts w:ascii="Times New Roman" w:hAnsi="Times New Roman" w:cs="Times New Roman"/>
          <w:color w:val="auto"/>
          <w:sz w:val="28"/>
          <w:szCs w:val="28"/>
          <w:lang w:val="uk-UA"/>
        </w:rPr>
        <w:t xml:space="preserve"> </w:t>
      </w:r>
      <w:r w:rsidR="002C3D20" w:rsidRPr="00E24DEC">
        <w:rPr>
          <w:rFonts w:ascii="Times New Roman" w:hAnsi="Times New Roman" w:cs="Times New Roman"/>
          <w:color w:val="auto"/>
          <w:sz w:val="28"/>
          <w:szCs w:val="28"/>
          <w:lang w:val="uk-UA"/>
        </w:rPr>
        <w:t>Характеристика клінічних груп відповідно до нозологій та призначеного лікування</w:t>
      </w:r>
      <w:bookmarkEnd w:id="15"/>
    </w:p>
    <w:p w14:paraId="5B0247FE" w14:textId="5FB20C55" w:rsidR="00BC7C0F" w:rsidRDefault="0025200C" w:rsidP="00E24D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r w:rsidR="00BC7C0F" w:rsidRPr="00E24DEC">
        <w:rPr>
          <w:rFonts w:ascii="Times New Roman" w:hAnsi="Times New Roman" w:cs="Times New Roman"/>
          <w:sz w:val="28"/>
          <w:szCs w:val="28"/>
          <w:lang w:val="uk-UA"/>
        </w:rPr>
        <w:t xml:space="preserve">весь </w:t>
      </w:r>
      <w:r w:rsidR="00BC7C0F">
        <w:rPr>
          <w:rFonts w:ascii="Times New Roman" w:hAnsi="Times New Roman" w:cs="Times New Roman"/>
          <w:sz w:val="28"/>
          <w:szCs w:val="28"/>
          <w:lang w:val="uk-UA"/>
        </w:rPr>
        <w:t>період проведення дос</w:t>
      </w:r>
      <w:r w:rsidR="001C63C0">
        <w:rPr>
          <w:rFonts w:ascii="Times New Roman" w:hAnsi="Times New Roman" w:cs="Times New Roman"/>
          <w:sz w:val="28"/>
          <w:szCs w:val="28"/>
          <w:lang w:val="uk-UA"/>
        </w:rPr>
        <w:t>лідження нами було обстежено 221 пацієнта</w:t>
      </w:r>
      <w:r w:rsidR="00BC7C0F">
        <w:rPr>
          <w:rFonts w:ascii="Times New Roman" w:hAnsi="Times New Roman" w:cs="Times New Roman"/>
          <w:sz w:val="28"/>
          <w:szCs w:val="28"/>
          <w:lang w:val="uk-UA"/>
        </w:rPr>
        <w:t xml:space="preserve"> дитячого віку </w:t>
      </w:r>
      <w:r w:rsidR="00BC7C0F" w:rsidRPr="00BC7C0F">
        <w:rPr>
          <w:rFonts w:ascii="Times New Roman" w:hAnsi="Times New Roman" w:cs="Times New Roman"/>
          <w:sz w:val="28"/>
          <w:szCs w:val="28"/>
          <w:lang w:val="uk-UA"/>
        </w:rPr>
        <w:t>на базі Обласної дитячої клінічної лікарні №1 м Харкова та Університетського стоматологічного центру Харківського національного медичного університету</w:t>
      </w:r>
      <w:r w:rsidR="00A233EB">
        <w:rPr>
          <w:rFonts w:ascii="Times New Roman" w:hAnsi="Times New Roman" w:cs="Times New Roman"/>
          <w:sz w:val="28"/>
          <w:szCs w:val="28"/>
          <w:lang w:val="uk-UA"/>
        </w:rPr>
        <w:t xml:space="preserve"> за комплексом клінічних, клініко-лабраторних, генетичних, цитоморфологічних показників</w:t>
      </w:r>
      <w:r w:rsidR="00BC7C0F" w:rsidRPr="00BC7C0F">
        <w:rPr>
          <w:rFonts w:ascii="Times New Roman" w:hAnsi="Times New Roman" w:cs="Times New Roman"/>
          <w:sz w:val="28"/>
          <w:szCs w:val="28"/>
          <w:lang w:val="uk-UA"/>
        </w:rPr>
        <w:t xml:space="preserve">. На базі Обласної дитячої клінічної лікарні №1 було обстежено </w:t>
      </w:r>
      <w:r w:rsidR="00BC7C0F">
        <w:rPr>
          <w:rFonts w:ascii="Times New Roman" w:hAnsi="Times New Roman" w:cs="Times New Roman"/>
          <w:sz w:val="28"/>
          <w:szCs w:val="28"/>
          <w:lang w:val="uk-UA"/>
        </w:rPr>
        <w:t>208</w:t>
      </w:r>
      <w:r w:rsidR="00BC7C0F" w:rsidRPr="00BC7C0F">
        <w:rPr>
          <w:rFonts w:ascii="Times New Roman" w:hAnsi="Times New Roman" w:cs="Times New Roman"/>
          <w:sz w:val="28"/>
          <w:szCs w:val="28"/>
          <w:lang w:val="uk-UA"/>
        </w:rPr>
        <w:t xml:space="preserve"> дітей, яким був поставлений діагноз «бронхіальна астма», «алергічний риніт», «атопічний дерматит». Даний контингент дітей склав групу дітей з атопічним</w:t>
      </w:r>
      <w:r w:rsidR="00F07ACB">
        <w:rPr>
          <w:rFonts w:ascii="Times New Roman" w:hAnsi="Times New Roman" w:cs="Times New Roman"/>
          <w:sz w:val="28"/>
          <w:szCs w:val="28"/>
          <w:lang w:val="uk-UA"/>
        </w:rPr>
        <w:t>и</w:t>
      </w:r>
      <w:r w:rsidR="00BC7C0F" w:rsidRPr="00BC7C0F">
        <w:rPr>
          <w:rFonts w:ascii="Times New Roman" w:hAnsi="Times New Roman" w:cs="Times New Roman"/>
          <w:sz w:val="28"/>
          <w:szCs w:val="28"/>
          <w:lang w:val="uk-UA"/>
        </w:rPr>
        <w:t xml:space="preserve"> захворюваннями. На базі Університетського стоматологічного центру було обстежено групу практично здорових дітей без встановленої соматичної патології (35 пацієнтів).</w:t>
      </w:r>
      <w:r w:rsidR="00E028EF">
        <w:rPr>
          <w:rFonts w:ascii="Times New Roman" w:hAnsi="Times New Roman" w:cs="Times New Roman"/>
          <w:sz w:val="28"/>
          <w:szCs w:val="28"/>
          <w:lang w:val="uk-UA"/>
        </w:rPr>
        <w:t xml:space="preserve"> Фото пацієнтів основної та контрольної груп представлені на рис.2.3 та рис.2.4.</w:t>
      </w:r>
    </w:p>
    <w:p w14:paraId="01B09211" w14:textId="77777777" w:rsidR="00A53376" w:rsidRDefault="00A53376" w:rsidP="00BC7C0F">
      <w:pPr>
        <w:spacing w:line="360" w:lineRule="auto"/>
        <w:ind w:firstLine="709"/>
        <w:jc w:val="both"/>
        <w:rPr>
          <w:rFonts w:ascii="Times New Roman" w:hAnsi="Times New Roman" w:cs="Times New Roman"/>
          <w:sz w:val="28"/>
          <w:szCs w:val="28"/>
          <w:lang w:val="uk-UA"/>
        </w:rPr>
      </w:pPr>
    </w:p>
    <w:p w14:paraId="6DE0539D" w14:textId="53CEF15C" w:rsidR="00A53376" w:rsidRDefault="00A53376" w:rsidP="00E028EF">
      <w:pPr>
        <w:spacing w:line="360" w:lineRule="auto"/>
        <w:ind w:firstLine="709"/>
        <w:jc w:val="center"/>
        <w:rPr>
          <w:rFonts w:ascii="Times New Roman" w:hAnsi="Times New Roman" w:cs="Times New Roman"/>
          <w:sz w:val="28"/>
          <w:szCs w:val="28"/>
          <w:lang w:val="uk-UA"/>
        </w:rPr>
      </w:pPr>
      <w:r w:rsidRPr="00A53376">
        <w:rPr>
          <w:rFonts w:ascii="Times New Roman" w:hAnsi="Times New Roman" w:cs="Times New Roman"/>
          <w:noProof/>
          <w:sz w:val="28"/>
          <w:szCs w:val="28"/>
        </w:rPr>
        <w:drawing>
          <wp:inline distT="0" distB="0" distL="0" distR="0" wp14:anchorId="7273818C" wp14:editId="1CF612D6">
            <wp:extent cx="3190875" cy="2437512"/>
            <wp:effectExtent l="0" t="0" r="0" b="1270"/>
            <wp:docPr id="8" name="Picture 8" descr="D:\Patients\Baidychenko\IMG_20170226_1123354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tients\Baidychenko\IMG_20170226_112335468.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6934" t="15565" r="16179" b="16321"/>
                    <a:stretch/>
                  </pic:blipFill>
                  <pic:spPr bwMode="auto">
                    <a:xfrm>
                      <a:off x="0" y="0"/>
                      <a:ext cx="9516149" cy="7269394"/>
                    </a:xfrm>
                    <a:prstGeom prst="rect">
                      <a:avLst/>
                    </a:prstGeom>
                    <a:noFill/>
                    <a:ln>
                      <a:noFill/>
                    </a:ln>
                    <a:extLst>
                      <a:ext uri="{53640926-AAD7-44D8-BBD7-CCE9431645EC}">
                        <a14:shadowObscured xmlns:a14="http://schemas.microsoft.com/office/drawing/2010/main"/>
                      </a:ext>
                    </a:extLst>
                  </pic:spPr>
                </pic:pic>
              </a:graphicData>
            </a:graphic>
          </wp:inline>
        </w:drawing>
      </w:r>
    </w:p>
    <w:p w14:paraId="74AF2895" w14:textId="6EAAD5DF" w:rsidR="00A53376" w:rsidRDefault="00E028EF" w:rsidP="00E028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2.3. </w:t>
      </w:r>
      <w:r w:rsidR="00913D53">
        <w:rPr>
          <w:rFonts w:ascii="Times New Roman" w:hAnsi="Times New Roman" w:cs="Times New Roman"/>
          <w:sz w:val="28"/>
          <w:szCs w:val="28"/>
          <w:lang w:val="uk-UA"/>
        </w:rPr>
        <w:t>Пацієнт М.,</w:t>
      </w:r>
      <w:r>
        <w:rPr>
          <w:rFonts w:ascii="Times New Roman" w:hAnsi="Times New Roman" w:cs="Times New Roman"/>
          <w:sz w:val="28"/>
          <w:szCs w:val="28"/>
          <w:lang w:val="uk-UA"/>
        </w:rPr>
        <w:t xml:space="preserve"> 13 років,</w:t>
      </w:r>
      <w:r w:rsidR="00913D53">
        <w:rPr>
          <w:rFonts w:ascii="Times New Roman" w:hAnsi="Times New Roman" w:cs="Times New Roman"/>
          <w:sz w:val="28"/>
          <w:szCs w:val="28"/>
          <w:lang w:val="uk-UA"/>
        </w:rPr>
        <w:t xml:space="preserve"> контрольна група. Інтактні</w:t>
      </w:r>
      <w:r>
        <w:rPr>
          <w:rFonts w:ascii="Times New Roman" w:hAnsi="Times New Roman" w:cs="Times New Roman"/>
          <w:sz w:val="28"/>
          <w:szCs w:val="28"/>
          <w:lang w:val="uk-UA"/>
        </w:rPr>
        <w:t xml:space="preserve"> тканини пародонту.</w:t>
      </w:r>
    </w:p>
    <w:p w14:paraId="28128CCD" w14:textId="77777777" w:rsidR="001C63C0" w:rsidRDefault="001C63C0" w:rsidP="00E028EF">
      <w:pPr>
        <w:spacing w:line="360" w:lineRule="auto"/>
        <w:jc w:val="both"/>
        <w:rPr>
          <w:rFonts w:ascii="Times New Roman" w:hAnsi="Times New Roman" w:cs="Times New Roman"/>
          <w:sz w:val="28"/>
          <w:szCs w:val="28"/>
          <w:lang w:val="uk-UA"/>
        </w:rPr>
      </w:pPr>
    </w:p>
    <w:p w14:paraId="0AC1B9FC" w14:textId="2F57DE15" w:rsidR="00A53376" w:rsidRDefault="001C63C0" w:rsidP="00E028EF">
      <w:pPr>
        <w:spacing w:line="360" w:lineRule="auto"/>
        <w:ind w:firstLine="709"/>
        <w:jc w:val="center"/>
        <w:rPr>
          <w:rFonts w:ascii="Times New Roman" w:hAnsi="Times New Roman" w:cs="Times New Roman"/>
          <w:sz w:val="28"/>
          <w:szCs w:val="28"/>
          <w:lang w:val="uk-UA"/>
        </w:rPr>
      </w:pPr>
      <w:r w:rsidRPr="001C63C0">
        <w:rPr>
          <w:rFonts w:ascii="Times New Roman" w:hAnsi="Times New Roman" w:cs="Times New Roman"/>
          <w:noProof/>
          <w:sz w:val="28"/>
          <w:szCs w:val="28"/>
        </w:rPr>
        <w:lastRenderedPageBreak/>
        <w:drawing>
          <wp:inline distT="0" distB="0" distL="0" distR="0" wp14:anchorId="0D0B33BA" wp14:editId="5D5EC713">
            <wp:extent cx="3267075" cy="2119181"/>
            <wp:effectExtent l="0" t="0" r="0" b="0"/>
            <wp:docPr id="15" name="Picture 15" descr="D:\Patients\OgrizkoArina\20170701\IMG_20170701_130032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tients\OgrizkoArina\20170701\IMG_20170701_130032839.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4084" t="20221" r="15764" b="19119"/>
                    <a:stretch/>
                  </pic:blipFill>
                  <pic:spPr bwMode="auto">
                    <a:xfrm>
                      <a:off x="0" y="0"/>
                      <a:ext cx="3276904" cy="2125557"/>
                    </a:xfrm>
                    <a:prstGeom prst="rect">
                      <a:avLst/>
                    </a:prstGeom>
                    <a:noFill/>
                    <a:ln>
                      <a:noFill/>
                    </a:ln>
                    <a:extLst>
                      <a:ext uri="{53640926-AAD7-44D8-BBD7-CCE9431645EC}">
                        <a14:shadowObscured xmlns:a14="http://schemas.microsoft.com/office/drawing/2010/main"/>
                      </a:ext>
                    </a:extLst>
                  </pic:spPr>
                </pic:pic>
              </a:graphicData>
            </a:graphic>
          </wp:inline>
        </w:drawing>
      </w:r>
    </w:p>
    <w:p w14:paraId="4508B9E2" w14:textId="4E753CEC" w:rsidR="00A53376" w:rsidRDefault="00E028EF" w:rsidP="00E028E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2.4. Пацієнт А., 14 років, основна група. Хронічний катаральний гінгівіт на тлі бронхіальної астми та атопічного дерматиту.</w:t>
      </w:r>
    </w:p>
    <w:p w14:paraId="14525293" w14:textId="7DB65E51" w:rsidR="00E45A7E" w:rsidRPr="001B506D" w:rsidRDefault="00BC7C0F" w:rsidP="001C63C0">
      <w:pPr>
        <w:spacing w:after="12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До представленого контингенту було застосовано ідентичні діагностичні заходи, а саме було проведене стандартне стоматологічне обстеження та визначення індексу гігієни за допомогою індексу Гріна-Вермільйона, індексів гінгівіту (індекс </w:t>
      </w:r>
      <w:r>
        <w:rPr>
          <w:rFonts w:ascii="Times New Roman" w:hAnsi="Times New Roman" w:cs="Times New Roman"/>
          <w:sz w:val="28"/>
          <w:szCs w:val="28"/>
        </w:rPr>
        <w:t>SBI</w:t>
      </w:r>
      <w:r w:rsidR="002B0746">
        <w:rPr>
          <w:rFonts w:ascii="Times New Roman" w:hAnsi="Times New Roman" w:cs="Times New Roman"/>
          <w:sz w:val="28"/>
          <w:szCs w:val="28"/>
          <w:lang w:val="uk-UA"/>
        </w:rPr>
        <w:t>,</w:t>
      </w:r>
      <w:r w:rsidRPr="00A35254">
        <w:rPr>
          <w:rFonts w:ascii="Times New Roman" w:hAnsi="Times New Roman" w:cs="Times New Roman"/>
          <w:sz w:val="28"/>
          <w:szCs w:val="28"/>
          <w:lang w:val="uk-UA"/>
        </w:rPr>
        <w:t xml:space="preserve"> </w:t>
      </w:r>
      <w:r>
        <w:rPr>
          <w:rFonts w:ascii="Times New Roman" w:hAnsi="Times New Roman" w:cs="Times New Roman"/>
          <w:sz w:val="28"/>
          <w:szCs w:val="28"/>
        </w:rPr>
        <w:t>PMA</w:t>
      </w:r>
      <w:r>
        <w:rPr>
          <w:rFonts w:ascii="Times New Roman" w:hAnsi="Times New Roman" w:cs="Times New Roman"/>
          <w:sz w:val="28"/>
          <w:szCs w:val="28"/>
          <w:lang w:val="uk-UA"/>
        </w:rPr>
        <w:t>), інтенсивність карієсу</w:t>
      </w:r>
      <w:r w:rsidRPr="00A3525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B0746">
        <w:rPr>
          <w:rFonts w:ascii="Times New Roman" w:hAnsi="Times New Roman" w:cs="Times New Roman"/>
          <w:sz w:val="28"/>
          <w:szCs w:val="28"/>
          <w:lang w:val="uk-UA"/>
        </w:rPr>
        <w:t xml:space="preserve">а рівнем індексу кп+КПУ, КПУ, </w:t>
      </w:r>
      <w:r>
        <w:rPr>
          <w:rFonts w:ascii="Times New Roman" w:hAnsi="Times New Roman" w:cs="Times New Roman"/>
          <w:sz w:val="28"/>
          <w:szCs w:val="28"/>
          <w:lang w:val="uk-UA"/>
        </w:rPr>
        <w:t>рівень рН</w:t>
      </w:r>
      <w:r w:rsidR="002B0746">
        <w:rPr>
          <w:rFonts w:ascii="Times New Roman" w:hAnsi="Times New Roman" w:cs="Times New Roman"/>
          <w:sz w:val="28"/>
          <w:szCs w:val="28"/>
          <w:lang w:val="uk-UA"/>
        </w:rPr>
        <w:t>, рівень муцину</w:t>
      </w:r>
      <w:r>
        <w:rPr>
          <w:rFonts w:ascii="Times New Roman" w:hAnsi="Times New Roman" w:cs="Times New Roman"/>
          <w:sz w:val="28"/>
          <w:szCs w:val="28"/>
          <w:lang w:val="uk-UA"/>
        </w:rPr>
        <w:t>. Серед обстежених пацієнтів за такими клінічними проявами як набряк, кровоточивість та інші прояви запалення, було встановлено діагноз «гінгівіт». Діти, серед яких було виявлено гострий локалізований або дифузний гінгівіт, не були включені дослідження. Згідно з отриманими даними, найбільш розповсюдженою формою був хронічний катаральний гінгівіт, який склав 8</w:t>
      </w:r>
      <w:r w:rsidR="001B506D">
        <w:rPr>
          <w:rFonts w:ascii="Times New Roman" w:hAnsi="Times New Roman" w:cs="Times New Roman"/>
          <w:sz w:val="28"/>
          <w:szCs w:val="28"/>
          <w:lang w:val="uk-UA"/>
        </w:rPr>
        <w:t>2,81</w:t>
      </w:r>
      <w:r w:rsidR="00607395">
        <w:rPr>
          <w:rFonts w:ascii="Times New Roman" w:hAnsi="Times New Roman" w:cs="Times New Roman"/>
          <w:sz w:val="28"/>
          <w:szCs w:val="28"/>
          <w:lang w:val="uk-UA"/>
        </w:rPr>
        <w:t>% серед інших форм (табл. 2.5</w:t>
      </w:r>
      <w:r>
        <w:rPr>
          <w:rFonts w:ascii="Times New Roman" w:hAnsi="Times New Roman" w:cs="Times New Roman"/>
          <w:sz w:val="28"/>
          <w:szCs w:val="28"/>
          <w:lang w:val="uk-UA"/>
        </w:rPr>
        <w:t>).</w:t>
      </w:r>
    </w:p>
    <w:p w14:paraId="78B8A12F" w14:textId="05A08652" w:rsidR="00BC7C0F" w:rsidRDefault="00607395" w:rsidP="001C63C0">
      <w:pPr>
        <w:spacing w:after="12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14:paraId="5E0C7A30" w14:textId="77777777" w:rsidR="00BC7C0F" w:rsidRDefault="00BC7C0F" w:rsidP="001C63C0">
      <w:pPr>
        <w:spacing w:after="12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форм гінгівіту серед дітей з атопічними захворюваннями</w:t>
      </w:r>
    </w:p>
    <w:tbl>
      <w:tblPr>
        <w:tblStyle w:val="TableGrid"/>
        <w:tblW w:w="0" w:type="auto"/>
        <w:tblLook w:val="04A0" w:firstRow="1" w:lastRow="0" w:firstColumn="1" w:lastColumn="0" w:noHBand="0" w:noVBand="1"/>
      </w:tblPr>
      <w:tblGrid>
        <w:gridCol w:w="2689"/>
        <w:gridCol w:w="3260"/>
        <w:gridCol w:w="3396"/>
      </w:tblGrid>
      <w:tr w:rsidR="00BC7C0F" w:rsidRPr="00852E54" w14:paraId="6CF2487F" w14:textId="77777777" w:rsidTr="00D70452">
        <w:tc>
          <w:tcPr>
            <w:tcW w:w="2689" w:type="dxa"/>
          </w:tcPr>
          <w:p w14:paraId="1FB875D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Форма гінгівіту</w:t>
            </w:r>
          </w:p>
        </w:tc>
        <w:tc>
          <w:tcPr>
            <w:tcW w:w="3260" w:type="dxa"/>
          </w:tcPr>
          <w:p w14:paraId="028E140D"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Кількість дітей з даною формою гінгівіту (абс.)</w:t>
            </w:r>
          </w:p>
        </w:tc>
        <w:tc>
          <w:tcPr>
            <w:tcW w:w="3396" w:type="dxa"/>
          </w:tcPr>
          <w:p w14:paraId="1FA3E0C2"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Кількість дітей з даною формою гінгівіту (%)</w:t>
            </w:r>
          </w:p>
        </w:tc>
      </w:tr>
      <w:tr w:rsidR="00BC7C0F" w:rsidRPr="00AB26CA" w14:paraId="587F4E0A" w14:textId="77777777" w:rsidTr="00D70452">
        <w:tc>
          <w:tcPr>
            <w:tcW w:w="2689" w:type="dxa"/>
          </w:tcPr>
          <w:p w14:paraId="25D40EB3"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Катаральний</w:t>
            </w:r>
          </w:p>
        </w:tc>
        <w:tc>
          <w:tcPr>
            <w:tcW w:w="3260" w:type="dxa"/>
          </w:tcPr>
          <w:p w14:paraId="5344A57E"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106</w:t>
            </w:r>
          </w:p>
        </w:tc>
        <w:tc>
          <w:tcPr>
            <w:tcW w:w="3396" w:type="dxa"/>
          </w:tcPr>
          <w:p w14:paraId="0B8DC305"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82,81</w:t>
            </w:r>
          </w:p>
        </w:tc>
      </w:tr>
      <w:tr w:rsidR="00BC7C0F" w:rsidRPr="00AB26CA" w14:paraId="596E3360" w14:textId="77777777" w:rsidTr="00D70452">
        <w:tc>
          <w:tcPr>
            <w:tcW w:w="2689" w:type="dxa"/>
          </w:tcPr>
          <w:p w14:paraId="26E1AA74" w14:textId="4EBB96CD" w:rsidR="00BC7C0F" w:rsidRPr="00AB26CA" w:rsidRDefault="00DD50F5" w:rsidP="00D70452">
            <w:pPr>
              <w:spacing w:line="360" w:lineRule="auto"/>
              <w:rPr>
                <w:rFonts w:cs="Times New Roman"/>
                <w:sz w:val="28"/>
                <w:szCs w:val="28"/>
                <w:lang w:val="uk-UA"/>
              </w:rPr>
            </w:pPr>
            <w:r>
              <w:rPr>
                <w:rFonts w:cs="Times New Roman"/>
                <w:sz w:val="28"/>
                <w:szCs w:val="28"/>
                <w:lang w:val="uk-UA"/>
              </w:rPr>
              <w:t>Гіпертрофічний</w:t>
            </w:r>
          </w:p>
        </w:tc>
        <w:tc>
          <w:tcPr>
            <w:tcW w:w="3260" w:type="dxa"/>
          </w:tcPr>
          <w:p w14:paraId="3A54EF4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5</w:t>
            </w:r>
          </w:p>
        </w:tc>
        <w:tc>
          <w:tcPr>
            <w:tcW w:w="3396" w:type="dxa"/>
          </w:tcPr>
          <w:p w14:paraId="676CF134"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3,9</w:t>
            </w:r>
          </w:p>
        </w:tc>
      </w:tr>
      <w:tr w:rsidR="00BC7C0F" w:rsidRPr="00AB26CA" w14:paraId="2802875B" w14:textId="77777777" w:rsidTr="00D70452">
        <w:tc>
          <w:tcPr>
            <w:tcW w:w="2689" w:type="dxa"/>
          </w:tcPr>
          <w:p w14:paraId="73B5E1C2"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Виразковий</w:t>
            </w:r>
          </w:p>
        </w:tc>
        <w:tc>
          <w:tcPr>
            <w:tcW w:w="3260" w:type="dxa"/>
          </w:tcPr>
          <w:p w14:paraId="23A2C14B" w14:textId="77777777" w:rsidR="00BC7C0F" w:rsidRPr="004056DA" w:rsidRDefault="00BC7C0F" w:rsidP="00D70452">
            <w:pPr>
              <w:spacing w:line="360" w:lineRule="auto"/>
              <w:rPr>
                <w:rFonts w:cs="Times New Roman"/>
                <w:sz w:val="28"/>
                <w:szCs w:val="28"/>
                <w:lang w:val="uk-UA"/>
              </w:rPr>
            </w:pPr>
            <w:r>
              <w:rPr>
                <w:rFonts w:cs="Times New Roman"/>
                <w:sz w:val="28"/>
                <w:szCs w:val="28"/>
                <w:lang w:val="uk-UA"/>
              </w:rPr>
              <w:t>6</w:t>
            </w:r>
          </w:p>
        </w:tc>
        <w:tc>
          <w:tcPr>
            <w:tcW w:w="3396" w:type="dxa"/>
          </w:tcPr>
          <w:p w14:paraId="35DE30CA"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4,69</w:t>
            </w:r>
          </w:p>
        </w:tc>
      </w:tr>
      <w:tr w:rsidR="00BC7C0F" w:rsidRPr="00AB26CA" w14:paraId="75B2D57C" w14:textId="77777777" w:rsidTr="00D70452">
        <w:tc>
          <w:tcPr>
            <w:tcW w:w="2689" w:type="dxa"/>
          </w:tcPr>
          <w:p w14:paraId="040F7CF6"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Атрофічний</w:t>
            </w:r>
          </w:p>
        </w:tc>
        <w:tc>
          <w:tcPr>
            <w:tcW w:w="3260" w:type="dxa"/>
          </w:tcPr>
          <w:p w14:paraId="6139A71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11</w:t>
            </w:r>
          </w:p>
        </w:tc>
        <w:tc>
          <w:tcPr>
            <w:tcW w:w="3396" w:type="dxa"/>
          </w:tcPr>
          <w:p w14:paraId="7BCCAA6B" w14:textId="77777777" w:rsidR="00BC7C0F" w:rsidRPr="00AB26CA" w:rsidRDefault="00BC7C0F" w:rsidP="00D70452">
            <w:pPr>
              <w:spacing w:line="360" w:lineRule="auto"/>
              <w:rPr>
                <w:rFonts w:cs="Times New Roman"/>
                <w:sz w:val="28"/>
                <w:szCs w:val="28"/>
                <w:lang w:val="uk-UA"/>
              </w:rPr>
            </w:pPr>
            <w:r>
              <w:rPr>
                <w:rFonts w:cs="Times New Roman"/>
                <w:sz w:val="28"/>
                <w:szCs w:val="28"/>
                <w:lang w:val="uk-UA"/>
              </w:rPr>
              <w:t>8,59</w:t>
            </w:r>
          </w:p>
        </w:tc>
      </w:tr>
    </w:tbl>
    <w:p w14:paraId="0191446A" w14:textId="78D886AE" w:rsidR="00BC7C0F" w:rsidRDefault="001C63C0" w:rsidP="00A233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w:t>
      </w:r>
      <w:r w:rsidR="00BC7C0F">
        <w:rPr>
          <w:rFonts w:ascii="Times New Roman" w:hAnsi="Times New Roman" w:cs="Times New Roman"/>
          <w:sz w:val="28"/>
          <w:szCs w:val="28"/>
          <w:lang w:val="uk-UA"/>
        </w:rPr>
        <w:t>нші форми гінгівіту склали 3,9 % (</w:t>
      </w:r>
      <w:r w:rsidR="00DD50F5">
        <w:rPr>
          <w:rFonts w:ascii="Times New Roman" w:hAnsi="Times New Roman" w:cs="Times New Roman"/>
          <w:sz w:val="28"/>
          <w:szCs w:val="28"/>
          <w:lang w:val="uk-UA"/>
        </w:rPr>
        <w:t>гіпертрофічний</w:t>
      </w:r>
      <w:r w:rsidR="00BC7C0F">
        <w:rPr>
          <w:rFonts w:ascii="Times New Roman" w:hAnsi="Times New Roman" w:cs="Times New Roman"/>
          <w:sz w:val="28"/>
          <w:szCs w:val="28"/>
          <w:lang w:val="uk-UA"/>
        </w:rPr>
        <w:t xml:space="preserve">), 4,69 % (виразковий гінгівіт) та 8,59 % (атрофічний гінгівіт). У зв’язку з тим, що хронічний катаральний гінгівіт превалює серед інших форм, саме дана форма є </w:t>
      </w:r>
      <w:r w:rsidR="00A233EB">
        <w:rPr>
          <w:rFonts w:ascii="Times New Roman" w:hAnsi="Times New Roman" w:cs="Times New Roman"/>
          <w:sz w:val="28"/>
          <w:szCs w:val="28"/>
          <w:lang w:val="uk-UA"/>
        </w:rPr>
        <w:t xml:space="preserve">основним </w:t>
      </w:r>
      <w:r w:rsidR="00BC7C0F">
        <w:rPr>
          <w:rFonts w:ascii="Times New Roman" w:hAnsi="Times New Roman" w:cs="Times New Roman"/>
          <w:sz w:val="28"/>
          <w:szCs w:val="28"/>
          <w:lang w:val="uk-UA"/>
        </w:rPr>
        <w:t>предметом нашого дослідження.</w:t>
      </w:r>
    </w:p>
    <w:p w14:paraId="06F66487" w14:textId="146918D1" w:rsidR="00E45A7E" w:rsidRPr="00E45A7E" w:rsidRDefault="00BC7C0F" w:rsidP="00A233EB">
      <w:pPr>
        <w:spacing w:after="0" w:line="360" w:lineRule="auto"/>
        <w:ind w:firstLine="709"/>
        <w:jc w:val="both"/>
        <w:rPr>
          <w:rFonts w:ascii="Times New Roman" w:hAnsi="Times New Roman"/>
          <w:sz w:val="28"/>
          <w:szCs w:val="28"/>
        </w:rPr>
      </w:pPr>
      <w:r w:rsidRPr="002804DE">
        <w:rPr>
          <w:rFonts w:ascii="Times New Roman" w:hAnsi="Times New Roman"/>
          <w:sz w:val="28"/>
          <w:szCs w:val="28"/>
          <w:lang w:val="uk-UA"/>
        </w:rPr>
        <w:t>Для даного дослідження пацієнти бул</w:t>
      </w:r>
      <w:r>
        <w:rPr>
          <w:rFonts w:ascii="Times New Roman" w:hAnsi="Times New Roman"/>
          <w:sz w:val="28"/>
          <w:szCs w:val="28"/>
          <w:lang w:val="uk-UA"/>
        </w:rPr>
        <w:t>и поділені на наступні групи: 76</w:t>
      </w:r>
      <w:r w:rsidRPr="002804DE">
        <w:rPr>
          <w:rFonts w:ascii="Times New Roman" w:hAnsi="Times New Roman"/>
          <w:sz w:val="28"/>
          <w:szCs w:val="28"/>
          <w:lang w:val="uk-UA"/>
        </w:rPr>
        <w:t xml:space="preserve"> пацієнтів з хронічним гінгівітом на тлі атопічних </w:t>
      </w:r>
      <w:r>
        <w:rPr>
          <w:rFonts w:ascii="Times New Roman" w:hAnsi="Times New Roman"/>
          <w:sz w:val="28"/>
          <w:szCs w:val="28"/>
          <w:lang w:val="uk-UA"/>
        </w:rPr>
        <w:t>захворювань (1 група), яким було проведене запропоноване лікування; 5</w:t>
      </w:r>
      <w:r w:rsidRPr="002804DE">
        <w:rPr>
          <w:rFonts w:ascii="Times New Roman" w:hAnsi="Times New Roman"/>
          <w:sz w:val="28"/>
          <w:szCs w:val="28"/>
          <w:lang w:val="uk-UA"/>
        </w:rPr>
        <w:t>0 пацієнтів без клінічних ознак запальних і дистрофічно-запальних захворювань пародонту з атопічним</w:t>
      </w:r>
      <w:r>
        <w:rPr>
          <w:rFonts w:ascii="Times New Roman" w:hAnsi="Times New Roman"/>
          <w:sz w:val="28"/>
          <w:szCs w:val="28"/>
          <w:lang w:val="uk-UA"/>
        </w:rPr>
        <w:t>и</w:t>
      </w:r>
      <w:r w:rsidRPr="002804DE">
        <w:rPr>
          <w:rFonts w:ascii="Times New Roman" w:hAnsi="Times New Roman"/>
          <w:sz w:val="28"/>
          <w:szCs w:val="28"/>
          <w:lang w:val="uk-UA"/>
        </w:rPr>
        <w:t xml:space="preserve"> захворюваннями (2 група)</w:t>
      </w:r>
      <w:r>
        <w:rPr>
          <w:rFonts w:ascii="Times New Roman" w:hAnsi="Times New Roman"/>
          <w:sz w:val="28"/>
          <w:szCs w:val="28"/>
          <w:lang w:val="uk-UA"/>
        </w:rPr>
        <w:t>, для яких була призначене специфічна профілактика</w:t>
      </w:r>
      <w:r w:rsidRPr="002804DE">
        <w:rPr>
          <w:rFonts w:ascii="Times New Roman" w:hAnsi="Times New Roman"/>
          <w:sz w:val="28"/>
          <w:szCs w:val="28"/>
          <w:lang w:val="uk-UA"/>
        </w:rPr>
        <w:t xml:space="preserve">; </w:t>
      </w:r>
      <w:r>
        <w:rPr>
          <w:rFonts w:ascii="Times New Roman" w:hAnsi="Times New Roman"/>
          <w:sz w:val="28"/>
          <w:szCs w:val="28"/>
          <w:lang w:val="uk-UA"/>
        </w:rPr>
        <w:t xml:space="preserve">30 пацієнтів </w:t>
      </w:r>
      <w:r w:rsidRPr="002804DE">
        <w:rPr>
          <w:rFonts w:ascii="Times New Roman" w:hAnsi="Times New Roman"/>
          <w:sz w:val="28"/>
          <w:szCs w:val="28"/>
          <w:lang w:val="uk-UA"/>
        </w:rPr>
        <w:t xml:space="preserve">з хронічним гінгівітом на тлі атопічних </w:t>
      </w:r>
      <w:r>
        <w:rPr>
          <w:rFonts w:ascii="Times New Roman" w:hAnsi="Times New Roman"/>
          <w:sz w:val="28"/>
          <w:szCs w:val="28"/>
          <w:lang w:val="uk-UA"/>
        </w:rPr>
        <w:t xml:space="preserve">захворювань, до яких застосована стандартна схема лікування гінгівіту (3 група); 30 пацієнтів </w:t>
      </w:r>
      <w:r w:rsidRPr="002804DE">
        <w:rPr>
          <w:rFonts w:ascii="Times New Roman" w:hAnsi="Times New Roman"/>
          <w:sz w:val="28"/>
          <w:szCs w:val="28"/>
          <w:lang w:val="uk-UA"/>
        </w:rPr>
        <w:t>без клінічних ознак запальних і дистрофічно-запальних захворювань пародонту з атопічним</w:t>
      </w:r>
      <w:r>
        <w:rPr>
          <w:rFonts w:ascii="Times New Roman" w:hAnsi="Times New Roman"/>
          <w:sz w:val="28"/>
          <w:szCs w:val="28"/>
          <w:lang w:val="uk-UA"/>
        </w:rPr>
        <w:t>и</w:t>
      </w:r>
      <w:r w:rsidRPr="002804DE">
        <w:rPr>
          <w:rFonts w:ascii="Times New Roman" w:hAnsi="Times New Roman"/>
          <w:sz w:val="28"/>
          <w:szCs w:val="28"/>
          <w:lang w:val="uk-UA"/>
        </w:rPr>
        <w:t xml:space="preserve"> захворюваннями </w:t>
      </w:r>
      <w:r w:rsidR="00024094">
        <w:rPr>
          <w:rFonts w:ascii="Times New Roman" w:hAnsi="Times New Roman"/>
          <w:sz w:val="28"/>
          <w:szCs w:val="28"/>
          <w:lang w:val="uk-UA"/>
        </w:rPr>
        <w:t>з</w:t>
      </w:r>
      <w:r>
        <w:rPr>
          <w:rFonts w:ascii="Times New Roman" w:hAnsi="Times New Roman"/>
          <w:sz w:val="28"/>
          <w:szCs w:val="28"/>
          <w:lang w:val="uk-UA"/>
        </w:rPr>
        <w:t xml:space="preserve"> застосування</w:t>
      </w:r>
      <w:r w:rsidR="00024094">
        <w:rPr>
          <w:rFonts w:ascii="Times New Roman" w:hAnsi="Times New Roman"/>
          <w:sz w:val="28"/>
          <w:szCs w:val="28"/>
          <w:lang w:val="uk-UA"/>
        </w:rPr>
        <w:t>м традиційних</w:t>
      </w:r>
      <w:r>
        <w:rPr>
          <w:rFonts w:ascii="Times New Roman" w:hAnsi="Times New Roman"/>
          <w:sz w:val="28"/>
          <w:szCs w:val="28"/>
          <w:lang w:val="uk-UA"/>
        </w:rPr>
        <w:t xml:space="preserve"> </w:t>
      </w:r>
      <w:r w:rsidR="00024094">
        <w:rPr>
          <w:rFonts w:ascii="Times New Roman" w:hAnsi="Times New Roman"/>
          <w:sz w:val="28"/>
          <w:szCs w:val="28"/>
          <w:lang w:val="uk-UA"/>
        </w:rPr>
        <w:t>профілактичних</w:t>
      </w:r>
      <w:r>
        <w:rPr>
          <w:rFonts w:ascii="Times New Roman" w:hAnsi="Times New Roman"/>
          <w:sz w:val="28"/>
          <w:szCs w:val="28"/>
          <w:lang w:val="uk-UA"/>
        </w:rPr>
        <w:t xml:space="preserve"> заходів (4 група); </w:t>
      </w:r>
      <w:r w:rsidRPr="002804DE">
        <w:rPr>
          <w:rFonts w:ascii="Times New Roman" w:hAnsi="Times New Roman"/>
          <w:sz w:val="28"/>
          <w:szCs w:val="28"/>
          <w:lang w:val="uk-UA"/>
        </w:rPr>
        <w:t>як умовну фізіологічну норму приймали клінік</w:t>
      </w:r>
      <w:r>
        <w:rPr>
          <w:rFonts w:ascii="Times New Roman" w:hAnsi="Times New Roman"/>
          <w:sz w:val="28"/>
          <w:szCs w:val="28"/>
          <w:lang w:val="uk-UA"/>
        </w:rPr>
        <w:t>о-лабораторні показники 35</w:t>
      </w:r>
      <w:r w:rsidRPr="002804DE">
        <w:rPr>
          <w:rFonts w:ascii="Times New Roman" w:hAnsi="Times New Roman"/>
          <w:sz w:val="28"/>
          <w:szCs w:val="28"/>
          <w:lang w:val="uk-UA"/>
        </w:rPr>
        <w:t xml:space="preserve"> пацієнтів з інтактними тканинами паро</w:t>
      </w:r>
      <w:r>
        <w:rPr>
          <w:rFonts w:ascii="Times New Roman" w:hAnsi="Times New Roman"/>
          <w:sz w:val="28"/>
          <w:szCs w:val="28"/>
          <w:lang w:val="uk-UA"/>
        </w:rPr>
        <w:t>донта без супутньої патології (5</w:t>
      </w:r>
      <w:r w:rsidRPr="002804DE">
        <w:rPr>
          <w:rFonts w:ascii="Times New Roman" w:hAnsi="Times New Roman"/>
          <w:sz w:val="28"/>
          <w:szCs w:val="28"/>
          <w:lang w:val="uk-UA"/>
        </w:rPr>
        <w:t xml:space="preserve"> група).</w:t>
      </w:r>
      <w:r>
        <w:rPr>
          <w:rFonts w:ascii="Times New Roman" w:hAnsi="Times New Roman"/>
          <w:sz w:val="28"/>
          <w:szCs w:val="28"/>
          <w:lang w:val="uk-UA"/>
        </w:rPr>
        <w:t xml:space="preserve"> Розподіл пацієнтів нав</w:t>
      </w:r>
      <w:r w:rsidR="00670A97">
        <w:rPr>
          <w:rFonts w:ascii="Times New Roman" w:hAnsi="Times New Roman"/>
          <w:sz w:val="28"/>
          <w:szCs w:val="28"/>
          <w:lang w:val="uk-UA"/>
        </w:rPr>
        <w:t>еден</w:t>
      </w:r>
      <w:r w:rsidR="00607395">
        <w:rPr>
          <w:rFonts w:ascii="Times New Roman" w:hAnsi="Times New Roman"/>
          <w:sz w:val="28"/>
          <w:szCs w:val="28"/>
          <w:lang w:val="uk-UA"/>
        </w:rPr>
        <w:t>ий у таблиці 2.6</w:t>
      </w:r>
      <w:r>
        <w:rPr>
          <w:rFonts w:ascii="Times New Roman" w:hAnsi="Times New Roman"/>
          <w:sz w:val="28"/>
          <w:szCs w:val="28"/>
          <w:lang w:val="uk-UA"/>
        </w:rPr>
        <w:t>.</w:t>
      </w:r>
    </w:p>
    <w:p w14:paraId="53DF19C7" w14:textId="1EE9BE74" w:rsidR="00BC7C0F" w:rsidRDefault="00DD50F5" w:rsidP="00A233EB">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w:t>
      </w:r>
      <w:r w:rsidR="00607395">
        <w:rPr>
          <w:rFonts w:ascii="Times New Roman" w:hAnsi="Times New Roman"/>
          <w:sz w:val="28"/>
          <w:szCs w:val="28"/>
          <w:lang w:val="uk-UA"/>
        </w:rPr>
        <w:t>.6</w:t>
      </w:r>
    </w:p>
    <w:p w14:paraId="30ECD0CB" w14:textId="77777777" w:rsidR="00BC7C0F" w:rsidRDefault="00BC7C0F" w:rsidP="00A233EB">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пацієнтів за групами</w:t>
      </w:r>
    </w:p>
    <w:tbl>
      <w:tblPr>
        <w:tblStyle w:val="TableGrid"/>
        <w:tblW w:w="9737" w:type="dxa"/>
        <w:jc w:val="center"/>
        <w:tblLayout w:type="fixed"/>
        <w:tblLook w:val="04A0" w:firstRow="1" w:lastRow="0" w:firstColumn="1" w:lastColumn="0" w:noHBand="0" w:noVBand="1"/>
      </w:tblPr>
      <w:tblGrid>
        <w:gridCol w:w="562"/>
        <w:gridCol w:w="1134"/>
        <w:gridCol w:w="1701"/>
        <w:gridCol w:w="1134"/>
        <w:gridCol w:w="1276"/>
        <w:gridCol w:w="11"/>
        <w:gridCol w:w="1974"/>
        <w:gridCol w:w="12"/>
        <w:gridCol w:w="1933"/>
      </w:tblGrid>
      <w:tr w:rsidR="00C67491" w:rsidRPr="00852E54" w14:paraId="37C1B020" w14:textId="77777777" w:rsidTr="00C67491">
        <w:trPr>
          <w:cantSplit/>
          <w:trHeight w:val="2374"/>
          <w:jc w:val="center"/>
        </w:trPr>
        <w:tc>
          <w:tcPr>
            <w:tcW w:w="562" w:type="dxa"/>
            <w:textDirection w:val="btLr"/>
          </w:tcPr>
          <w:p w14:paraId="0812CBFF" w14:textId="77777777" w:rsidR="00C67491" w:rsidRDefault="00C67491" w:rsidP="00C67491">
            <w:pPr>
              <w:spacing w:line="276" w:lineRule="auto"/>
              <w:ind w:left="113" w:right="113"/>
              <w:jc w:val="center"/>
              <w:rPr>
                <w:sz w:val="28"/>
                <w:szCs w:val="28"/>
                <w:lang w:val="uk-UA"/>
              </w:rPr>
            </w:pPr>
            <w:r>
              <w:rPr>
                <w:sz w:val="28"/>
                <w:szCs w:val="28"/>
                <w:lang w:val="uk-UA"/>
              </w:rPr>
              <w:t>№ групи</w:t>
            </w:r>
          </w:p>
        </w:tc>
        <w:tc>
          <w:tcPr>
            <w:tcW w:w="1134" w:type="dxa"/>
            <w:textDirection w:val="btLr"/>
          </w:tcPr>
          <w:p w14:paraId="5428BDB8" w14:textId="77777777" w:rsidR="00C67491" w:rsidRDefault="00C67491" w:rsidP="00C67491">
            <w:pPr>
              <w:spacing w:line="276" w:lineRule="auto"/>
              <w:ind w:left="113" w:right="113"/>
              <w:jc w:val="center"/>
              <w:rPr>
                <w:sz w:val="28"/>
                <w:szCs w:val="28"/>
                <w:lang w:val="uk-UA"/>
              </w:rPr>
            </w:pPr>
            <w:r>
              <w:rPr>
                <w:sz w:val="28"/>
                <w:szCs w:val="28"/>
                <w:lang w:val="uk-UA"/>
              </w:rPr>
              <w:t>Кількість обстежених пацієнтів</w:t>
            </w:r>
          </w:p>
        </w:tc>
        <w:tc>
          <w:tcPr>
            <w:tcW w:w="1701" w:type="dxa"/>
            <w:textDirection w:val="btLr"/>
          </w:tcPr>
          <w:p w14:paraId="0BCA84A3" w14:textId="358CAFC4" w:rsidR="00C67491" w:rsidRDefault="00C67491" w:rsidP="00C67491">
            <w:pPr>
              <w:spacing w:line="276" w:lineRule="auto"/>
              <w:ind w:left="113" w:right="113"/>
              <w:jc w:val="center"/>
              <w:rPr>
                <w:sz w:val="28"/>
                <w:szCs w:val="28"/>
                <w:lang w:val="uk-UA"/>
              </w:rPr>
            </w:pPr>
            <w:r>
              <w:rPr>
                <w:sz w:val="28"/>
                <w:szCs w:val="28"/>
                <w:lang w:val="uk-UA"/>
              </w:rPr>
              <w:t>Вік, роки</w:t>
            </w:r>
            <w:r>
              <w:rPr>
                <w:sz w:val="28"/>
                <w:szCs w:val="28"/>
                <w:lang w:val="uk-UA"/>
              </w:rPr>
              <w:br/>
              <w:t xml:space="preserve"> (</w:t>
            </w:r>
            <w:r>
              <w:rPr>
                <w:sz w:val="28"/>
                <w:szCs w:val="28"/>
                <w:lang w:val="en-US"/>
              </w:rPr>
              <w:t>M</w:t>
            </w:r>
            <w:r>
              <w:rPr>
                <w:rFonts w:cs="Times New Roman"/>
                <w:sz w:val="28"/>
                <w:szCs w:val="28"/>
                <w:lang w:val="uk-UA"/>
              </w:rPr>
              <w:t>±</w:t>
            </w:r>
            <w:r>
              <w:rPr>
                <w:sz w:val="28"/>
                <w:szCs w:val="28"/>
                <w:lang w:val="uk-UA"/>
              </w:rPr>
              <w:t>m)</w:t>
            </w:r>
          </w:p>
          <w:p w14:paraId="3A030BA5" w14:textId="60331458" w:rsidR="00C67491" w:rsidRDefault="00C67491" w:rsidP="00C67491">
            <w:pPr>
              <w:spacing w:line="276" w:lineRule="auto"/>
              <w:ind w:left="113" w:right="113"/>
              <w:jc w:val="center"/>
              <w:rPr>
                <w:sz w:val="28"/>
                <w:szCs w:val="28"/>
                <w:lang w:val="uk-UA"/>
              </w:rPr>
            </w:pPr>
          </w:p>
        </w:tc>
        <w:tc>
          <w:tcPr>
            <w:tcW w:w="1134" w:type="dxa"/>
            <w:textDirection w:val="btLr"/>
          </w:tcPr>
          <w:p w14:paraId="08BA3C48" w14:textId="5128F673" w:rsidR="00C67491" w:rsidRDefault="00C67491" w:rsidP="00C67491">
            <w:pPr>
              <w:spacing w:line="276" w:lineRule="auto"/>
              <w:ind w:left="113" w:right="113"/>
              <w:jc w:val="center"/>
              <w:rPr>
                <w:sz w:val="28"/>
                <w:szCs w:val="28"/>
                <w:lang w:val="uk-UA"/>
              </w:rPr>
            </w:pPr>
            <w:r>
              <w:rPr>
                <w:sz w:val="28"/>
                <w:szCs w:val="28"/>
                <w:lang w:val="uk-UA"/>
              </w:rPr>
              <w:t>Наявність атопічних захворювань</w:t>
            </w:r>
          </w:p>
        </w:tc>
        <w:tc>
          <w:tcPr>
            <w:tcW w:w="1287" w:type="dxa"/>
            <w:gridSpan w:val="2"/>
            <w:textDirection w:val="btLr"/>
          </w:tcPr>
          <w:p w14:paraId="21E27D94" w14:textId="1AFA206A" w:rsidR="00C67491" w:rsidRDefault="00C67491" w:rsidP="00C67491">
            <w:pPr>
              <w:spacing w:line="276" w:lineRule="auto"/>
              <w:ind w:left="113" w:right="113"/>
              <w:jc w:val="center"/>
              <w:rPr>
                <w:sz w:val="28"/>
                <w:szCs w:val="28"/>
                <w:lang w:val="uk-UA"/>
              </w:rPr>
            </w:pPr>
            <w:r>
              <w:rPr>
                <w:sz w:val="28"/>
                <w:szCs w:val="28"/>
                <w:lang w:val="uk-UA"/>
              </w:rPr>
              <w:t>Наявність хронічного гінгівіту</w:t>
            </w:r>
          </w:p>
        </w:tc>
        <w:tc>
          <w:tcPr>
            <w:tcW w:w="1986" w:type="dxa"/>
            <w:gridSpan w:val="2"/>
            <w:textDirection w:val="btLr"/>
          </w:tcPr>
          <w:p w14:paraId="08F858EE" w14:textId="77777777" w:rsidR="00C67491" w:rsidRDefault="00C67491" w:rsidP="00C67491">
            <w:pPr>
              <w:spacing w:line="276" w:lineRule="auto"/>
              <w:ind w:left="113" w:right="113"/>
              <w:jc w:val="center"/>
              <w:rPr>
                <w:sz w:val="28"/>
                <w:szCs w:val="28"/>
                <w:lang w:val="uk-UA"/>
              </w:rPr>
            </w:pPr>
            <w:r>
              <w:rPr>
                <w:sz w:val="28"/>
                <w:szCs w:val="28"/>
                <w:lang w:val="uk-UA"/>
              </w:rPr>
              <w:t>Застосування запропонованої методики профілактики та лікування</w:t>
            </w:r>
          </w:p>
        </w:tc>
        <w:tc>
          <w:tcPr>
            <w:tcW w:w="1933" w:type="dxa"/>
            <w:textDirection w:val="btLr"/>
          </w:tcPr>
          <w:p w14:paraId="3A7864D9" w14:textId="77777777" w:rsidR="00C67491" w:rsidRPr="00D236C8" w:rsidRDefault="00C67491" w:rsidP="00C67491">
            <w:pPr>
              <w:spacing w:line="276" w:lineRule="auto"/>
              <w:ind w:left="113" w:right="113"/>
              <w:jc w:val="center"/>
              <w:rPr>
                <w:b/>
                <w:sz w:val="28"/>
                <w:szCs w:val="28"/>
                <w:lang w:val="uk-UA"/>
              </w:rPr>
            </w:pPr>
            <w:r>
              <w:rPr>
                <w:sz w:val="28"/>
                <w:szCs w:val="28"/>
                <w:lang w:val="uk-UA"/>
              </w:rPr>
              <w:t>Застосування традиційної методики профілактики та лікування</w:t>
            </w:r>
          </w:p>
        </w:tc>
      </w:tr>
      <w:tr w:rsidR="00C67491" w14:paraId="1CE1F222" w14:textId="77777777" w:rsidTr="00C67491">
        <w:trPr>
          <w:jc w:val="center"/>
        </w:trPr>
        <w:tc>
          <w:tcPr>
            <w:tcW w:w="562" w:type="dxa"/>
          </w:tcPr>
          <w:p w14:paraId="1C8E868E" w14:textId="77777777" w:rsidR="00C67491" w:rsidRDefault="00C67491" w:rsidP="00D70452">
            <w:pPr>
              <w:spacing w:line="360" w:lineRule="auto"/>
              <w:jc w:val="center"/>
              <w:rPr>
                <w:sz w:val="28"/>
                <w:szCs w:val="28"/>
                <w:lang w:val="uk-UA"/>
              </w:rPr>
            </w:pPr>
            <w:r>
              <w:rPr>
                <w:sz w:val="28"/>
                <w:szCs w:val="28"/>
                <w:lang w:val="uk-UA"/>
              </w:rPr>
              <w:t>1</w:t>
            </w:r>
          </w:p>
        </w:tc>
        <w:tc>
          <w:tcPr>
            <w:tcW w:w="1134" w:type="dxa"/>
          </w:tcPr>
          <w:p w14:paraId="22CCC1A4" w14:textId="77777777" w:rsidR="00C67491" w:rsidRDefault="00C67491" w:rsidP="00D70452">
            <w:pPr>
              <w:spacing w:line="360" w:lineRule="auto"/>
              <w:jc w:val="center"/>
              <w:rPr>
                <w:sz w:val="28"/>
                <w:szCs w:val="28"/>
                <w:lang w:val="uk-UA"/>
              </w:rPr>
            </w:pPr>
            <w:r>
              <w:rPr>
                <w:sz w:val="28"/>
                <w:szCs w:val="28"/>
                <w:lang w:val="uk-UA"/>
              </w:rPr>
              <w:t>76</w:t>
            </w:r>
          </w:p>
        </w:tc>
        <w:tc>
          <w:tcPr>
            <w:tcW w:w="1701" w:type="dxa"/>
          </w:tcPr>
          <w:p w14:paraId="242D7211" w14:textId="27C8575A" w:rsidR="00C67491" w:rsidRDefault="00C67491" w:rsidP="00C67491">
            <w:pPr>
              <w:spacing w:line="360" w:lineRule="auto"/>
              <w:jc w:val="center"/>
              <w:rPr>
                <w:sz w:val="28"/>
                <w:szCs w:val="28"/>
                <w:lang w:val="uk-UA"/>
              </w:rPr>
            </w:pPr>
            <w:r>
              <w:rPr>
                <w:sz w:val="28"/>
                <w:szCs w:val="28"/>
                <w:lang w:val="uk-UA"/>
              </w:rPr>
              <w:t>13,42</w:t>
            </w:r>
            <w:r>
              <w:rPr>
                <w:rFonts w:cs="Times New Roman"/>
                <w:sz w:val="28"/>
                <w:szCs w:val="28"/>
                <w:lang w:val="uk-UA"/>
              </w:rPr>
              <w:t>±</w:t>
            </w:r>
            <w:r>
              <w:rPr>
                <w:sz w:val="28"/>
                <w:szCs w:val="28"/>
                <w:lang w:val="uk-UA"/>
              </w:rPr>
              <w:t>2,46*</w:t>
            </w:r>
          </w:p>
        </w:tc>
        <w:tc>
          <w:tcPr>
            <w:tcW w:w="1134" w:type="dxa"/>
          </w:tcPr>
          <w:p w14:paraId="300419EC" w14:textId="0294CB10"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7E7DC692" w14:textId="43690C27" w:rsidR="00C67491" w:rsidRDefault="00C67491" w:rsidP="00D70452">
            <w:pPr>
              <w:spacing w:line="360" w:lineRule="auto"/>
              <w:jc w:val="center"/>
              <w:rPr>
                <w:sz w:val="28"/>
                <w:szCs w:val="28"/>
                <w:lang w:val="uk-UA"/>
              </w:rPr>
            </w:pPr>
            <w:r>
              <w:rPr>
                <w:sz w:val="28"/>
                <w:szCs w:val="28"/>
                <w:lang w:val="uk-UA"/>
              </w:rPr>
              <w:t>так</w:t>
            </w:r>
          </w:p>
        </w:tc>
        <w:tc>
          <w:tcPr>
            <w:tcW w:w="1985" w:type="dxa"/>
            <w:gridSpan w:val="2"/>
          </w:tcPr>
          <w:p w14:paraId="3A37CB6C" w14:textId="77777777" w:rsidR="00C67491" w:rsidRDefault="00C67491" w:rsidP="00D70452">
            <w:pPr>
              <w:spacing w:line="360" w:lineRule="auto"/>
              <w:jc w:val="center"/>
              <w:rPr>
                <w:sz w:val="28"/>
                <w:szCs w:val="28"/>
                <w:lang w:val="uk-UA"/>
              </w:rPr>
            </w:pPr>
            <w:r>
              <w:rPr>
                <w:sz w:val="28"/>
                <w:szCs w:val="28"/>
                <w:lang w:val="uk-UA"/>
              </w:rPr>
              <w:t>так</w:t>
            </w:r>
          </w:p>
        </w:tc>
        <w:tc>
          <w:tcPr>
            <w:tcW w:w="1945" w:type="dxa"/>
            <w:gridSpan w:val="2"/>
          </w:tcPr>
          <w:p w14:paraId="0983B5CB" w14:textId="77777777" w:rsidR="00C67491" w:rsidRDefault="00C67491" w:rsidP="00D70452">
            <w:pPr>
              <w:spacing w:line="360" w:lineRule="auto"/>
              <w:jc w:val="center"/>
              <w:rPr>
                <w:sz w:val="28"/>
                <w:szCs w:val="28"/>
                <w:lang w:val="uk-UA"/>
              </w:rPr>
            </w:pPr>
            <w:r>
              <w:rPr>
                <w:sz w:val="28"/>
                <w:szCs w:val="28"/>
                <w:lang w:val="uk-UA"/>
              </w:rPr>
              <w:t>ні</w:t>
            </w:r>
          </w:p>
        </w:tc>
      </w:tr>
      <w:tr w:rsidR="00C67491" w14:paraId="1A586DA3" w14:textId="77777777" w:rsidTr="00C67491">
        <w:trPr>
          <w:jc w:val="center"/>
        </w:trPr>
        <w:tc>
          <w:tcPr>
            <w:tcW w:w="562" w:type="dxa"/>
          </w:tcPr>
          <w:p w14:paraId="2312BD79" w14:textId="77777777" w:rsidR="00C67491" w:rsidRDefault="00C67491" w:rsidP="00D70452">
            <w:pPr>
              <w:spacing w:line="360" w:lineRule="auto"/>
              <w:jc w:val="center"/>
              <w:rPr>
                <w:sz w:val="28"/>
                <w:szCs w:val="28"/>
                <w:lang w:val="uk-UA"/>
              </w:rPr>
            </w:pPr>
            <w:r>
              <w:rPr>
                <w:sz w:val="28"/>
                <w:szCs w:val="28"/>
                <w:lang w:val="uk-UA"/>
              </w:rPr>
              <w:t>2</w:t>
            </w:r>
          </w:p>
        </w:tc>
        <w:tc>
          <w:tcPr>
            <w:tcW w:w="1134" w:type="dxa"/>
          </w:tcPr>
          <w:p w14:paraId="20FB8A80" w14:textId="77777777" w:rsidR="00C67491" w:rsidRDefault="00C67491" w:rsidP="00D70452">
            <w:pPr>
              <w:spacing w:line="360" w:lineRule="auto"/>
              <w:jc w:val="center"/>
              <w:rPr>
                <w:sz w:val="28"/>
                <w:szCs w:val="28"/>
                <w:lang w:val="uk-UA"/>
              </w:rPr>
            </w:pPr>
            <w:r>
              <w:rPr>
                <w:sz w:val="28"/>
                <w:szCs w:val="28"/>
                <w:lang w:val="uk-UA"/>
              </w:rPr>
              <w:t>50</w:t>
            </w:r>
          </w:p>
        </w:tc>
        <w:tc>
          <w:tcPr>
            <w:tcW w:w="1701" w:type="dxa"/>
          </w:tcPr>
          <w:p w14:paraId="6CFD052C" w14:textId="27498164" w:rsidR="00C67491" w:rsidRDefault="00C67491" w:rsidP="00C67491">
            <w:pPr>
              <w:spacing w:line="360" w:lineRule="auto"/>
              <w:jc w:val="center"/>
              <w:rPr>
                <w:sz w:val="28"/>
                <w:szCs w:val="28"/>
                <w:lang w:val="uk-UA"/>
              </w:rPr>
            </w:pPr>
            <w:r>
              <w:rPr>
                <w:sz w:val="28"/>
                <w:szCs w:val="28"/>
                <w:lang w:val="uk-UA"/>
              </w:rPr>
              <w:t>13,3</w:t>
            </w:r>
            <w:r>
              <w:rPr>
                <w:rFonts w:cs="Times New Roman"/>
                <w:sz w:val="28"/>
                <w:szCs w:val="28"/>
                <w:lang w:val="uk-UA"/>
              </w:rPr>
              <w:t>±</w:t>
            </w:r>
            <w:r>
              <w:rPr>
                <w:sz w:val="28"/>
                <w:szCs w:val="28"/>
                <w:lang w:val="uk-UA"/>
              </w:rPr>
              <w:t>2,57*</w:t>
            </w:r>
          </w:p>
        </w:tc>
        <w:tc>
          <w:tcPr>
            <w:tcW w:w="1134" w:type="dxa"/>
          </w:tcPr>
          <w:p w14:paraId="2EDC47B2" w14:textId="35DC2BCB"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41BC5D6C" w14:textId="4E6C6144"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7258DC90" w14:textId="77777777" w:rsidR="00C67491" w:rsidRDefault="00C67491" w:rsidP="00D70452">
            <w:pPr>
              <w:spacing w:line="360" w:lineRule="auto"/>
              <w:jc w:val="center"/>
              <w:rPr>
                <w:sz w:val="28"/>
                <w:szCs w:val="28"/>
                <w:lang w:val="uk-UA"/>
              </w:rPr>
            </w:pPr>
            <w:r>
              <w:rPr>
                <w:sz w:val="28"/>
                <w:szCs w:val="28"/>
                <w:lang w:val="uk-UA"/>
              </w:rPr>
              <w:t>так</w:t>
            </w:r>
          </w:p>
        </w:tc>
        <w:tc>
          <w:tcPr>
            <w:tcW w:w="1945" w:type="dxa"/>
            <w:gridSpan w:val="2"/>
          </w:tcPr>
          <w:p w14:paraId="56126278" w14:textId="77777777" w:rsidR="00C67491" w:rsidRDefault="00C67491" w:rsidP="00D70452">
            <w:pPr>
              <w:spacing w:line="360" w:lineRule="auto"/>
              <w:jc w:val="center"/>
              <w:rPr>
                <w:sz w:val="28"/>
                <w:szCs w:val="28"/>
                <w:lang w:val="uk-UA"/>
              </w:rPr>
            </w:pPr>
            <w:r>
              <w:rPr>
                <w:sz w:val="28"/>
                <w:szCs w:val="28"/>
                <w:lang w:val="uk-UA"/>
              </w:rPr>
              <w:t>ні</w:t>
            </w:r>
          </w:p>
        </w:tc>
      </w:tr>
      <w:tr w:rsidR="00C67491" w14:paraId="429C5C5B" w14:textId="77777777" w:rsidTr="00C67491">
        <w:trPr>
          <w:jc w:val="center"/>
        </w:trPr>
        <w:tc>
          <w:tcPr>
            <w:tcW w:w="562" w:type="dxa"/>
          </w:tcPr>
          <w:p w14:paraId="4D72CA19" w14:textId="77777777" w:rsidR="00C67491" w:rsidRDefault="00C67491" w:rsidP="00D70452">
            <w:pPr>
              <w:spacing w:line="360" w:lineRule="auto"/>
              <w:jc w:val="center"/>
              <w:rPr>
                <w:sz w:val="28"/>
                <w:szCs w:val="28"/>
                <w:lang w:val="uk-UA"/>
              </w:rPr>
            </w:pPr>
            <w:r>
              <w:rPr>
                <w:sz w:val="28"/>
                <w:szCs w:val="28"/>
                <w:lang w:val="uk-UA"/>
              </w:rPr>
              <w:t>3</w:t>
            </w:r>
          </w:p>
        </w:tc>
        <w:tc>
          <w:tcPr>
            <w:tcW w:w="1134" w:type="dxa"/>
          </w:tcPr>
          <w:p w14:paraId="47C010A6" w14:textId="77777777" w:rsidR="00C67491" w:rsidRDefault="00C67491" w:rsidP="00D70452">
            <w:pPr>
              <w:spacing w:line="360" w:lineRule="auto"/>
              <w:jc w:val="center"/>
              <w:rPr>
                <w:sz w:val="28"/>
                <w:szCs w:val="28"/>
                <w:lang w:val="uk-UA"/>
              </w:rPr>
            </w:pPr>
            <w:r>
              <w:rPr>
                <w:sz w:val="28"/>
                <w:szCs w:val="28"/>
                <w:lang w:val="uk-UA"/>
              </w:rPr>
              <w:t>30</w:t>
            </w:r>
          </w:p>
        </w:tc>
        <w:tc>
          <w:tcPr>
            <w:tcW w:w="1701" w:type="dxa"/>
          </w:tcPr>
          <w:p w14:paraId="2E4B9BE7" w14:textId="49F59BDD" w:rsidR="00C67491" w:rsidRDefault="00C67491" w:rsidP="00C67491">
            <w:pPr>
              <w:spacing w:line="360" w:lineRule="auto"/>
              <w:jc w:val="center"/>
              <w:rPr>
                <w:sz w:val="28"/>
                <w:szCs w:val="28"/>
                <w:lang w:val="uk-UA"/>
              </w:rPr>
            </w:pPr>
            <w:r>
              <w:rPr>
                <w:sz w:val="28"/>
                <w:szCs w:val="28"/>
                <w:lang w:val="uk-UA"/>
              </w:rPr>
              <w:t>13,33</w:t>
            </w:r>
            <w:r>
              <w:rPr>
                <w:rFonts w:cs="Times New Roman"/>
                <w:sz w:val="28"/>
                <w:szCs w:val="28"/>
                <w:lang w:val="uk-UA"/>
              </w:rPr>
              <w:t>±</w:t>
            </w:r>
            <w:r>
              <w:rPr>
                <w:sz w:val="28"/>
                <w:szCs w:val="28"/>
                <w:lang w:val="uk-UA"/>
              </w:rPr>
              <w:t>2,94*</w:t>
            </w:r>
          </w:p>
        </w:tc>
        <w:tc>
          <w:tcPr>
            <w:tcW w:w="1134" w:type="dxa"/>
          </w:tcPr>
          <w:p w14:paraId="07A3B0DF" w14:textId="7CC3B7D4"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25A8C077" w14:textId="52404BAB" w:rsidR="00C67491" w:rsidRDefault="00C67491" w:rsidP="00D70452">
            <w:pPr>
              <w:spacing w:line="360" w:lineRule="auto"/>
              <w:jc w:val="center"/>
              <w:rPr>
                <w:sz w:val="28"/>
                <w:szCs w:val="28"/>
                <w:lang w:val="uk-UA"/>
              </w:rPr>
            </w:pPr>
            <w:r>
              <w:rPr>
                <w:sz w:val="28"/>
                <w:szCs w:val="28"/>
                <w:lang w:val="uk-UA"/>
              </w:rPr>
              <w:t>так</w:t>
            </w:r>
          </w:p>
        </w:tc>
        <w:tc>
          <w:tcPr>
            <w:tcW w:w="1985" w:type="dxa"/>
            <w:gridSpan w:val="2"/>
          </w:tcPr>
          <w:p w14:paraId="55EC5D03"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67B91660" w14:textId="77777777" w:rsidR="00C67491" w:rsidRDefault="00C67491" w:rsidP="00D70452">
            <w:pPr>
              <w:spacing w:line="360" w:lineRule="auto"/>
              <w:jc w:val="center"/>
              <w:rPr>
                <w:sz w:val="28"/>
                <w:szCs w:val="28"/>
                <w:lang w:val="uk-UA"/>
              </w:rPr>
            </w:pPr>
            <w:r>
              <w:rPr>
                <w:sz w:val="28"/>
                <w:szCs w:val="28"/>
                <w:lang w:val="uk-UA"/>
              </w:rPr>
              <w:t>так</w:t>
            </w:r>
          </w:p>
        </w:tc>
      </w:tr>
      <w:tr w:rsidR="00C67491" w14:paraId="57DDC1E4" w14:textId="77777777" w:rsidTr="00C67491">
        <w:trPr>
          <w:jc w:val="center"/>
        </w:trPr>
        <w:tc>
          <w:tcPr>
            <w:tcW w:w="562" w:type="dxa"/>
          </w:tcPr>
          <w:p w14:paraId="038FF617" w14:textId="77777777" w:rsidR="00C67491" w:rsidRDefault="00C67491" w:rsidP="00D70452">
            <w:pPr>
              <w:spacing w:line="360" w:lineRule="auto"/>
              <w:jc w:val="center"/>
              <w:rPr>
                <w:sz w:val="28"/>
                <w:szCs w:val="28"/>
                <w:lang w:val="uk-UA"/>
              </w:rPr>
            </w:pPr>
            <w:r>
              <w:rPr>
                <w:sz w:val="28"/>
                <w:szCs w:val="28"/>
                <w:lang w:val="uk-UA"/>
              </w:rPr>
              <w:t>4</w:t>
            </w:r>
          </w:p>
        </w:tc>
        <w:tc>
          <w:tcPr>
            <w:tcW w:w="1134" w:type="dxa"/>
          </w:tcPr>
          <w:p w14:paraId="44E07A77" w14:textId="77777777" w:rsidR="00C67491" w:rsidRDefault="00C67491" w:rsidP="00D70452">
            <w:pPr>
              <w:spacing w:line="360" w:lineRule="auto"/>
              <w:jc w:val="center"/>
              <w:rPr>
                <w:sz w:val="28"/>
                <w:szCs w:val="28"/>
                <w:lang w:val="uk-UA"/>
              </w:rPr>
            </w:pPr>
            <w:r>
              <w:rPr>
                <w:sz w:val="28"/>
                <w:szCs w:val="28"/>
                <w:lang w:val="uk-UA"/>
              </w:rPr>
              <w:t>30</w:t>
            </w:r>
          </w:p>
        </w:tc>
        <w:tc>
          <w:tcPr>
            <w:tcW w:w="1701" w:type="dxa"/>
          </w:tcPr>
          <w:p w14:paraId="72C70437" w14:textId="6E695283" w:rsidR="00C67491" w:rsidRDefault="00C67491" w:rsidP="00C67491">
            <w:pPr>
              <w:spacing w:line="360" w:lineRule="auto"/>
              <w:jc w:val="center"/>
              <w:rPr>
                <w:sz w:val="28"/>
                <w:szCs w:val="28"/>
                <w:lang w:val="uk-UA"/>
              </w:rPr>
            </w:pPr>
            <w:r>
              <w:rPr>
                <w:sz w:val="28"/>
                <w:szCs w:val="28"/>
                <w:lang w:val="uk-UA"/>
              </w:rPr>
              <w:t>13,39</w:t>
            </w:r>
            <w:r>
              <w:rPr>
                <w:rFonts w:cs="Times New Roman"/>
                <w:sz w:val="28"/>
                <w:szCs w:val="28"/>
                <w:lang w:val="uk-UA"/>
              </w:rPr>
              <w:t>±</w:t>
            </w:r>
            <w:r>
              <w:rPr>
                <w:sz w:val="28"/>
                <w:szCs w:val="28"/>
                <w:lang w:val="uk-UA"/>
              </w:rPr>
              <w:t>2,74*</w:t>
            </w:r>
          </w:p>
        </w:tc>
        <w:tc>
          <w:tcPr>
            <w:tcW w:w="1134" w:type="dxa"/>
          </w:tcPr>
          <w:p w14:paraId="52285FFA" w14:textId="276D31B0" w:rsidR="00C67491" w:rsidRDefault="00C67491" w:rsidP="00D70452">
            <w:pPr>
              <w:spacing w:line="360" w:lineRule="auto"/>
              <w:jc w:val="center"/>
              <w:rPr>
                <w:sz w:val="28"/>
                <w:szCs w:val="28"/>
                <w:lang w:val="uk-UA"/>
              </w:rPr>
            </w:pPr>
            <w:r>
              <w:rPr>
                <w:sz w:val="28"/>
                <w:szCs w:val="28"/>
                <w:lang w:val="uk-UA"/>
              </w:rPr>
              <w:t>так</w:t>
            </w:r>
          </w:p>
        </w:tc>
        <w:tc>
          <w:tcPr>
            <w:tcW w:w="1276" w:type="dxa"/>
          </w:tcPr>
          <w:p w14:paraId="57F99BC7" w14:textId="75DA48D1"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1DDA0D6B"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51417978" w14:textId="77777777" w:rsidR="00C67491" w:rsidRDefault="00C67491" w:rsidP="00D70452">
            <w:pPr>
              <w:spacing w:line="360" w:lineRule="auto"/>
              <w:jc w:val="center"/>
              <w:rPr>
                <w:sz w:val="28"/>
                <w:szCs w:val="28"/>
                <w:lang w:val="uk-UA"/>
              </w:rPr>
            </w:pPr>
            <w:r>
              <w:rPr>
                <w:sz w:val="28"/>
                <w:szCs w:val="28"/>
                <w:lang w:val="uk-UA"/>
              </w:rPr>
              <w:t>так</w:t>
            </w:r>
          </w:p>
        </w:tc>
      </w:tr>
      <w:tr w:rsidR="00C67491" w14:paraId="18BFDFA6" w14:textId="77777777" w:rsidTr="00C67491">
        <w:trPr>
          <w:jc w:val="center"/>
        </w:trPr>
        <w:tc>
          <w:tcPr>
            <w:tcW w:w="562" w:type="dxa"/>
          </w:tcPr>
          <w:p w14:paraId="716424BD" w14:textId="77777777" w:rsidR="00C67491" w:rsidRDefault="00C67491" w:rsidP="00D70452">
            <w:pPr>
              <w:spacing w:line="360" w:lineRule="auto"/>
              <w:jc w:val="center"/>
              <w:rPr>
                <w:sz w:val="28"/>
                <w:szCs w:val="28"/>
                <w:lang w:val="uk-UA"/>
              </w:rPr>
            </w:pPr>
            <w:r>
              <w:rPr>
                <w:sz w:val="28"/>
                <w:szCs w:val="28"/>
                <w:lang w:val="uk-UA"/>
              </w:rPr>
              <w:t>5</w:t>
            </w:r>
          </w:p>
        </w:tc>
        <w:tc>
          <w:tcPr>
            <w:tcW w:w="1134" w:type="dxa"/>
          </w:tcPr>
          <w:p w14:paraId="29E2497E" w14:textId="77777777" w:rsidR="00C67491" w:rsidRDefault="00C67491" w:rsidP="00D70452">
            <w:pPr>
              <w:spacing w:line="360" w:lineRule="auto"/>
              <w:jc w:val="center"/>
              <w:rPr>
                <w:sz w:val="28"/>
                <w:szCs w:val="28"/>
                <w:lang w:val="uk-UA"/>
              </w:rPr>
            </w:pPr>
            <w:r>
              <w:rPr>
                <w:sz w:val="28"/>
                <w:szCs w:val="28"/>
                <w:lang w:val="uk-UA"/>
              </w:rPr>
              <w:t>35</w:t>
            </w:r>
          </w:p>
        </w:tc>
        <w:tc>
          <w:tcPr>
            <w:tcW w:w="1701" w:type="dxa"/>
          </w:tcPr>
          <w:p w14:paraId="692A30BA" w14:textId="598F54A3" w:rsidR="00C67491" w:rsidRDefault="00C67491" w:rsidP="00C67491">
            <w:pPr>
              <w:spacing w:line="360" w:lineRule="auto"/>
              <w:jc w:val="center"/>
              <w:rPr>
                <w:sz w:val="28"/>
                <w:szCs w:val="28"/>
                <w:lang w:val="uk-UA"/>
              </w:rPr>
            </w:pPr>
            <w:r>
              <w:rPr>
                <w:sz w:val="28"/>
                <w:szCs w:val="28"/>
                <w:lang w:val="uk-UA"/>
              </w:rPr>
              <w:t>12,17</w:t>
            </w:r>
            <w:r>
              <w:rPr>
                <w:rFonts w:cs="Times New Roman"/>
                <w:sz w:val="28"/>
                <w:szCs w:val="28"/>
                <w:lang w:val="uk-UA"/>
              </w:rPr>
              <w:t>±</w:t>
            </w:r>
            <w:r>
              <w:rPr>
                <w:sz w:val="28"/>
                <w:szCs w:val="28"/>
                <w:lang w:val="uk-UA"/>
              </w:rPr>
              <w:t>2,41*</w:t>
            </w:r>
          </w:p>
        </w:tc>
        <w:tc>
          <w:tcPr>
            <w:tcW w:w="1134" w:type="dxa"/>
          </w:tcPr>
          <w:p w14:paraId="02995108" w14:textId="266BCB74" w:rsidR="00C67491" w:rsidRDefault="00C67491" w:rsidP="00D70452">
            <w:pPr>
              <w:spacing w:line="360" w:lineRule="auto"/>
              <w:jc w:val="center"/>
              <w:rPr>
                <w:sz w:val="28"/>
                <w:szCs w:val="28"/>
                <w:lang w:val="uk-UA"/>
              </w:rPr>
            </w:pPr>
            <w:r>
              <w:rPr>
                <w:sz w:val="28"/>
                <w:szCs w:val="28"/>
                <w:lang w:val="uk-UA"/>
              </w:rPr>
              <w:t>ні</w:t>
            </w:r>
          </w:p>
        </w:tc>
        <w:tc>
          <w:tcPr>
            <w:tcW w:w="1276" w:type="dxa"/>
          </w:tcPr>
          <w:p w14:paraId="129C3421" w14:textId="49CE18C6" w:rsidR="00C67491" w:rsidRDefault="00C67491" w:rsidP="00D70452">
            <w:pPr>
              <w:spacing w:line="360" w:lineRule="auto"/>
              <w:jc w:val="center"/>
              <w:rPr>
                <w:sz w:val="28"/>
                <w:szCs w:val="28"/>
                <w:lang w:val="uk-UA"/>
              </w:rPr>
            </w:pPr>
            <w:r>
              <w:rPr>
                <w:sz w:val="28"/>
                <w:szCs w:val="28"/>
                <w:lang w:val="uk-UA"/>
              </w:rPr>
              <w:t>ні</w:t>
            </w:r>
          </w:p>
        </w:tc>
        <w:tc>
          <w:tcPr>
            <w:tcW w:w="1985" w:type="dxa"/>
            <w:gridSpan w:val="2"/>
          </w:tcPr>
          <w:p w14:paraId="0D888054" w14:textId="77777777" w:rsidR="00C67491" w:rsidRDefault="00C67491" w:rsidP="00D70452">
            <w:pPr>
              <w:spacing w:line="360" w:lineRule="auto"/>
              <w:jc w:val="center"/>
              <w:rPr>
                <w:sz w:val="28"/>
                <w:szCs w:val="28"/>
                <w:lang w:val="uk-UA"/>
              </w:rPr>
            </w:pPr>
            <w:r>
              <w:rPr>
                <w:sz w:val="28"/>
                <w:szCs w:val="28"/>
                <w:lang w:val="uk-UA"/>
              </w:rPr>
              <w:t>ні</w:t>
            </w:r>
          </w:p>
        </w:tc>
        <w:tc>
          <w:tcPr>
            <w:tcW w:w="1945" w:type="dxa"/>
            <w:gridSpan w:val="2"/>
          </w:tcPr>
          <w:p w14:paraId="48AFBBAE" w14:textId="4CF68139" w:rsidR="00C67491" w:rsidRDefault="00C67491" w:rsidP="00D70452">
            <w:pPr>
              <w:spacing w:line="360" w:lineRule="auto"/>
              <w:jc w:val="center"/>
              <w:rPr>
                <w:sz w:val="28"/>
                <w:szCs w:val="28"/>
                <w:lang w:val="uk-UA"/>
              </w:rPr>
            </w:pPr>
            <w:r>
              <w:rPr>
                <w:sz w:val="28"/>
                <w:szCs w:val="28"/>
                <w:lang w:val="uk-UA"/>
              </w:rPr>
              <w:t>ні</w:t>
            </w:r>
          </w:p>
        </w:tc>
      </w:tr>
    </w:tbl>
    <w:p w14:paraId="13F3AA31" w14:textId="5281FDC9" w:rsidR="00BC7C0F" w:rsidRDefault="00C67491" w:rsidP="00C67491">
      <w:pPr>
        <w:spacing w:after="0" w:line="360" w:lineRule="auto"/>
        <w:ind w:firstLine="709"/>
        <w:rPr>
          <w:rFonts w:ascii="Times New Roman" w:hAnsi="Times New Roman"/>
          <w:sz w:val="28"/>
          <w:szCs w:val="28"/>
          <w:lang w:val="uk-UA"/>
        </w:rPr>
      </w:pPr>
      <w:r>
        <w:rPr>
          <w:rFonts w:ascii="Times New Roman" w:hAnsi="Times New Roman"/>
          <w:sz w:val="28"/>
          <w:szCs w:val="28"/>
          <w:lang w:val="uk-UA"/>
        </w:rPr>
        <w:t>Примітка: * - відсутня статистично значима різниця між показниками груп обстежених пацієнтів</w:t>
      </w:r>
    </w:p>
    <w:p w14:paraId="710E9CE8" w14:textId="4AE02B2D" w:rsidR="00663364" w:rsidRDefault="00DD50F5" w:rsidP="00906A26">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Таблиця 2</w:t>
      </w:r>
      <w:r w:rsidR="00607395">
        <w:rPr>
          <w:rFonts w:ascii="Times New Roman" w:hAnsi="Times New Roman"/>
          <w:sz w:val="28"/>
          <w:szCs w:val="28"/>
          <w:lang w:val="uk-UA"/>
        </w:rPr>
        <w:t>.7</w:t>
      </w:r>
    </w:p>
    <w:p w14:paraId="13209C5D" w14:textId="51C71D8C" w:rsidR="00663364" w:rsidRDefault="00663364" w:rsidP="00B411C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Розподіл пацієнтів за віком</w:t>
      </w:r>
    </w:p>
    <w:tbl>
      <w:tblPr>
        <w:tblStyle w:val="TableGrid"/>
        <w:tblW w:w="0" w:type="auto"/>
        <w:tblLook w:val="04A0" w:firstRow="1" w:lastRow="0" w:firstColumn="1" w:lastColumn="0" w:noHBand="0" w:noVBand="1"/>
      </w:tblPr>
      <w:tblGrid>
        <w:gridCol w:w="2830"/>
        <w:gridCol w:w="3400"/>
        <w:gridCol w:w="3115"/>
      </w:tblGrid>
      <w:tr w:rsidR="00663364" w14:paraId="709A3F01" w14:textId="77777777" w:rsidTr="00663364">
        <w:tc>
          <w:tcPr>
            <w:tcW w:w="2830" w:type="dxa"/>
          </w:tcPr>
          <w:p w14:paraId="24030562" w14:textId="62766D75" w:rsidR="00663364" w:rsidRDefault="00663364" w:rsidP="00BC7C0F">
            <w:pPr>
              <w:spacing w:line="360" w:lineRule="auto"/>
              <w:jc w:val="both"/>
              <w:rPr>
                <w:sz w:val="28"/>
                <w:szCs w:val="28"/>
                <w:lang w:val="uk-UA"/>
              </w:rPr>
            </w:pPr>
            <w:r>
              <w:rPr>
                <w:sz w:val="28"/>
                <w:szCs w:val="28"/>
                <w:lang w:val="uk-UA"/>
              </w:rPr>
              <w:t>Вікова група, роки</w:t>
            </w:r>
          </w:p>
        </w:tc>
        <w:tc>
          <w:tcPr>
            <w:tcW w:w="3400" w:type="dxa"/>
          </w:tcPr>
          <w:p w14:paraId="22F2417E" w14:textId="5D52CC51" w:rsidR="00663364" w:rsidRDefault="00663364" w:rsidP="00BC7C0F">
            <w:pPr>
              <w:spacing w:line="360" w:lineRule="auto"/>
              <w:jc w:val="both"/>
              <w:rPr>
                <w:sz w:val="28"/>
                <w:szCs w:val="28"/>
                <w:lang w:val="uk-UA"/>
              </w:rPr>
            </w:pPr>
            <w:r>
              <w:rPr>
                <w:sz w:val="28"/>
                <w:szCs w:val="28"/>
                <w:lang w:val="uk-UA"/>
              </w:rPr>
              <w:t>Кількість пацієнтів (абс.)</w:t>
            </w:r>
          </w:p>
        </w:tc>
        <w:tc>
          <w:tcPr>
            <w:tcW w:w="3115" w:type="dxa"/>
          </w:tcPr>
          <w:p w14:paraId="42C73DCA" w14:textId="48228027" w:rsidR="00663364" w:rsidRDefault="00663364" w:rsidP="00BC7C0F">
            <w:pPr>
              <w:spacing w:line="360" w:lineRule="auto"/>
              <w:jc w:val="both"/>
              <w:rPr>
                <w:sz w:val="28"/>
                <w:szCs w:val="28"/>
                <w:lang w:val="uk-UA"/>
              </w:rPr>
            </w:pPr>
            <w:r>
              <w:rPr>
                <w:sz w:val="28"/>
                <w:szCs w:val="28"/>
                <w:lang w:val="uk-UA"/>
              </w:rPr>
              <w:t>Кількість пацієнтів (%)</w:t>
            </w:r>
          </w:p>
        </w:tc>
      </w:tr>
      <w:tr w:rsidR="00663364" w14:paraId="5BF723BC" w14:textId="77777777" w:rsidTr="00663364">
        <w:tc>
          <w:tcPr>
            <w:tcW w:w="2830" w:type="dxa"/>
          </w:tcPr>
          <w:p w14:paraId="686FF449" w14:textId="74521BEF" w:rsidR="00663364" w:rsidRDefault="00663364" w:rsidP="00BC7C0F">
            <w:pPr>
              <w:spacing w:line="360" w:lineRule="auto"/>
              <w:jc w:val="both"/>
              <w:rPr>
                <w:sz w:val="28"/>
                <w:szCs w:val="28"/>
                <w:lang w:val="uk-UA"/>
              </w:rPr>
            </w:pPr>
            <w:r>
              <w:rPr>
                <w:sz w:val="28"/>
                <w:szCs w:val="28"/>
                <w:lang w:val="uk-UA"/>
              </w:rPr>
              <w:t>12-18</w:t>
            </w:r>
          </w:p>
        </w:tc>
        <w:tc>
          <w:tcPr>
            <w:tcW w:w="3400" w:type="dxa"/>
          </w:tcPr>
          <w:p w14:paraId="29FB7627" w14:textId="49430C28" w:rsidR="00663364" w:rsidRDefault="00663364" w:rsidP="00BC7C0F">
            <w:pPr>
              <w:spacing w:line="360" w:lineRule="auto"/>
              <w:jc w:val="both"/>
              <w:rPr>
                <w:sz w:val="28"/>
                <w:szCs w:val="28"/>
                <w:lang w:val="uk-UA"/>
              </w:rPr>
            </w:pPr>
            <w:r>
              <w:rPr>
                <w:sz w:val="28"/>
                <w:szCs w:val="28"/>
                <w:lang w:val="uk-UA"/>
              </w:rPr>
              <w:t>157</w:t>
            </w:r>
          </w:p>
        </w:tc>
        <w:tc>
          <w:tcPr>
            <w:tcW w:w="3115" w:type="dxa"/>
          </w:tcPr>
          <w:p w14:paraId="2EF083A5" w14:textId="06CBEC5B" w:rsidR="00663364" w:rsidRDefault="00663364" w:rsidP="00BC7C0F">
            <w:pPr>
              <w:spacing w:line="360" w:lineRule="auto"/>
              <w:jc w:val="both"/>
              <w:rPr>
                <w:sz w:val="28"/>
                <w:szCs w:val="28"/>
                <w:lang w:val="uk-UA"/>
              </w:rPr>
            </w:pPr>
            <w:r>
              <w:rPr>
                <w:sz w:val="28"/>
                <w:szCs w:val="28"/>
                <w:lang w:val="uk-UA"/>
              </w:rPr>
              <w:t>71,04</w:t>
            </w:r>
          </w:p>
        </w:tc>
      </w:tr>
      <w:tr w:rsidR="00663364" w14:paraId="35459F4B" w14:textId="77777777" w:rsidTr="00663364">
        <w:tc>
          <w:tcPr>
            <w:tcW w:w="2830" w:type="dxa"/>
          </w:tcPr>
          <w:p w14:paraId="3322D87C" w14:textId="0D069863" w:rsidR="00663364" w:rsidRDefault="00663364" w:rsidP="00BC7C0F">
            <w:pPr>
              <w:spacing w:line="360" w:lineRule="auto"/>
              <w:jc w:val="both"/>
              <w:rPr>
                <w:sz w:val="28"/>
                <w:szCs w:val="28"/>
                <w:lang w:val="uk-UA"/>
              </w:rPr>
            </w:pPr>
            <w:r>
              <w:rPr>
                <w:sz w:val="28"/>
                <w:szCs w:val="28"/>
                <w:lang w:val="uk-UA"/>
              </w:rPr>
              <w:t>6-11</w:t>
            </w:r>
          </w:p>
        </w:tc>
        <w:tc>
          <w:tcPr>
            <w:tcW w:w="3400" w:type="dxa"/>
          </w:tcPr>
          <w:p w14:paraId="5AD7EA2E" w14:textId="2C3630DA" w:rsidR="00663364" w:rsidRDefault="00663364" w:rsidP="00BC7C0F">
            <w:pPr>
              <w:spacing w:line="360" w:lineRule="auto"/>
              <w:jc w:val="both"/>
              <w:rPr>
                <w:sz w:val="28"/>
                <w:szCs w:val="28"/>
                <w:lang w:val="uk-UA"/>
              </w:rPr>
            </w:pPr>
            <w:r>
              <w:rPr>
                <w:sz w:val="28"/>
                <w:szCs w:val="28"/>
                <w:lang w:val="uk-UA"/>
              </w:rPr>
              <w:t>59</w:t>
            </w:r>
          </w:p>
        </w:tc>
        <w:tc>
          <w:tcPr>
            <w:tcW w:w="3115" w:type="dxa"/>
          </w:tcPr>
          <w:p w14:paraId="283FDE73" w14:textId="0F70BFEE" w:rsidR="00663364" w:rsidRDefault="00663364" w:rsidP="00BC7C0F">
            <w:pPr>
              <w:spacing w:line="360" w:lineRule="auto"/>
              <w:jc w:val="both"/>
              <w:rPr>
                <w:sz w:val="28"/>
                <w:szCs w:val="28"/>
                <w:lang w:val="uk-UA"/>
              </w:rPr>
            </w:pPr>
            <w:r>
              <w:rPr>
                <w:sz w:val="28"/>
                <w:szCs w:val="28"/>
                <w:lang w:val="uk-UA"/>
              </w:rPr>
              <w:t>26,7</w:t>
            </w:r>
          </w:p>
        </w:tc>
      </w:tr>
      <w:tr w:rsidR="00663364" w14:paraId="76010B35" w14:textId="77777777" w:rsidTr="00663364">
        <w:tc>
          <w:tcPr>
            <w:tcW w:w="2830" w:type="dxa"/>
          </w:tcPr>
          <w:p w14:paraId="4AFCDEF5" w14:textId="5110CB7B" w:rsidR="00663364" w:rsidRDefault="00663364" w:rsidP="00BC7C0F">
            <w:pPr>
              <w:spacing w:line="360" w:lineRule="auto"/>
              <w:jc w:val="both"/>
              <w:rPr>
                <w:sz w:val="28"/>
                <w:szCs w:val="28"/>
                <w:lang w:val="uk-UA"/>
              </w:rPr>
            </w:pPr>
            <w:r>
              <w:rPr>
                <w:sz w:val="28"/>
                <w:szCs w:val="28"/>
                <w:lang w:val="uk-UA"/>
              </w:rPr>
              <w:t>3-5</w:t>
            </w:r>
          </w:p>
        </w:tc>
        <w:tc>
          <w:tcPr>
            <w:tcW w:w="3400" w:type="dxa"/>
          </w:tcPr>
          <w:p w14:paraId="62022742" w14:textId="35FCD843" w:rsidR="00663364" w:rsidRDefault="00663364" w:rsidP="00BC7C0F">
            <w:pPr>
              <w:spacing w:line="360" w:lineRule="auto"/>
              <w:jc w:val="both"/>
              <w:rPr>
                <w:sz w:val="28"/>
                <w:szCs w:val="28"/>
                <w:lang w:val="uk-UA"/>
              </w:rPr>
            </w:pPr>
            <w:r>
              <w:rPr>
                <w:sz w:val="28"/>
                <w:szCs w:val="28"/>
                <w:lang w:val="uk-UA"/>
              </w:rPr>
              <w:t>5</w:t>
            </w:r>
          </w:p>
        </w:tc>
        <w:tc>
          <w:tcPr>
            <w:tcW w:w="3115" w:type="dxa"/>
          </w:tcPr>
          <w:p w14:paraId="07A8E90B" w14:textId="58370E56" w:rsidR="00663364" w:rsidRDefault="00663364" w:rsidP="00BC7C0F">
            <w:pPr>
              <w:spacing w:line="360" w:lineRule="auto"/>
              <w:jc w:val="both"/>
              <w:rPr>
                <w:sz w:val="28"/>
                <w:szCs w:val="28"/>
                <w:lang w:val="uk-UA"/>
              </w:rPr>
            </w:pPr>
            <w:r>
              <w:rPr>
                <w:sz w:val="28"/>
                <w:szCs w:val="28"/>
                <w:lang w:val="uk-UA"/>
              </w:rPr>
              <w:t>2,26</w:t>
            </w:r>
          </w:p>
        </w:tc>
      </w:tr>
    </w:tbl>
    <w:p w14:paraId="6463552A" w14:textId="77777777" w:rsidR="00663364" w:rsidRDefault="00663364" w:rsidP="00BC7C0F">
      <w:pPr>
        <w:spacing w:after="0" w:line="360" w:lineRule="auto"/>
        <w:ind w:firstLine="709"/>
        <w:jc w:val="both"/>
        <w:rPr>
          <w:rFonts w:ascii="Times New Roman" w:hAnsi="Times New Roman"/>
          <w:sz w:val="28"/>
          <w:szCs w:val="28"/>
          <w:lang w:val="uk-UA"/>
        </w:rPr>
      </w:pPr>
    </w:p>
    <w:p w14:paraId="05D4C6D6" w14:textId="32D25F32" w:rsidR="00BC7C0F" w:rsidRDefault="00C67491" w:rsidP="00BC7C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середньому віці</w:t>
      </w:r>
      <w:r w:rsidR="00BC7C0F">
        <w:rPr>
          <w:rFonts w:ascii="Times New Roman" w:hAnsi="Times New Roman"/>
          <w:sz w:val="28"/>
          <w:szCs w:val="28"/>
          <w:lang w:val="uk-UA"/>
        </w:rPr>
        <w:t xml:space="preserve"> обстежених</w:t>
      </w:r>
      <w:r>
        <w:rPr>
          <w:rFonts w:ascii="Times New Roman" w:hAnsi="Times New Roman"/>
          <w:sz w:val="28"/>
          <w:szCs w:val="28"/>
          <w:lang w:val="uk-UA"/>
        </w:rPr>
        <w:t xml:space="preserve"> ми не спостерігали статистично значимої різниці, у першій групі вік дорівнював </w:t>
      </w:r>
      <w:r w:rsidRPr="00C67491">
        <w:rPr>
          <w:rFonts w:ascii="Times New Roman" w:hAnsi="Times New Roman"/>
          <w:sz w:val="28"/>
          <w:szCs w:val="28"/>
          <w:lang w:val="uk-UA"/>
        </w:rPr>
        <w:t>13,42±2,46</w:t>
      </w:r>
      <w:r>
        <w:rPr>
          <w:rFonts w:ascii="Times New Roman" w:hAnsi="Times New Roman"/>
          <w:sz w:val="28"/>
          <w:szCs w:val="28"/>
          <w:lang w:val="uk-UA"/>
        </w:rPr>
        <w:t xml:space="preserve"> рокам, у другій - </w:t>
      </w:r>
      <w:r w:rsidRPr="00C67491">
        <w:rPr>
          <w:rFonts w:ascii="Times New Roman" w:hAnsi="Times New Roman"/>
          <w:sz w:val="28"/>
          <w:szCs w:val="28"/>
          <w:lang w:val="uk-UA"/>
        </w:rPr>
        <w:t>13,3±2,57</w:t>
      </w:r>
      <w:r>
        <w:rPr>
          <w:rFonts w:ascii="Times New Roman" w:hAnsi="Times New Roman"/>
          <w:sz w:val="28"/>
          <w:szCs w:val="28"/>
          <w:lang w:val="uk-UA"/>
        </w:rPr>
        <w:t xml:space="preserve"> роки, у третій - </w:t>
      </w:r>
      <w:r w:rsidRPr="00C67491">
        <w:rPr>
          <w:rFonts w:ascii="Times New Roman" w:hAnsi="Times New Roman"/>
          <w:sz w:val="28"/>
          <w:szCs w:val="28"/>
          <w:lang w:val="uk-UA"/>
        </w:rPr>
        <w:t>13,33±2,94</w:t>
      </w:r>
      <w:r>
        <w:rPr>
          <w:rFonts w:ascii="Times New Roman" w:hAnsi="Times New Roman"/>
          <w:sz w:val="28"/>
          <w:szCs w:val="28"/>
          <w:lang w:val="uk-UA"/>
        </w:rPr>
        <w:t xml:space="preserve"> роки, у четвертій - </w:t>
      </w:r>
      <w:r w:rsidRPr="00C67491">
        <w:rPr>
          <w:rFonts w:ascii="Times New Roman" w:hAnsi="Times New Roman"/>
          <w:sz w:val="28"/>
          <w:szCs w:val="28"/>
          <w:lang w:val="uk-UA"/>
        </w:rPr>
        <w:t>13,39±2,74</w:t>
      </w:r>
      <w:r w:rsidR="00EF57CC">
        <w:rPr>
          <w:rFonts w:ascii="Times New Roman" w:hAnsi="Times New Roman"/>
          <w:sz w:val="28"/>
          <w:szCs w:val="28"/>
          <w:lang w:val="uk-UA"/>
        </w:rPr>
        <w:t xml:space="preserve">, у п’ятій - </w:t>
      </w:r>
      <w:r w:rsidR="00EF57CC" w:rsidRPr="00EF57CC">
        <w:rPr>
          <w:rFonts w:ascii="Times New Roman" w:hAnsi="Times New Roman"/>
          <w:sz w:val="28"/>
          <w:szCs w:val="28"/>
          <w:lang w:val="uk-UA"/>
        </w:rPr>
        <w:t>12,17±2,41</w:t>
      </w:r>
      <w:r w:rsidR="00EF57CC">
        <w:rPr>
          <w:rFonts w:ascii="Times New Roman" w:hAnsi="Times New Roman"/>
          <w:sz w:val="28"/>
          <w:szCs w:val="28"/>
          <w:lang w:val="uk-UA"/>
        </w:rPr>
        <w:t xml:space="preserve"> (</w:t>
      </w:r>
      <w:r w:rsidR="00663364">
        <w:rPr>
          <w:rFonts w:ascii="Times New Roman" w:hAnsi="Times New Roman"/>
          <w:sz w:val="28"/>
          <w:szCs w:val="28"/>
          <w:lang w:val="uk-UA"/>
        </w:rPr>
        <w:t>табл.3.2</w:t>
      </w:r>
      <w:r w:rsidR="00EF57CC">
        <w:rPr>
          <w:rFonts w:ascii="Times New Roman" w:hAnsi="Times New Roman"/>
          <w:sz w:val="28"/>
          <w:szCs w:val="28"/>
          <w:lang w:val="uk-UA"/>
        </w:rPr>
        <w:t>). Найбільш розповсюдженою віковою групою була в</w:t>
      </w:r>
      <w:r w:rsidR="00663364">
        <w:rPr>
          <w:rFonts w:ascii="Times New Roman" w:hAnsi="Times New Roman"/>
          <w:sz w:val="28"/>
          <w:szCs w:val="28"/>
          <w:lang w:val="uk-UA"/>
        </w:rPr>
        <w:t>ікова група від 12 до 18 років - 157 пацієнтів, від 6 до 11 років – 59 пацієнтів, від 3</w:t>
      </w:r>
      <w:r w:rsidR="00607395">
        <w:rPr>
          <w:rFonts w:ascii="Times New Roman" w:hAnsi="Times New Roman"/>
          <w:sz w:val="28"/>
          <w:szCs w:val="28"/>
          <w:lang w:val="uk-UA"/>
        </w:rPr>
        <w:t xml:space="preserve"> до 5 років- 5 пацієнтів (табл. 2.7</w:t>
      </w:r>
      <w:r w:rsidR="00663364">
        <w:rPr>
          <w:rFonts w:ascii="Times New Roman" w:hAnsi="Times New Roman"/>
          <w:sz w:val="28"/>
          <w:szCs w:val="28"/>
          <w:lang w:val="uk-UA"/>
        </w:rPr>
        <w:t>).</w:t>
      </w:r>
    </w:p>
    <w:p w14:paraId="0B542906" w14:textId="69A71506" w:rsidR="001915DF" w:rsidRDefault="001915DF" w:rsidP="001915DF">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Комплекс традиційних заходів у всіх групах був ідентичний і включав профілактику загальних захворювань, усунення шкідливих звичок, навчання раціональної гігієни порожнини рота, рекомендації щодо норма</w:t>
      </w:r>
      <w:r w:rsidR="008E7054">
        <w:rPr>
          <w:rFonts w:ascii="Times New Roman" w:hAnsi="Times New Roman"/>
          <w:sz w:val="28"/>
          <w:szCs w:val="28"/>
          <w:lang w:val="uk-UA"/>
        </w:rPr>
        <w:t>лізації кількісного і якісного в</w:t>
      </w:r>
      <w:r w:rsidRPr="002804DE">
        <w:rPr>
          <w:rFonts w:ascii="Times New Roman" w:hAnsi="Times New Roman"/>
          <w:sz w:val="28"/>
          <w:szCs w:val="28"/>
          <w:lang w:val="uk-UA"/>
        </w:rPr>
        <w:t>місту поживних речовин в раціоні. При повторних профілактичних оглядах проводили контроль за якістю виконання індивідуальних гігієнічних заходів пацієнтом, професійні заходи з гігієни порожнини рота, своєчасну санацію порожнини рота.</w:t>
      </w:r>
      <w:r w:rsidRPr="002C3D20">
        <w:rPr>
          <w:rFonts w:ascii="Times New Roman" w:hAnsi="Times New Roman"/>
          <w:sz w:val="28"/>
          <w:szCs w:val="28"/>
          <w:lang w:val="uk-UA"/>
        </w:rPr>
        <w:t xml:space="preserve"> </w:t>
      </w:r>
      <w:r w:rsidRPr="00A879D2">
        <w:rPr>
          <w:rFonts w:ascii="Times New Roman" w:hAnsi="Times New Roman"/>
          <w:sz w:val="28"/>
          <w:szCs w:val="28"/>
          <w:lang w:val="uk-UA"/>
        </w:rPr>
        <w:t>При повторних профілактичних оглядах через 1, 3 і 6 місяців проводили контроль за якістю виконання індивідуальних гігієнічних заходів пацієнтом, професійні заходи з гігієни порожнини рота, а саме видалення зубних відкладень, своєчасну санацію по</w:t>
      </w:r>
      <w:r>
        <w:rPr>
          <w:rFonts w:ascii="Times New Roman" w:hAnsi="Times New Roman"/>
          <w:sz w:val="28"/>
          <w:szCs w:val="28"/>
          <w:lang w:val="uk-UA"/>
        </w:rPr>
        <w:t xml:space="preserve">рожнини рота при необхідності. </w:t>
      </w:r>
    </w:p>
    <w:p w14:paraId="773EC818" w14:textId="77777777" w:rsidR="008E7054" w:rsidRP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 xml:space="preserve">Запропонована концептуально нова програма лікування включала прийом полівалентного препарату з антигенними властивостями по 8 таблеток на добу протягом 10 днів при наявності хронічного гінгівіту («Імудон», Росія) пацієнтами першої групи. У групі дітей з атопічними захворюваннями без виражених клінічних проявів гінгівіту (друга група) даний препарат був призначений по 6 таблеток на добу, курс профілактичного прийому 10 днів. </w:t>
      </w:r>
      <w:r w:rsidRPr="008E7054">
        <w:rPr>
          <w:rFonts w:ascii="Times New Roman" w:hAnsi="Times New Roman"/>
          <w:sz w:val="28"/>
          <w:szCs w:val="28"/>
          <w:lang w:val="uk-UA"/>
        </w:rPr>
        <w:lastRenderedPageBreak/>
        <w:t>Пацієнтам обох груп (першої та другої) призначали полівітамінний препарат "Вітрум Антиоксидант» для підлітків віком 12-18 та «Вітрум Юніор» для дітей віком 6-11 (Vitrum Antioxydant, UNIPHARM, Inc. США) для корекції антиоксидантного дисбалансу протягом 1 місяця.</w:t>
      </w:r>
    </w:p>
    <w:p w14:paraId="3E8F4292" w14:textId="77777777" w:rsidR="008E7054" w:rsidRP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Крім того, пацієнтам першої і другої групи була призначена індивідуалізована програма гігієни порожнини рота, яка включала застосування відразу після інгаляційних медикаментів, призначених при астматичному нападі або як компонент систематичного лікування, ополіскувача з нейтральним рН «Dentaid Xeros» та гель «Dentaid Xeros» (Xeros Dentaid, Іспанія) при вираженій ксеростомії, які містять бетаїн, алантоїн, ксиліт та алое вера, підбір індивідуальних засобів гігієни, зубну пасту «G.U.M Activital Q10» (Sunstar), що містить коензим Q10 та екстракт гранату.</w:t>
      </w:r>
    </w:p>
    <w:p w14:paraId="3D60BBA3" w14:textId="77777777" w:rsidR="008E7054" w:rsidRDefault="008E7054" w:rsidP="008E7054">
      <w:pPr>
        <w:spacing w:after="0" w:line="360" w:lineRule="auto"/>
        <w:ind w:firstLine="709"/>
        <w:jc w:val="both"/>
        <w:rPr>
          <w:rFonts w:ascii="Times New Roman" w:hAnsi="Times New Roman"/>
          <w:sz w:val="28"/>
          <w:szCs w:val="28"/>
          <w:lang w:val="uk-UA"/>
        </w:rPr>
      </w:pPr>
      <w:r w:rsidRPr="008E7054">
        <w:rPr>
          <w:rFonts w:ascii="Times New Roman" w:hAnsi="Times New Roman"/>
          <w:sz w:val="28"/>
          <w:szCs w:val="28"/>
          <w:lang w:val="uk-UA"/>
        </w:rPr>
        <w:t>Після здійснення лікувально-профілактичних заходів відповідно до концептуально нової програми, пацієнтам першої та другої груп був здійснений моніторинг імунометаболічних показників через 3, 6 та 12 місяців. При визначенні змін з боку імунної та/або антиоксидантної системи був призначений повторний курс імуномодулюючого препарату та/або вітамінно-антиоксидантного комплексу відповідно до виявлених порушень. У подальшому пацієнтам усіх підгруп рекомендовано візити до лікаря-стоматолога з періодичністю один раз на шість місяців з визначенням рівнів секреторного імуноглобуліну А, імуноглобуліну G та відновленого глутатіону у ротовій рідині та при необхідності призначення повторних курсів імунопрепаратів та/або вітамінно-антиоксидантних комплексів.</w:t>
      </w:r>
    </w:p>
    <w:p w14:paraId="2B576017" w14:textId="430B2E90" w:rsidR="00DD50F5" w:rsidRDefault="00DD50F5" w:rsidP="008E70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Окрім основної та контрольної групи обстежених дітей, яким було здійснено лікувально-профілактичні заходи, до дослідження була включена група дітей з факторами ризику за атопією, а саме 84 дитини віком 1-30 місяців, народжених передчасно та з малою вагою, серед яких виявляли атопічний дерматит як перший маркер наявності атопічних хвороб.</w:t>
      </w:r>
    </w:p>
    <w:p w14:paraId="69EBEA0F" w14:textId="181E62E6" w:rsidR="00DD50F5" w:rsidRDefault="00DD50F5" w:rsidP="005448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стоматологічного обстеження</w:t>
      </w:r>
      <w:r w:rsidR="00FB72F7">
        <w:rPr>
          <w:rFonts w:ascii="Times New Roman" w:hAnsi="Times New Roman" w:cs="Times New Roman"/>
          <w:sz w:val="28"/>
          <w:szCs w:val="28"/>
          <w:lang w:val="uk-UA"/>
        </w:rPr>
        <w:t xml:space="preserve"> дітей з групи ризику</w:t>
      </w:r>
      <w:r>
        <w:rPr>
          <w:rFonts w:ascii="Times New Roman" w:hAnsi="Times New Roman" w:cs="Times New Roman"/>
          <w:sz w:val="28"/>
          <w:szCs w:val="28"/>
          <w:lang w:val="uk-UA"/>
        </w:rPr>
        <w:t xml:space="preserve"> реєстрували статус прорізування зубів, форму верхнього та нижнього </w:t>
      </w:r>
      <w:r>
        <w:rPr>
          <w:rFonts w:ascii="Times New Roman" w:hAnsi="Times New Roman" w:cs="Times New Roman"/>
          <w:sz w:val="28"/>
          <w:szCs w:val="28"/>
          <w:lang w:val="uk-UA"/>
        </w:rPr>
        <w:lastRenderedPageBreak/>
        <w:t>альвеолярного відростка щелеп, наявність анатомічних особливостей порожнини рота новонароджених, рівень інтенсивності карієсу, стан слизової оболонки порожнини рота, наявність запалення ясен. Крім цього при обстеженні зазначали наявність атопічного дерматиту (на час обстеження та в анамнезі), антропометричні дані (зріст, маса тіла, окружність голови та грудної клітини), характер вигодовування, а також супутні соматичні захворювання.</w:t>
      </w:r>
    </w:p>
    <w:p w14:paraId="456CD883" w14:textId="71D3F81C" w:rsidR="00E6538B" w:rsidRDefault="00E6538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6FE3622" w14:textId="0D56401F" w:rsidR="005E6EA3" w:rsidRPr="008E7054" w:rsidRDefault="005E6EA3" w:rsidP="005E6EA3">
      <w:pPr>
        <w:pStyle w:val="Heading1"/>
        <w:spacing w:before="0" w:line="360" w:lineRule="auto"/>
        <w:jc w:val="center"/>
        <w:rPr>
          <w:rFonts w:ascii="Times New Roman" w:hAnsi="Times New Roman" w:cs="Times New Roman"/>
          <w:color w:val="auto"/>
          <w:sz w:val="28"/>
          <w:szCs w:val="28"/>
          <w:lang w:val="uk-UA"/>
        </w:rPr>
      </w:pPr>
      <w:bookmarkStart w:id="16" w:name="_Toc507575309"/>
      <w:r w:rsidRPr="008E7054">
        <w:rPr>
          <w:rFonts w:ascii="Times New Roman" w:hAnsi="Times New Roman" w:cs="Times New Roman"/>
          <w:color w:val="auto"/>
          <w:sz w:val="28"/>
          <w:szCs w:val="28"/>
          <w:lang w:val="uk-UA"/>
        </w:rPr>
        <w:lastRenderedPageBreak/>
        <w:t>РОЗДІЛ 3</w:t>
      </w:r>
      <w:bookmarkEnd w:id="16"/>
    </w:p>
    <w:p w14:paraId="56AB8691" w14:textId="77777777" w:rsidR="005E6EA3" w:rsidRPr="008E7054" w:rsidRDefault="005E6EA3" w:rsidP="005E6EA3">
      <w:pPr>
        <w:rPr>
          <w:lang w:val="uk-UA"/>
        </w:rPr>
      </w:pPr>
    </w:p>
    <w:p w14:paraId="505F7689" w14:textId="3E9A2878" w:rsidR="00544810" w:rsidRPr="008E7054" w:rsidRDefault="005E6EA3" w:rsidP="005E6EA3">
      <w:pPr>
        <w:pStyle w:val="Heading1"/>
        <w:spacing w:before="0" w:line="360" w:lineRule="auto"/>
        <w:jc w:val="center"/>
        <w:rPr>
          <w:rFonts w:ascii="Times New Roman" w:hAnsi="Times New Roman" w:cs="Times New Roman"/>
          <w:color w:val="auto"/>
          <w:sz w:val="28"/>
          <w:szCs w:val="28"/>
          <w:lang w:val="uk-UA"/>
        </w:rPr>
      </w:pPr>
      <w:bookmarkStart w:id="17" w:name="_Toc507575310"/>
      <w:r w:rsidRPr="008E7054">
        <w:rPr>
          <w:rFonts w:ascii="Times New Roman" w:hAnsi="Times New Roman" w:cs="Times New Roman"/>
          <w:color w:val="auto"/>
          <w:sz w:val="28"/>
          <w:szCs w:val="28"/>
          <w:lang w:val="uk-UA"/>
        </w:rPr>
        <w:t>РЕЗУЛЬТАТИ ЕКСПЕРИМЕНТАЛЬНИХ ДОСЛІДЖЕНЬ ТКАНИН ПОРОЖНИНИ РОТА ПРИ МОДЕЛЮВАННІ АТОПІЇ</w:t>
      </w:r>
      <w:bookmarkEnd w:id="17"/>
    </w:p>
    <w:p w14:paraId="40E697C3" w14:textId="77777777" w:rsidR="005E6EA3" w:rsidRPr="008E7054" w:rsidRDefault="005E6EA3" w:rsidP="005E6EA3">
      <w:pPr>
        <w:rPr>
          <w:lang w:val="uk-UA"/>
        </w:rPr>
      </w:pPr>
    </w:p>
    <w:p w14:paraId="4BF6C53B" w14:textId="77777777" w:rsidR="00544810" w:rsidRPr="008E7054" w:rsidRDefault="00544810" w:rsidP="00A448F8">
      <w:pPr>
        <w:spacing w:after="0" w:line="360" w:lineRule="auto"/>
        <w:ind w:firstLine="709"/>
        <w:jc w:val="both"/>
        <w:rPr>
          <w:rFonts w:ascii="Times New Roman" w:hAnsi="Times New Roman" w:cs="Times New Roman"/>
          <w:sz w:val="28"/>
          <w:szCs w:val="28"/>
          <w:lang w:val="uk-UA"/>
        </w:rPr>
      </w:pPr>
      <w:r w:rsidRPr="008E7054">
        <w:rPr>
          <w:rFonts w:ascii="Times New Roman" w:hAnsi="Times New Roman" w:cs="Times New Roman"/>
          <w:sz w:val="28"/>
          <w:szCs w:val="28"/>
          <w:lang w:val="uk-UA"/>
        </w:rPr>
        <w:t>Для дослідження тканинних змін при моделюванні атопії, а також для оцінювання місцевого впливу обраних препаратів, нами було проведене експериментальне дослідження.</w:t>
      </w:r>
    </w:p>
    <w:p w14:paraId="7953435A" w14:textId="2E012553" w:rsidR="00544810" w:rsidRDefault="00544810" w:rsidP="00A448F8">
      <w:pPr>
        <w:spacing w:after="0" w:line="360" w:lineRule="auto"/>
        <w:ind w:firstLine="709"/>
        <w:jc w:val="both"/>
        <w:rPr>
          <w:rFonts w:ascii="Times New Roman" w:hAnsi="Times New Roman" w:cs="Times New Roman"/>
          <w:sz w:val="28"/>
          <w:szCs w:val="28"/>
          <w:lang w:val="uk-UA"/>
        </w:rPr>
      </w:pPr>
      <w:r w:rsidRPr="00577428">
        <w:rPr>
          <w:rFonts w:ascii="Times New Roman" w:hAnsi="Times New Roman" w:cs="Times New Roman"/>
          <w:sz w:val="28"/>
          <w:szCs w:val="28"/>
          <w:lang w:val="uk-UA"/>
        </w:rPr>
        <w:t>Огляд ротової порожнини тварин, яким не проводили будь-які маніпуляції (моделювання атопічного процесу, лікувальні заходи</w:t>
      </w:r>
      <w:r>
        <w:rPr>
          <w:rFonts w:ascii="Times New Roman" w:hAnsi="Times New Roman" w:cs="Times New Roman"/>
          <w:sz w:val="28"/>
          <w:szCs w:val="28"/>
          <w:lang w:val="uk-UA"/>
        </w:rPr>
        <w:t xml:space="preserve">) не виявив будь-яких видимих </w:t>
      </w:r>
      <w:r w:rsidRPr="00577428">
        <w:rPr>
          <w:rFonts w:ascii="Times New Roman" w:hAnsi="Times New Roman" w:cs="Times New Roman"/>
          <w:sz w:val="28"/>
          <w:szCs w:val="28"/>
          <w:lang w:val="uk-UA"/>
        </w:rPr>
        <w:t>змін слизової.</w:t>
      </w:r>
      <w:r w:rsidR="008E7054">
        <w:rPr>
          <w:rFonts w:ascii="Times New Roman" w:hAnsi="Times New Roman" w:cs="Times New Roman"/>
          <w:sz w:val="28"/>
          <w:szCs w:val="28"/>
          <w:lang w:val="uk-UA"/>
        </w:rPr>
        <w:t xml:space="preserve"> </w:t>
      </w:r>
    </w:p>
    <w:p w14:paraId="7D01A02A" w14:textId="34EB09A6" w:rsidR="008E7054" w:rsidRPr="00577428" w:rsidRDefault="008E7054"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Група тварин без моделювання атопічної патології та призначення лікувальних заходів слугувала як показник умовної фізіологічної норми. Умови, за яких утримувались тварин, фактичний раціон, були однаковими для усіх трьох груп тварин, залучених до експерименту.</w:t>
      </w:r>
    </w:p>
    <w:p w14:paraId="0A4BCEE2" w14:textId="206F3D8C" w:rsidR="00544810" w:rsidRPr="00577428" w:rsidRDefault="00544810" w:rsidP="00A448F8">
      <w:pPr>
        <w:spacing w:after="0" w:line="360" w:lineRule="auto"/>
        <w:ind w:firstLine="709"/>
        <w:jc w:val="both"/>
        <w:rPr>
          <w:rFonts w:ascii="Times New Roman" w:hAnsi="Times New Roman" w:cs="Times New Roman"/>
          <w:sz w:val="28"/>
          <w:szCs w:val="28"/>
          <w:lang w:val="uk-UA"/>
        </w:rPr>
      </w:pPr>
      <w:r w:rsidRPr="00577428">
        <w:rPr>
          <w:rFonts w:ascii="Times New Roman" w:hAnsi="Times New Roman" w:cs="Times New Roman"/>
          <w:sz w:val="28"/>
          <w:szCs w:val="28"/>
          <w:lang w:val="uk-UA"/>
        </w:rPr>
        <w:t>Проведення гістологічного дослідження не виявило яких-небудь особливостей в будові слизо</w:t>
      </w:r>
      <w:r w:rsidR="0025200C">
        <w:rPr>
          <w:rFonts w:ascii="Times New Roman" w:hAnsi="Times New Roman" w:cs="Times New Roman"/>
          <w:sz w:val="28"/>
          <w:szCs w:val="28"/>
          <w:lang w:val="uk-UA"/>
        </w:rPr>
        <w:t>вої. Ротова порожнина в</w:t>
      </w:r>
      <w:r w:rsidRPr="00577428">
        <w:rPr>
          <w:rFonts w:ascii="Times New Roman" w:hAnsi="Times New Roman" w:cs="Times New Roman"/>
          <w:sz w:val="28"/>
          <w:szCs w:val="28"/>
          <w:lang w:val="uk-UA"/>
        </w:rPr>
        <w:t>крита багатошаровим плоскоклітинний не</w:t>
      </w:r>
      <w:r w:rsidR="0025200C">
        <w:rPr>
          <w:rFonts w:ascii="Times New Roman" w:hAnsi="Times New Roman" w:cs="Times New Roman"/>
          <w:sz w:val="28"/>
          <w:szCs w:val="28"/>
          <w:lang w:val="uk-UA"/>
        </w:rPr>
        <w:t>зроговілим</w:t>
      </w:r>
      <w:r w:rsidRPr="00577428">
        <w:rPr>
          <w:rFonts w:ascii="Times New Roman" w:hAnsi="Times New Roman" w:cs="Times New Roman"/>
          <w:sz w:val="28"/>
          <w:szCs w:val="28"/>
          <w:lang w:val="uk-UA"/>
        </w:rPr>
        <w:t xml:space="preserve"> епітелієм (рис.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577428">
        <w:rPr>
          <w:rFonts w:ascii="Times New Roman" w:hAnsi="Times New Roman" w:cs="Times New Roman"/>
          <w:sz w:val="28"/>
          <w:szCs w:val="28"/>
          <w:lang w:val="uk-UA"/>
        </w:rPr>
        <w:t xml:space="preserve">1). </w:t>
      </w:r>
      <w:r w:rsidR="0025200C">
        <w:rPr>
          <w:rFonts w:ascii="Times New Roman" w:hAnsi="Times New Roman" w:cs="Times New Roman"/>
          <w:sz w:val="28"/>
          <w:szCs w:val="28"/>
          <w:lang w:val="uk-UA"/>
        </w:rPr>
        <w:t>Зроговілий</w:t>
      </w:r>
      <w:r w:rsidRPr="00577428">
        <w:rPr>
          <w:rFonts w:ascii="Times New Roman" w:hAnsi="Times New Roman" w:cs="Times New Roman"/>
          <w:sz w:val="28"/>
          <w:szCs w:val="28"/>
          <w:lang w:val="uk-UA"/>
        </w:rPr>
        <w:t xml:space="preserve"> багатошаровий плоскоклітинний епітелій покриває маргіна</w:t>
      </w:r>
      <w:r w:rsidR="0025200C">
        <w:rPr>
          <w:rFonts w:ascii="Times New Roman" w:hAnsi="Times New Roman" w:cs="Times New Roman"/>
          <w:sz w:val="28"/>
          <w:szCs w:val="28"/>
          <w:lang w:val="uk-UA"/>
        </w:rPr>
        <w:t>льні й альвеолярні поверхні</w:t>
      </w:r>
      <w:r>
        <w:rPr>
          <w:rFonts w:ascii="Times New Roman" w:hAnsi="Times New Roman" w:cs="Times New Roman"/>
          <w:sz w:val="28"/>
          <w:szCs w:val="28"/>
          <w:lang w:val="uk-UA"/>
        </w:rPr>
        <w:t xml:space="preserve"> ясен</w:t>
      </w:r>
      <w:r w:rsidRPr="00577428">
        <w:rPr>
          <w:rFonts w:ascii="Times New Roman" w:hAnsi="Times New Roman" w:cs="Times New Roman"/>
          <w:sz w:val="28"/>
          <w:szCs w:val="28"/>
          <w:lang w:val="uk-UA"/>
        </w:rPr>
        <w:t>. Процеси кератинізац</w:t>
      </w:r>
      <w:r>
        <w:rPr>
          <w:rFonts w:ascii="Times New Roman" w:hAnsi="Times New Roman" w:cs="Times New Roman"/>
          <w:sz w:val="28"/>
          <w:szCs w:val="28"/>
          <w:lang w:val="uk-UA"/>
        </w:rPr>
        <w:t>ії виражені слабо. Базальний, ши</w:t>
      </w:r>
      <w:r w:rsidR="002F4783">
        <w:rPr>
          <w:rFonts w:ascii="Times New Roman" w:hAnsi="Times New Roman" w:cs="Times New Roman"/>
          <w:sz w:val="28"/>
          <w:szCs w:val="28"/>
          <w:lang w:val="uk-UA"/>
        </w:rPr>
        <w:t>пуватий</w:t>
      </w:r>
      <w:r w:rsidRPr="00577428">
        <w:rPr>
          <w:rFonts w:ascii="Times New Roman" w:hAnsi="Times New Roman" w:cs="Times New Roman"/>
          <w:sz w:val="28"/>
          <w:szCs w:val="28"/>
          <w:lang w:val="uk-UA"/>
        </w:rPr>
        <w:t xml:space="preserve"> і зернистий шари чітко виражені. </w:t>
      </w:r>
      <w:r>
        <w:rPr>
          <w:rFonts w:ascii="Times New Roman" w:hAnsi="Times New Roman" w:cs="Times New Roman"/>
          <w:sz w:val="28"/>
          <w:szCs w:val="28"/>
          <w:lang w:val="uk-UA"/>
        </w:rPr>
        <w:t>У зернистому шарі зерна кератогіаліну</w:t>
      </w:r>
      <w:r w:rsidRPr="00577428">
        <w:rPr>
          <w:rFonts w:ascii="Times New Roman" w:hAnsi="Times New Roman" w:cs="Times New Roman"/>
          <w:sz w:val="28"/>
          <w:szCs w:val="28"/>
          <w:lang w:val="uk-UA"/>
        </w:rPr>
        <w:t xml:space="preserve"> невеликих розмірів.</w:t>
      </w:r>
    </w:p>
    <w:p w14:paraId="194C58E5" w14:textId="77777777" w:rsidR="00544810" w:rsidRPr="00577428" w:rsidRDefault="00544810" w:rsidP="00544810">
      <w:pPr>
        <w:spacing w:after="0" w:line="360" w:lineRule="auto"/>
        <w:jc w:val="center"/>
        <w:rPr>
          <w:rFonts w:ascii="Times New Roman" w:eastAsia="Times New Roman" w:hAnsi="Times New Roman" w:cs="Times New Roman"/>
          <w:color w:val="800000"/>
          <w:sz w:val="28"/>
          <w:szCs w:val="24"/>
          <w:lang w:val="ru-RU" w:eastAsia="ru-RU"/>
        </w:rPr>
      </w:pPr>
      <w:r w:rsidRPr="00577428">
        <w:rPr>
          <w:rFonts w:ascii="Times New Roman" w:eastAsia="Times New Roman" w:hAnsi="Times New Roman" w:cs="Times New Roman"/>
          <w:noProof/>
          <w:color w:val="800000"/>
          <w:sz w:val="28"/>
          <w:szCs w:val="24"/>
        </w:rPr>
        <w:lastRenderedPageBreak/>
        <w:drawing>
          <wp:inline distT="0" distB="0" distL="0" distR="0" wp14:anchorId="59AD2093" wp14:editId="61C78B35">
            <wp:extent cx="6115050" cy="4229100"/>
            <wp:effectExtent l="0" t="0" r="0" b="0"/>
            <wp:docPr id="26" name="Picture 26" descr="ris3s_podpisy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is3s_podpisya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15050" cy="4229100"/>
                    </a:xfrm>
                    <a:prstGeom prst="rect">
                      <a:avLst/>
                    </a:prstGeom>
                    <a:noFill/>
                    <a:ln>
                      <a:noFill/>
                    </a:ln>
                  </pic:spPr>
                </pic:pic>
              </a:graphicData>
            </a:graphic>
          </wp:inline>
        </w:drawing>
      </w:r>
    </w:p>
    <w:p w14:paraId="20FB03CA" w14:textId="6260EF38" w:rsidR="00544810" w:rsidRDefault="00544810" w:rsidP="00544810">
      <w:pPr>
        <w:spacing w:after="0" w:line="360" w:lineRule="auto"/>
        <w:jc w:val="both"/>
        <w:rPr>
          <w:rFonts w:ascii="Times New Roman" w:eastAsia="Times New Roman" w:hAnsi="Times New Roman" w:cs="Times New Roman"/>
          <w:sz w:val="28"/>
          <w:szCs w:val="24"/>
          <w:lang w:val="ru-RU" w:eastAsia="ru-RU"/>
        </w:rPr>
      </w:pPr>
      <w:r w:rsidRPr="00577428">
        <w:rPr>
          <w:rFonts w:ascii="Times New Roman" w:eastAsia="Times New Roman" w:hAnsi="Times New Roman" w:cs="Times New Roman"/>
          <w:sz w:val="28"/>
          <w:szCs w:val="24"/>
          <w:lang w:val="ru-RU" w:eastAsia="ru-RU"/>
        </w:rPr>
        <w:t>Рис.</w:t>
      </w:r>
      <w:r w:rsidR="00B464E6">
        <w:rPr>
          <w:rFonts w:ascii="Times New Roman" w:eastAsia="Times New Roman" w:hAnsi="Times New Roman" w:cs="Times New Roman"/>
          <w:sz w:val="28"/>
          <w:szCs w:val="24"/>
          <w:lang w:val="ru-RU" w:eastAsia="ru-RU"/>
        </w:rPr>
        <w:t xml:space="preserve"> 3</w:t>
      </w:r>
      <w:r>
        <w:rPr>
          <w:rFonts w:ascii="Times New Roman" w:eastAsia="Times New Roman" w:hAnsi="Times New Roman" w:cs="Times New Roman"/>
          <w:sz w:val="28"/>
          <w:szCs w:val="24"/>
          <w:lang w:val="ru-RU" w:eastAsia="ru-RU"/>
        </w:rPr>
        <w:t xml:space="preserve">. </w:t>
      </w:r>
      <w:r w:rsidRPr="00577428">
        <w:rPr>
          <w:rFonts w:ascii="Times New Roman" w:eastAsia="Times New Roman" w:hAnsi="Times New Roman" w:cs="Times New Roman"/>
          <w:sz w:val="28"/>
          <w:szCs w:val="24"/>
          <w:lang w:val="ru-RU" w:eastAsia="ru-RU"/>
        </w:rPr>
        <w:t xml:space="preserve">1. </w:t>
      </w:r>
      <w:r>
        <w:rPr>
          <w:rFonts w:ascii="Times New Roman" w:eastAsia="Times New Roman" w:hAnsi="Times New Roman" w:cs="Times New Roman"/>
          <w:sz w:val="28"/>
          <w:szCs w:val="24"/>
          <w:lang w:val="ru-RU" w:eastAsia="ru-RU"/>
        </w:rPr>
        <w:t xml:space="preserve">Слизова оболонка ясен кроля контрольної групи. Наявність усіх шарів плоскоклітинного епітелію без патологічних змін </w:t>
      </w:r>
      <w:r w:rsidRPr="00577428">
        <w:rPr>
          <w:rFonts w:ascii="Times New Roman" w:eastAsia="Times New Roman" w:hAnsi="Times New Roman" w:cs="Times New Roman"/>
          <w:sz w:val="28"/>
          <w:szCs w:val="24"/>
          <w:lang w:val="ru-RU" w:eastAsia="ru-RU"/>
        </w:rPr>
        <w:t>(a, b). Сплощені поверхневі клітини (b, c). Вертикальне розташування клітин базального шару (b). Відсутність запальних інфільтратів (a, b, c, d). Тонкостінні судини мікроциркуляторного русла (a, b, c). Наявність у власній пластинці слизової пухкої сполучної тканини (d). Забарвл</w:t>
      </w:r>
      <w:r>
        <w:rPr>
          <w:rFonts w:ascii="Times New Roman" w:eastAsia="Times New Roman" w:hAnsi="Times New Roman" w:cs="Times New Roman"/>
          <w:sz w:val="28"/>
          <w:szCs w:val="24"/>
          <w:lang w:val="ru-RU" w:eastAsia="ru-RU"/>
        </w:rPr>
        <w:t>ення гематоксиліном і еозином. З</w:t>
      </w:r>
      <w:r w:rsidRPr="00577428">
        <w:rPr>
          <w:rFonts w:ascii="Times New Roman" w:eastAsia="Times New Roman" w:hAnsi="Times New Roman" w:cs="Times New Roman"/>
          <w:sz w:val="28"/>
          <w:szCs w:val="24"/>
          <w:lang w:val="ru-RU" w:eastAsia="ru-RU"/>
        </w:rPr>
        <w:t xml:space="preserve">більшення: a, c х200, b x400, d x100. </w:t>
      </w:r>
    </w:p>
    <w:p w14:paraId="5B5D0BC9" w14:textId="6F3BEA11" w:rsidR="00E43D80" w:rsidRPr="00E43D80" w:rsidRDefault="002F4783" w:rsidP="00E43D80">
      <w:pPr>
        <w:spacing w:after="0" w:line="360" w:lineRule="auto"/>
        <w:ind w:firstLine="709"/>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ru-RU"/>
        </w:rPr>
        <w:t>Поверхневі клітини шипуватого</w:t>
      </w:r>
      <w:r w:rsidR="00E43D80" w:rsidRPr="00E43D80">
        <w:rPr>
          <w:rFonts w:ascii="Times New Roman" w:eastAsia="Times New Roman" w:hAnsi="Times New Roman" w:cs="Times New Roman"/>
          <w:sz w:val="28"/>
          <w:szCs w:val="24"/>
          <w:lang w:val="ru-RU" w:eastAsia="ru-RU"/>
        </w:rPr>
        <w:t xml:space="preserve"> ша</w:t>
      </w:r>
      <w:r w:rsidR="006E281B">
        <w:rPr>
          <w:rFonts w:ascii="Times New Roman" w:eastAsia="Times New Roman" w:hAnsi="Times New Roman" w:cs="Times New Roman"/>
          <w:sz w:val="28"/>
          <w:szCs w:val="24"/>
          <w:lang w:val="ru-RU" w:eastAsia="ru-RU"/>
        </w:rPr>
        <w:t>ру сплощені, мають веретеноподібну</w:t>
      </w:r>
      <w:r w:rsidR="00E43D80" w:rsidRPr="00E43D80">
        <w:rPr>
          <w:rFonts w:ascii="Times New Roman" w:eastAsia="Times New Roman" w:hAnsi="Times New Roman" w:cs="Times New Roman"/>
          <w:sz w:val="28"/>
          <w:szCs w:val="24"/>
          <w:lang w:val="ru-RU" w:eastAsia="ru-RU"/>
        </w:rPr>
        <w:t xml:space="preserve"> форму, часто з явищами пікнозу. Цитоплазма поверхневих епітеліальних клітин представлена тонкою сильно забарвленою облямівкою (рис. 3.1). У міру наближення до базаль</w:t>
      </w:r>
      <w:r>
        <w:rPr>
          <w:rFonts w:ascii="Times New Roman" w:eastAsia="Times New Roman" w:hAnsi="Times New Roman" w:cs="Times New Roman"/>
          <w:sz w:val="28"/>
          <w:szCs w:val="24"/>
          <w:lang w:val="ru-RU" w:eastAsia="ru-RU"/>
        </w:rPr>
        <w:t>ної мембрані клітини шипуватого</w:t>
      </w:r>
      <w:r w:rsidR="00E43D80" w:rsidRPr="00E43D80">
        <w:rPr>
          <w:rFonts w:ascii="Times New Roman" w:eastAsia="Times New Roman" w:hAnsi="Times New Roman" w:cs="Times New Roman"/>
          <w:sz w:val="28"/>
          <w:szCs w:val="24"/>
          <w:lang w:val="ru-RU" w:eastAsia="ru-RU"/>
        </w:rPr>
        <w:t xml:space="preserve"> шару збільшуються в обсязі за рахунок збільшення як ядра, так і цитоплазми клітини зі зміною форми клітин на багатогранну. </w:t>
      </w:r>
      <w:r w:rsidR="006F3AE3" w:rsidRPr="006F3AE3">
        <w:rPr>
          <w:rFonts w:ascii="Times New Roman" w:eastAsia="Times New Roman" w:hAnsi="Times New Roman" w:cs="Times New Roman"/>
          <w:sz w:val="28"/>
          <w:szCs w:val="24"/>
          <w:lang w:val="ru-RU" w:eastAsia="ru-RU"/>
        </w:rPr>
        <w:t xml:space="preserve">Орієнтація епітеліальних клітин у міру просування до базального шару змінюється з горизонтальної на вертикальну </w:t>
      </w:r>
      <w:r w:rsidR="00E43D80" w:rsidRPr="00E43D80">
        <w:rPr>
          <w:rFonts w:ascii="Times New Roman" w:eastAsia="Times New Roman" w:hAnsi="Times New Roman" w:cs="Times New Roman"/>
          <w:sz w:val="28"/>
          <w:szCs w:val="24"/>
          <w:lang w:val="ru-RU" w:eastAsia="ru-RU"/>
        </w:rPr>
        <w:t xml:space="preserve">(рис. 3.1). Ядра базальних епітеліальних клітин овальні, однорідні, гіперхромні з помірно базофільною цитоплазмою (рис. 3.1). Колаген IV типу на імуногістохімічних </w:t>
      </w:r>
      <w:r w:rsidR="00E43D80" w:rsidRPr="00E43D80">
        <w:rPr>
          <w:rFonts w:ascii="Times New Roman" w:eastAsia="Times New Roman" w:hAnsi="Times New Roman" w:cs="Times New Roman"/>
          <w:sz w:val="28"/>
          <w:szCs w:val="24"/>
          <w:lang w:val="ru-RU" w:eastAsia="ru-RU"/>
        </w:rPr>
        <w:lastRenderedPageBreak/>
        <w:t xml:space="preserve">препаратах чітко структурований, проходить безпосередньо по межі епітелію і власної пластинки слизової, повторюючи контури базальної мембрани. </w:t>
      </w:r>
    </w:p>
    <w:p w14:paraId="1B99F563" w14:textId="4678F04A"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У будові власної пластинки слизової оболонки можна виділити під епітелієм сосочковий шар (рис. 3.1), представлений пухкою сполучною тканиною (переважно еластичні волокна) і більш глибокий сітчастий шар, представлений більш грубими сполучнотканинними во</w:t>
      </w:r>
      <w:r w:rsidR="006F3AE3">
        <w:rPr>
          <w:rFonts w:ascii="Times New Roman" w:eastAsia="Times New Roman" w:hAnsi="Times New Roman" w:cs="Times New Roman"/>
          <w:sz w:val="28"/>
          <w:szCs w:val="24"/>
          <w:lang w:val="ru-RU" w:eastAsia="ru-RU"/>
        </w:rPr>
        <w:t>локнами (переважно аргірофільни</w:t>
      </w:r>
      <w:r w:rsidR="006F3AE3">
        <w:rPr>
          <w:rFonts w:ascii="Times New Roman" w:eastAsia="Times New Roman" w:hAnsi="Times New Roman" w:cs="Times New Roman"/>
          <w:sz w:val="28"/>
          <w:szCs w:val="24"/>
          <w:lang w:val="uk-UA" w:eastAsia="ru-RU"/>
        </w:rPr>
        <w:t>ми</w:t>
      </w:r>
      <w:r w:rsidRPr="00E43D80">
        <w:rPr>
          <w:rFonts w:ascii="Times New Roman" w:eastAsia="Times New Roman" w:hAnsi="Times New Roman" w:cs="Times New Roman"/>
          <w:sz w:val="28"/>
          <w:szCs w:val="24"/>
          <w:lang w:val="ru-RU" w:eastAsia="ru-RU"/>
        </w:rPr>
        <w:t xml:space="preserve"> волокнами). Поверхневі тонкі, ніжні, покручені ретикулінові волокна утворюють базальну мембрану і мережу строми.</w:t>
      </w:r>
    </w:p>
    <w:p w14:paraId="7C67A8DC" w14:textId="49EC5FCD"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Клітинний склад власної пластинки слизової оболонки досить одноманітний і нечисленний (рис. 3.1). Між сполучнотканинними волокнами розташовуються фібробласти, гістіоцити, лімфоцити, тучні клітини, макрофаги. Серед фібробластів як в сосочковому шарі, так і в сітчастому шарі переважають зрілі клітини. Гладкі клітини поодинокі, зустрічаються їх невеликі групи переважно в сосочковом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шарі власної оболонки навколо судин. Лімфоїдні елементи зустрічаються між сполучнотканинними волокнами рівномірно, без формування будь-яких вогнищевих скупчень. В ядрах описаних кліти</w:t>
      </w:r>
      <w:r w:rsidR="006F3AE3">
        <w:rPr>
          <w:rFonts w:ascii="Times New Roman" w:eastAsia="Times New Roman" w:hAnsi="Times New Roman" w:cs="Times New Roman"/>
          <w:sz w:val="28"/>
          <w:szCs w:val="24"/>
          <w:lang w:val="ru-RU" w:eastAsia="ru-RU"/>
        </w:rPr>
        <w:t>н виявляється помірна ступінь ди</w:t>
      </w:r>
      <w:r w:rsidRPr="00E43D80">
        <w:rPr>
          <w:rFonts w:ascii="Times New Roman" w:eastAsia="Times New Roman" w:hAnsi="Times New Roman" w:cs="Times New Roman"/>
          <w:sz w:val="28"/>
          <w:szCs w:val="24"/>
          <w:lang w:val="ru-RU" w:eastAsia="ru-RU"/>
        </w:rPr>
        <w:t>сперстності ядерного хроматину. Еозинофіли відсутні, ознак накопичення запального ексудату немає. PAS-реакція помірно позитивна, більш виражена в ділянках локалізації розгалуженої мережі рет</w:t>
      </w:r>
      <w:r w:rsidR="006F3AE3">
        <w:rPr>
          <w:rFonts w:ascii="Times New Roman" w:eastAsia="Times New Roman" w:hAnsi="Times New Roman" w:cs="Times New Roman"/>
          <w:sz w:val="28"/>
          <w:szCs w:val="24"/>
          <w:lang w:val="ru-RU" w:eastAsia="ru-RU"/>
        </w:rPr>
        <w:t>икулінових</w:t>
      </w:r>
      <w:r w:rsidRPr="00E43D80">
        <w:rPr>
          <w:rFonts w:ascii="Times New Roman" w:eastAsia="Times New Roman" w:hAnsi="Times New Roman" w:cs="Times New Roman"/>
          <w:sz w:val="28"/>
          <w:szCs w:val="24"/>
          <w:lang w:val="ru-RU" w:eastAsia="ru-RU"/>
        </w:rPr>
        <w:t xml:space="preserve"> волокон, і менш виражена в більш глибоких ділянках з переважанням колагенових волокон.</w:t>
      </w:r>
    </w:p>
    <w:p w14:paraId="2FC5EE38" w14:textId="502C95E4" w:rsidR="00E43D8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t>Судини мікроциркуляторного русла помірно повнокровні, на мікропрепаратах їх форма залежить від напрямку зрізу. Зустрічаються судини округлої, овальної або витягнутої форми. Найбільш інформативними є поздовжні зрізи, які дозволяють оцінити стан судинної стінки, базальної мембрани, ендотеліоцитів. Базальні мембрани судин рівномірно тонкі, ознак зміни їх товщини не виявляє</w:t>
      </w:r>
      <w:r w:rsidR="002F4783">
        <w:rPr>
          <w:rFonts w:ascii="Times New Roman" w:eastAsia="Times New Roman" w:hAnsi="Times New Roman" w:cs="Times New Roman"/>
          <w:sz w:val="28"/>
          <w:szCs w:val="24"/>
          <w:lang w:val="ru-RU" w:eastAsia="ru-RU"/>
        </w:rPr>
        <w:t>ться. Ендотелій судин насичений з</w:t>
      </w:r>
      <w:r w:rsidRPr="00E43D80">
        <w:rPr>
          <w:rFonts w:ascii="Times New Roman" w:eastAsia="Times New Roman" w:hAnsi="Times New Roman" w:cs="Times New Roman"/>
          <w:sz w:val="28"/>
          <w:szCs w:val="24"/>
          <w:lang w:val="ru-RU" w:eastAsia="ru-RU"/>
        </w:rPr>
        <w:t xml:space="preserve"> великими світлими ядра</w:t>
      </w:r>
      <w:r w:rsidR="002F4783">
        <w:rPr>
          <w:rFonts w:ascii="Times New Roman" w:eastAsia="Times New Roman" w:hAnsi="Times New Roman" w:cs="Times New Roman"/>
          <w:sz w:val="28"/>
          <w:szCs w:val="24"/>
          <w:lang w:val="ru-RU" w:eastAsia="ru-RU"/>
        </w:rPr>
        <w:t>ми, звичайних розмірів. Загалом</w:t>
      </w:r>
      <w:r w:rsidRPr="00E43D80">
        <w:rPr>
          <w:rFonts w:ascii="Times New Roman" w:eastAsia="Times New Roman" w:hAnsi="Times New Roman" w:cs="Times New Roman"/>
          <w:sz w:val="28"/>
          <w:szCs w:val="24"/>
          <w:lang w:val="ru-RU" w:eastAsia="ru-RU"/>
        </w:rPr>
        <w:t xml:space="preserve"> судинне русло рівномірного кровонаповнення, тромби в просвіті судин відсутні. Базальні мембрани судин тонкі, інтенсивно PAS-позитивні.</w:t>
      </w:r>
    </w:p>
    <w:p w14:paraId="3C72476D" w14:textId="7EF455DB" w:rsidR="00544810" w:rsidRPr="00E43D80" w:rsidRDefault="00E43D80" w:rsidP="00E43D80">
      <w:pPr>
        <w:spacing w:after="0" w:line="360" w:lineRule="auto"/>
        <w:ind w:firstLine="709"/>
        <w:jc w:val="both"/>
        <w:rPr>
          <w:rFonts w:ascii="Times New Roman" w:eastAsia="Times New Roman" w:hAnsi="Times New Roman" w:cs="Times New Roman"/>
          <w:sz w:val="28"/>
          <w:szCs w:val="24"/>
          <w:lang w:val="ru-RU" w:eastAsia="ru-RU"/>
        </w:rPr>
      </w:pPr>
      <w:r w:rsidRPr="00E43D80">
        <w:rPr>
          <w:rFonts w:ascii="Times New Roman" w:eastAsia="Times New Roman" w:hAnsi="Times New Roman" w:cs="Times New Roman"/>
          <w:sz w:val="28"/>
          <w:szCs w:val="24"/>
          <w:lang w:val="ru-RU" w:eastAsia="ru-RU"/>
        </w:rPr>
        <w:lastRenderedPageBreak/>
        <w:t>Проведення імуногістохімічного дослі</w:t>
      </w:r>
      <w:r w:rsidR="006F3AE3">
        <w:rPr>
          <w:rFonts w:ascii="Times New Roman" w:eastAsia="Times New Roman" w:hAnsi="Times New Roman" w:cs="Times New Roman"/>
          <w:sz w:val="28"/>
          <w:szCs w:val="24"/>
          <w:lang w:val="ru-RU" w:eastAsia="ru-RU"/>
        </w:rPr>
        <w:t>дження постановкою пероксидазної</w:t>
      </w:r>
      <w:r w:rsidRPr="00E43D80">
        <w:rPr>
          <w:rFonts w:ascii="Times New Roman" w:eastAsia="Times New Roman" w:hAnsi="Times New Roman" w:cs="Times New Roman"/>
          <w:sz w:val="28"/>
          <w:szCs w:val="24"/>
          <w:lang w:val="ru-RU" w:eastAsia="ru-RU"/>
        </w:rPr>
        <w:t xml:space="preserve"> реакції з МКА до ендотеліальної NO-синтази в даній групі характеризується накопиченням барвника в судинних структурах з чітким фарбуванням ендотелію, що надавало йому лінійний вид; крім цього, добре забарвлюється ендомізій м'язової пластинки (рис 3.2). Одночасно, часто спостерігалася наявність незначно позитивно забарвлених структур в периваскулярном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просторі зі зменшенням ступеня інтенсивності в міру віддалення від судини, що характеризується «розмиванням» чіткості гістологічної будови судин мікроциркуляторного русла. Проведення цитофотометрії вказує на </w:t>
      </w:r>
      <w:r w:rsidR="006F3AE3">
        <w:rPr>
          <w:rFonts w:ascii="Times New Roman" w:eastAsia="Times New Roman" w:hAnsi="Times New Roman" w:cs="Times New Roman"/>
          <w:sz w:val="28"/>
          <w:szCs w:val="24"/>
          <w:lang w:val="ru-RU" w:eastAsia="ru-RU"/>
        </w:rPr>
        <w:t>ознаки</w:t>
      </w:r>
      <w:r w:rsidRPr="00E43D80">
        <w:rPr>
          <w:rFonts w:ascii="Times New Roman" w:eastAsia="Times New Roman" w:hAnsi="Times New Roman" w:cs="Times New Roman"/>
          <w:sz w:val="28"/>
          <w:szCs w:val="24"/>
          <w:lang w:val="ru-RU" w:eastAsia="ru-RU"/>
        </w:rPr>
        <w:t xml:space="preserve"> накопичення ендотеліальної NO-синтази в стінці суди</w:t>
      </w:r>
      <w:r w:rsidR="002F4783">
        <w:rPr>
          <w:rFonts w:ascii="Times New Roman" w:eastAsia="Times New Roman" w:hAnsi="Times New Roman" w:cs="Times New Roman"/>
          <w:sz w:val="28"/>
          <w:szCs w:val="24"/>
          <w:lang w:val="ru-RU" w:eastAsia="ru-RU"/>
        </w:rPr>
        <w:t>н на рівні 0,899±0,061 ум.од., у</w:t>
      </w:r>
      <w:r w:rsidRPr="00E43D80">
        <w:rPr>
          <w:rFonts w:ascii="Times New Roman" w:eastAsia="Times New Roman" w:hAnsi="Times New Roman" w:cs="Times New Roman"/>
          <w:sz w:val="28"/>
          <w:szCs w:val="24"/>
          <w:lang w:val="ru-RU" w:eastAsia="ru-RU"/>
        </w:rPr>
        <w:t xml:space="preserve"> периваскулярном</w:t>
      </w:r>
      <w:r w:rsidR="006F3AE3">
        <w:rPr>
          <w:rFonts w:ascii="Times New Roman" w:eastAsia="Times New Roman" w:hAnsi="Times New Roman" w:cs="Times New Roman"/>
          <w:sz w:val="28"/>
          <w:szCs w:val="24"/>
          <w:lang w:val="ru-RU" w:eastAsia="ru-RU"/>
        </w:rPr>
        <w:t>у</w:t>
      </w:r>
      <w:r w:rsidRPr="00E43D80">
        <w:rPr>
          <w:rFonts w:ascii="Times New Roman" w:eastAsia="Times New Roman" w:hAnsi="Times New Roman" w:cs="Times New Roman"/>
          <w:sz w:val="28"/>
          <w:szCs w:val="24"/>
          <w:lang w:val="ru-RU" w:eastAsia="ru-RU"/>
        </w:rPr>
        <w:t xml:space="preserve"> просторі 0,193±0,051 ум.од.</w:t>
      </w:r>
    </w:p>
    <w:p w14:paraId="072AF3B2" w14:textId="77777777" w:rsidR="00544810" w:rsidRPr="00577428" w:rsidRDefault="00544810" w:rsidP="00544810">
      <w:pPr>
        <w:spacing w:after="0" w:line="360" w:lineRule="auto"/>
        <w:ind w:firstLine="709"/>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noProof/>
          <w:sz w:val="28"/>
          <w:szCs w:val="24"/>
        </w:rPr>
        <w:drawing>
          <wp:inline distT="0" distB="0" distL="0" distR="0" wp14:anchorId="3F3447FF" wp14:editId="53BAD003">
            <wp:extent cx="4323715" cy="3247390"/>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23715" cy="3247390"/>
                    </a:xfrm>
                    <a:prstGeom prst="rect">
                      <a:avLst/>
                    </a:prstGeom>
                    <a:noFill/>
                  </pic:spPr>
                </pic:pic>
              </a:graphicData>
            </a:graphic>
          </wp:inline>
        </w:drawing>
      </w:r>
    </w:p>
    <w:p w14:paraId="15D3B800" w14:textId="7CC974A4" w:rsidR="00544810" w:rsidRPr="00577428" w:rsidRDefault="00B464E6" w:rsidP="00544810">
      <w:pPr>
        <w:spacing w:after="0" w:line="360" w:lineRule="auto"/>
        <w:jc w:val="both"/>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ru-RU"/>
        </w:rPr>
        <w:t>Рис. 3</w:t>
      </w:r>
      <w:r w:rsidR="00544810">
        <w:rPr>
          <w:rFonts w:ascii="Times New Roman" w:eastAsia="Times New Roman" w:hAnsi="Times New Roman" w:cs="Times New Roman"/>
          <w:sz w:val="28"/>
          <w:szCs w:val="24"/>
          <w:lang w:val="ru-RU" w:eastAsia="ru-RU"/>
        </w:rPr>
        <w:t xml:space="preserve">.2. </w:t>
      </w:r>
      <w:r w:rsidR="00544810" w:rsidRPr="00EF5E70">
        <w:rPr>
          <w:rFonts w:ascii="Times New Roman" w:eastAsia="Times New Roman" w:hAnsi="Times New Roman" w:cs="Times New Roman"/>
          <w:sz w:val="28"/>
          <w:szCs w:val="24"/>
          <w:lang w:val="ru-RU" w:eastAsia="ru-RU"/>
        </w:rPr>
        <w:t>Розподіл ендотеліальної NO-синтази в судинних структурах. Відсутність нак</w:t>
      </w:r>
      <w:r w:rsidR="00544810">
        <w:rPr>
          <w:rFonts w:ascii="Times New Roman" w:eastAsia="Times New Roman" w:hAnsi="Times New Roman" w:cs="Times New Roman"/>
          <w:sz w:val="28"/>
          <w:szCs w:val="24"/>
          <w:lang w:val="ru-RU" w:eastAsia="ru-RU"/>
        </w:rPr>
        <w:t>опичення барвника у позасудинному</w:t>
      </w:r>
      <w:r w:rsidR="00544810" w:rsidRPr="00EF5E70">
        <w:rPr>
          <w:rFonts w:ascii="Times New Roman" w:eastAsia="Times New Roman" w:hAnsi="Times New Roman" w:cs="Times New Roman"/>
          <w:sz w:val="28"/>
          <w:szCs w:val="24"/>
          <w:lang w:val="ru-RU" w:eastAsia="ru-RU"/>
        </w:rPr>
        <w:t xml:space="preserve"> просторі. Пероксидазна реакція з МКА до ендотеліаль</w:t>
      </w:r>
      <w:r w:rsidR="00544810">
        <w:rPr>
          <w:rFonts w:ascii="Times New Roman" w:eastAsia="Times New Roman" w:hAnsi="Times New Roman" w:cs="Times New Roman"/>
          <w:sz w:val="28"/>
          <w:szCs w:val="24"/>
          <w:lang w:val="ru-RU" w:eastAsia="ru-RU"/>
        </w:rPr>
        <w:t>ної NO-синтази. Збільшення х400</w:t>
      </w:r>
    </w:p>
    <w:p w14:paraId="7646A4A6" w14:textId="49FDC1A6" w:rsidR="00544810" w:rsidRDefault="00544810" w:rsidP="0054481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Результати пероксидазної реакції з індуцібельною</w:t>
      </w:r>
      <w:r w:rsidRPr="00FB12C0">
        <w:rPr>
          <w:rFonts w:ascii="Times New Roman" w:hAnsi="Times New Roman" w:cs="Times New Roman"/>
          <w:sz w:val="28"/>
          <w:szCs w:val="28"/>
          <w:lang w:val="ru-RU"/>
        </w:rPr>
        <w:t xml:space="preserve"> фракцією </w:t>
      </w:r>
      <w:r w:rsidRPr="00FB12C0">
        <w:rPr>
          <w:rFonts w:ascii="Times New Roman" w:hAnsi="Times New Roman" w:cs="Times New Roman"/>
          <w:sz w:val="28"/>
          <w:szCs w:val="28"/>
        </w:rPr>
        <w:t>NO</w:t>
      </w:r>
      <w:r w:rsidRPr="00FB12C0">
        <w:rPr>
          <w:rFonts w:ascii="Times New Roman" w:hAnsi="Times New Roman" w:cs="Times New Roman"/>
          <w:sz w:val="28"/>
          <w:szCs w:val="28"/>
          <w:lang w:val="ru-RU"/>
        </w:rPr>
        <w:t xml:space="preserve">-синтази в даній групі (рис. </w:t>
      </w:r>
      <w:r w:rsidR="00B464E6">
        <w:rPr>
          <w:rFonts w:ascii="Times New Roman" w:hAnsi="Times New Roman" w:cs="Times New Roman"/>
          <w:sz w:val="28"/>
          <w:szCs w:val="28"/>
          <w:lang w:val="ru-RU"/>
        </w:rPr>
        <w:t>3</w:t>
      </w:r>
      <w:r>
        <w:rPr>
          <w:rFonts w:ascii="Times New Roman" w:hAnsi="Times New Roman" w:cs="Times New Roman"/>
          <w:sz w:val="28"/>
          <w:szCs w:val="28"/>
          <w:lang w:val="ru-RU"/>
        </w:rPr>
        <w:t>.3</w:t>
      </w:r>
      <w:r w:rsidRPr="00FB12C0">
        <w:rPr>
          <w:rFonts w:ascii="Times New Roman" w:hAnsi="Times New Roman" w:cs="Times New Roman"/>
          <w:sz w:val="28"/>
          <w:szCs w:val="28"/>
          <w:lang w:val="ru-RU"/>
        </w:rPr>
        <w:t>) були практично негативними з незначним рівномірним фарбуванням власної пластинки слизової оболонки.</w:t>
      </w:r>
    </w:p>
    <w:p w14:paraId="0F276D8B" w14:textId="77777777" w:rsidR="00544810" w:rsidRPr="00EE0E06" w:rsidRDefault="00544810" w:rsidP="00544810">
      <w:pPr>
        <w:spacing w:line="360" w:lineRule="auto"/>
        <w:ind w:firstLine="708"/>
        <w:jc w:val="both"/>
        <w:rPr>
          <w:bCs/>
          <w:sz w:val="28"/>
          <w:szCs w:val="28"/>
          <w:lang w:val="ru-RU"/>
        </w:rPr>
      </w:pPr>
    </w:p>
    <w:p w14:paraId="76A21D13" w14:textId="77777777" w:rsidR="00544810" w:rsidRPr="00947EBD" w:rsidRDefault="00544810" w:rsidP="00544810">
      <w:pPr>
        <w:spacing w:line="360" w:lineRule="auto"/>
        <w:jc w:val="center"/>
        <w:rPr>
          <w:bCs/>
          <w:sz w:val="28"/>
          <w:szCs w:val="28"/>
        </w:rPr>
      </w:pPr>
      <w:r w:rsidRPr="00947EBD">
        <w:rPr>
          <w:bCs/>
          <w:noProof/>
          <w:sz w:val="28"/>
          <w:szCs w:val="28"/>
        </w:rPr>
        <w:lastRenderedPageBreak/>
        <w:drawing>
          <wp:inline distT="0" distB="0" distL="0" distR="0" wp14:anchorId="40CADCC7" wp14:editId="4184A864">
            <wp:extent cx="4991100" cy="3600450"/>
            <wp:effectExtent l="0" t="0" r="0" b="0"/>
            <wp:docPr id="28" name="Picture 28" descr="ris5_s_podpisy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is5_s_podpisyami"/>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91100" cy="3600450"/>
                    </a:xfrm>
                    <a:prstGeom prst="rect">
                      <a:avLst/>
                    </a:prstGeom>
                    <a:noFill/>
                    <a:ln>
                      <a:noFill/>
                    </a:ln>
                  </pic:spPr>
                </pic:pic>
              </a:graphicData>
            </a:graphic>
          </wp:inline>
        </w:drawing>
      </w:r>
    </w:p>
    <w:p w14:paraId="444248DB" w14:textId="486F36A5" w:rsidR="00544810" w:rsidRPr="00FB12C0" w:rsidRDefault="00544810" w:rsidP="0054481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Рис</w:t>
      </w:r>
      <w:r w:rsidR="00B464E6">
        <w:rPr>
          <w:rFonts w:ascii="Times New Roman" w:hAnsi="Times New Roman" w:cs="Times New Roman"/>
          <w:sz w:val="28"/>
          <w:szCs w:val="28"/>
        </w:rPr>
        <w:t>. 3</w:t>
      </w:r>
      <w:r w:rsidRPr="00EE0E06">
        <w:rPr>
          <w:rFonts w:ascii="Times New Roman" w:hAnsi="Times New Roman" w:cs="Times New Roman"/>
          <w:sz w:val="28"/>
          <w:szCs w:val="28"/>
        </w:rPr>
        <w:t xml:space="preserve">.3. </w:t>
      </w:r>
      <w:r>
        <w:rPr>
          <w:rFonts w:ascii="Times New Roman" w:hAnsi="Times New Roman" w:cs="Times New Roman"/>
          <w:sz w:val="28"/>
          <w:szCs w:val="28"/>
          <w:lang w:val="ru-RU"/>
        </w:rPr>
        <w:t>Практично</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відсутня</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слідові</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ознаки</w:t>
      </w:r>
      <w:r w:rsidRPr="006F3AE3">
        <w:rPr>
          <w:rFonts w:ascii="Times New Roman" w:hAnsi="Times New Roman" w:cs="Times New Roman"/>
          <w:sz w:val="28"/>
          <w:szCs w:val="28"/>
        </w:rPr>
        <w:t xml:space="preserve">) </w:t>
      </w:r>
      <w:r>
        <w:rPr>
          <w:rFonts w:ascii="Times New Roman" w:hAnsi="Times New Roman" w:cs="Times New Roman"/>
          <w:sz w:val="28"/>
          <w:szCs w:val="28"/>
          <w:lang w:val="ru-RU"/>
        </w:rPr>
        <w:t>активність</w:t>
      </w:r>
      <w:r w:rsidRPr="006F3AE3">
        <w:rPr>
          <w:rFonts w:ascii="Times New Roman" w:hAnsi="Times New Roman" w:cs="Times New Roman"/>
          <w:sz w:val="28"/>
          <w:szCs w:val="28"/>
        </w:rPr>
        <w:t xml:space="preserve"> </w:t>
      </w:r>
      <w:r w:rsidR="006F3AE3">
        <w:rPr>
          <w:rFonts w:ascii="Times New Roman" w:hAnsi="Times New Roman" w:cs="Times New Roman"/>
          <w:sz w:val="28"/>
          <w:szCs w:val="28"/>
          <w:lang w:val="ru-RU"/>
        </w:rPr>
        <w:t>індуцибельної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синтази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оксиду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азоту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у</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всіх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шарах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rPr>
        <w:t>'</w:t>
      </w:r>
      <w:r w:rsidRPr="00FB12C0">
        <w:rPr>
          <w:rFonts w:ascii="Times New Roman" w:hAnsi="Times New Roman" w:cs="Times New Roman"/>
          <w:sz w:val="28"/>
          <w:szCs w:val="28"/>
          <w:lang w:val="ru-RU"/>
        </w:rPr>
        <w:t>яких</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тканин</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слизової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оболонки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ротової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порожнини</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епітелій</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власна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пластинка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слизової</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rPr>
        <w:t>'</w:t>
      </w:r>
      <w:r w:rsidRPr="00FB12C0">
        <w:rPr>
          <w:rFonts w:ascii="Times New Roman" w:hAnsi="Times New Roman" w:cs="Times New Roman"/>
          <w:sz w:val="28"/>
          <w:szCs w:val="28"/>
          <w:lang w:val="ru-RU"/>
        </w:rPr>
        <w:t>язова</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пластинка</w:t>
      </w:r>
      <w:r w:rsidRPr="006F3AE3">
        <w:rPr>
          <w:rFonts w:ascii="Times New Roman" w:hAnsi="Times New Roman" w:cs="Times New Roman"/>
          <w:sz w:val="28"/>
          <w:szCs w:val="28"/>
        </w:rPr>
        <w:t xml:space="preserve"> (</w:t>
      </w:r>
      <w:r w:rsidRPr="00EE0E06">
        <w:rPr>
          <w:rFonts w:ascii="Times New Roman" w:hAnsi="Times New Roman" w:cs="Times New Roman"/>
          <w:sz w:val="28"/>
          <w:szCs w:val="28"/>
        </w:rPr>
        <w:t>a</w:t>
      </w:r>
      <w:r w:rsidRPr="006F3AE3">
        <w:rPr>
          <w:rFonts w:ascii="Times New Roman" w:hAnsi="Times New Roman" w:cs="Times New Roman"/>
          <w:sz w:val="28"/>
          <w:szCs w:val="28"/>
        </w:rPr>
        <w:t xml:space="preserve">). </w:t>
      </w:r>
      <w:r w:rsidRPr="00FB12C0">
        <w:rPr>
          <w:rFonts w:ascii="Times New Roman" w:hAnsi="Times New Roman" w:cs="Times New Roman"/>
          <w:sz w:val="28"/>
          <w:szCs w:val="28"/>
          <w:lang w:val="ru-RU"/>
        </w:rPr>
        <w:t>Слабка</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цитоплазмат</w:t>
      </w:r>
      <w:r w:rsidR="006F3AE3">
        <w:rPr>
          <w:rFonts w:ascii="Times New Roman" w:hAnsi="Times New Roman" w:cs="Times New Roman"/>
          <w:sz w:val="28"/>
          <w:szCs w:val="28"/>
          <w:lang w:val="ru-RU"/>
        </w:rPr>
        <w:t>ична</w:t>
      </w:r>
      <w:r w:rsidRPr="006F3AE3">
        <w:rPr>
          <w:rFonts w:ascii="Times New Roman" w:hAnsi="Times New Roman" w:cs="Times New Roman"/>
          <w:sz w:val="28"/>
          <w:szCs w:val="28"/>
          <w:lang w:val="ru-RU"/>
        </w:rPr>
        <w:t xml:space="preserve"> </w:t>
      </w:r>
      <w:r>
        <w:rPr>
          <w:rFonts w:ascii="Times New Roman" w:hAnsi="Times New Roman" w:cs="Times New Roman"/>
          <w:sz w:val="28"/>
          <w:szCs w:val="28"/>
          <w:lang w:val="ru-RU"/>
        </w:rPr>
        <w:t>активність</w:t>
      </w:r>
      <w:r w:rsidRPr="006F3AE3">
        <w:rPr>
          <w:rFonts w:ascii="Times New Roman" w:hAnsi="Times New Roman" w:cs="Times New Roman"/>
          <w:sz w:val="28"/>
          <w:szCs w:val="28"/>
          <w:lang w:val="ru-RU"/>
        </w:rPr>
        <w:t xml:space="preserve"> </w:t>
      </w:r>
      <w:r w:rsidR="006F3AE3">
        <w:rPr>
          <w:rFonts w:ascii="Times New Roman" w:hAnsi="Times New Roman" w:cs="Times New Roman"/>
          <w:sz w:val="28"/>
          <w:szCs w:val="28"/>
          <w:lang w:val="ru-RU"/>
        </w:rPr>
        <w:t>індуци</w:t>
      </w:r>
      <w:r>
        <w:rPr>
          <w:rFonts w:ascii="Times New Roman" w:hAnsi="Times New Roman" w:cs="Times New Roman"/>
          <w:sz w:val="28"/>
          <w:szCs w:val="28"/>
          <w:lang w:val="ru-RU"/>
        </w:rPr>
        <w:t>бельної</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синтази</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оксиду</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азоту</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в</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міоцитах</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м</w:t>
      </w:r>
      <w:r w:rsidRPr="006F3AE3">
        <w:rPr>
          <w:rFonts w:ascii="Times New Roman" w:hAnsi="Times New Roman" w:cs="Times New Roman"/>
          <w:sz w:val="28"/>
          <w:szCs w:val="28"/>
          <w:lang w:val="ru-RU"/>
        </w:rPr>
        <w:t>'</w:t>
      </w:r>
      <w:r w:rsidRPr="00FB12C0">
        <w:rPr>
          <w:rFonts w:ascii="Times New Roman" w:hAnsi="Times New Roman" w:cs="Times New Roman"/>
          <w:sz w:val="28"/>
          <w:szCs w:val="28"/>
          <w:lang w:val="ru-RU"/>
        </w:rPr>
        <w:t>язової</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пластинки</w:t>
      </w:r>
      <w:r w:rsidRPr="006F3AE3">
        <w:rPr>
          <w:rFonts w:ascii="Times New Roman" w:hAnsi="Times New Roman" w:cs="Times New Roman"/>
          <w:sz w:val="28"/>
          <w:szCs w:val="28"/>
          <w:lang w:val="ru-RU"/>
        </w:rPr>
        <w:t xml:space="preserve"> (</w:t>
      </w:r>
      <w:r w:rsidRPr="006F3AE3">
        <w:rPr>
          <w:rFonts w:ascii="Times New Roman" w:hAnsi="Times New Roman" w:cs="Times New Roman"/>
          <w:sz w:val="28"/>
          <w:szCs w:val="28"/>
        </w:rPr>
        <w:t>b</w:t>
      </w:r>
      <w:r w:rsidRPr="006F3AE3">
        <w:rPr>
          <w:rFonts w:ascii="Times New Roman" w:hAnsi="Times New Roman" w:cs="Times New Roman"/>
          <w:sz w:val="28"/>
          <w:szCs w:val="28"/>
          <w:lang w:val="ru-RU"/>
        </w:rPr>
        <w:t xml:space="preserve">). </w:t>
      </w:r>
      <w:r w:rsidRPr="00FB12C0">
        <w:rPr>
          <w:rFonts w:ascii="Times New Roman" w:hAnsi="Times New Roman" w:cs="Times New Roman"/>
          <w:sz w:val="28"/>
          <w:szCs w:val="28"/>
          <w:lang w:val="ru-RU"/>
        </w:rPr>
        <w:t>Пероксидазна реакція з МКА до індуцібе</w:t>
      </w:r>
      <w:r>
        <w:rPr>
          <w:rFonts w:ascii="Times New Roman" w:hAnsi="Times New Roman" w:cs="Times New Roman"/>
          <w:sz w:val="28"/>
          <w:szCs w:val="28"/>
          <w:lang w:val="ru-RU"/>
        </w:rPr>
        <w:t>льної</w:t>
      </w:r>
      <w:r w:rsidRPr="00FB12C0">
        <w:rPr>
          <w:rFonts w:ascii="Times New Roman" w:hAnsi="Times New Roman" w:cs="Times New Roman"/>
          <w:sz w:val="28"/>
          <w:szCs w:val="28"/>
          <w:lang w:val="ru-RU"/>
        </w:rPr>
        <w:t xml:space="preserve"> NO-синтази. Збільшення: a x100; b х400</w:t>
      </w:r>
    </w:p>
    <w:p w14:paraId="3DF1C337" w14:textId="08E577C6" w:rsidR="00544810" w:rsidRPr="00FB12C0" w:rsidRDefault="00544810" w:rsidP="00A448F8">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Відзнач</w:t>
      </w:r>
      <w:r>
        <w:rPr>
          <w:rFonts w:ascii="Times New Roman" w:hAnsi="Times New Roman" w:cs="Times New Roman"/>
          <w:sz w:val="28"/>
          <w:szCs w:val="28"/>
          <w:lang w:val="uk-UA"/>
        </w:rPr>
        <w:t>ається слабка цитоплазмати</w:t>
      </w:r>
      <w:r w:rsidR="006E281B">
        <w:rPr>
          <w:rFonts w:ascii="Times New Roman" w:hAnsi="Times New Roman" w:cs="Times New Roman"/>
          <w:sz w:val="28"/>
          <w:szCs w:val="28"/>
          <w:lang w:val="uk-UA"/>
        </w:rPr>
        <w:t>чна активність індуци</w:t>
      </w:r>
      <w:r>
        <w:rPr>
          <w:rFonts w:ascii="Times New Roman" w:hAnsi="Times New Roman" w:cs="Times New Roman"/>
          <w:sz w:val="28"/>
          <w:szCs w:val="28"/>
          <w:lang w:val="uk-UA"/>
        </w:rPr>
        <w:t>бельної</w:t>
      </w:r>
      <w:r w:rsidRPr="00FB12C0">
        <w:rPr>
          <w:rFonts w:ascii="Times New Roman" w:hAnsi="Times New Roman" w:cs="Times New Roman"/>
          <w:sz w:val="28"/>
          <w:szCs w:val="28"/>
          <w:lang w:val="uk-UA"/>
        </w:rPr>
        <w:t xml:space="preserve"> синтази оксиду азоту в міоцитах м'язової пластинки (рис. </w:t>
      </w:r>
      <w:r w:rsidR="00B464E6">
        <w:rPr>
          <w:rFonts w:ascii="Times New Roman" w:hAnsi="Times New Roman" w:cs="Times New Roman"/>
          <w:sz w:val="28"/>
          <w:szCs w:val="28"/>
          <w:lang w:val="uk-UA"/>
        </w:rPr>
        <w:t>3</w:t>
      </w:r>
      <w:r w:rsidR="006F3AE3">
        <w:rPr>
          <w:rFonts w:ascii="Times New Roman" w:hAnsi="Times New Roman" w:cs="Times New Roman"/>
          <w:sz w:val="28"/>
          <w:szCs w:val="28"/>
          <w:lang w:val="uk-UA"/>
        </w:rPr>
        <w:t>.3). Цитофотометри</w:t>
      </w:r>
      <w:r>
        <w:rPr>
          <w:rFonts w:ascii="Times New Roman" w:hAnsi="Times New Roman" w:cs="Times New Roman"/>
          <w:sz w:val="28"/>
          <w:szCs w:val="28"/>
          <w:lang w:val="uk-UA"/>
        </w:rPr>
        <w:t>чне</w:t>
      </w:r>
      <w:r w:rsidRPr="00FB12C0">
        <w:rPr>
          <w:rFonts w:ascii="Times New Roman" w:hAnsi="Times New Roman" w:cs="Times New Roman"/>
          <w:sz w:val="28"/>
          <w:szCs w:val="28"/>
          <w:lang w:val="uk-UA"/>
        </w:rPr>
        <w:t xml:space="preserve"> дослідження показує інтенсивність реакції на iNOs</w:t>
      </w:r>
      <w:r w:rsidR="006F3AE3">
        <w:rPr>
          <w:rFonts w:ascii="Times New Roman" w:hAnsi="Times New Roman" w:cs="Times New Roman"/>
          <w:sz w:val="28"/>
          <w:szCs w:val="28"/>
          <w:lang w:val="uk-UA"/>
        </w:rPr>
        <w:t>, яка</w:t>
      </w:r>
      <w:r>
        <w:rPr>
          <w:rFonts w:ascii="Times New Roman" w:hAnsi="Times New Roman" w:cs="Times New Roman"/>
          <w:sz w:val="28"/>
          <w:szCs w:val="28"/>
          <w:lang w:val="uk-UA"/>
        </w:rPr>
        <w:t xml:space="preserve"> дорівнює</w:t>
      </w:r>
      <w:r w:rsidRPr="00FB12C0">
        <w:rPr>
          <w:rFonts w:ascii="Times New Roman" w:hAnsi="Times New Roman" w:cs="Times New Roman"/>
          <w:sz w:val="28"/>
          <w:szCs w:val="28"/>
          <w:lang w:val="uk-UA"/>
        </w:rPr>
        <w:t xml:space="preserve"> </w:t>
      </w:r>
      <w:r>
        <w:rPr>
          <w:rFonts w:ascii="Times New Roman" w:hAnsi="Times New Roman" w:cs="Times New Roman"/>
          <w:sz w:val="28"/>
          <w:szCs w:val="28"/>
          <w:lang w:val="uk-UA"/>
        </w:rPr>
        <w:t>0,241±0,052 ум.о</w:t>
      </w:r>
      <w:r w:rsidRPr="00FB12C0">
        <w:rPr>
          <w:rFonts w:ascii="Times New Roman" w:hAnsi="Times New Roman" w:cs="Times New Roman"/>
          <w:sz w:val="28"/>
          <w:szCs w:val="28"/>
          <w:lang w:val="uk-UA"/>
        </w:rPr>
        <w:t>д.</w:t>
      </w:r>
    </w:p>
    <w:p w14:paraId="00468101" w14:textId="2BCFB006" w:rsidR="000C5476" w:rsidRDefault="00544810" w:rsidP="000C5476">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 xml:space="preserve">Слід зазначити, що колаген IV типу при його </w:t>
      </w:r>
      <w:r>
        <w:rPr>
          <w:rFonts w:ascii="Times New Roman" w:hAnsi="Times New Roman" w:cs="Times New Roman"/>
          <w:sz w:val="28"/>
          <w:szCs w:val="28"/>
          <w:lang w:val="uk-UA"/>
        </w:rPr>
        <w:t>імуногістохімічному типуванні</w:t>
      </w:r>
      <w:r w:rsidRPr="00FB12C0">
        <w:rPr>
          <w:rFonts w:ascii="Times New Roman" w:hAnsi="Times New Roman" w:cs="Times New Roman"/>
          <w:sz w:val="28"/>
          <w:szCs w:val="28"/>
          <w:lang w:val="uk-UA"/>
        </w:rPr>
        <w:t xml:space="preserve"> виявляється у вигляді лінійних структур</w:t>
      </w:r>
      <w:r>
        <w:rPr>
          <w:rFonts w:ascii="Times New Roman" w:hAnsi="Times New Roman" w:cs="Times New Roman"/>
          <w:sz w:val="28"/>
          <w:szCs w:val="28"/>
          <w:lang w:val="uk-UA"/>
        </w:rPr>
        <w:t>,</w:t>
      </w:r>
      <w:r w:rsidRPr="00FB12C0">
        <w:rPr>
          <w:rFonts w:ascii="Times New Roman" w:hAnsi="Times New Roman" w:cs="Times New Roman"/>
          <w:sz w:val="28"/>
          <w:szCs w:val="28"/>
          <w:lang w:val="uk-UA"/>
        </w:rPr>
        <w:t xml:space="preserve"> повторюючи контури судин мікроциркуляторного русла.</w:t>
      </w:r>
    </w:p>
    <w:p w14:paraId="2D767D94" w14:textId="00494106" w:rsidR="00544810" w:rsidRPr="000C5476" w:rsidRDefault="00544810" w:rsidP="00A448F8">
      <w:pPr>
        <w:spacing w:after="0" w:line="360" w:lineRule="auto"/>
        <w:ind w:firstLine="709"/>
        <w:jc w:val="both"/>
        <w:rPr>
          <w:rFonts w:ascii="Times New Roman" w:hAnsi="Times New Roman" w:cs="Times New Roman"/>
          <w:sz w:val="28"/>
          <w:szCs w:val="28"/>
          <w:lang w:val="uk-UA"/>
        </w:rPr>
      </w:pPr>
      <w:r w:rsidRPr="000C5476">
        <w:rPr>
          <w:rFonts w:ascii="Times New Roman" w:hAnsi="Times New Roman" w:cs="Times New Roman"/>
          <w:sz w:val="28"/>
          <w:szCs w:val="28"/>
          <w:lang w:val="uk-UA"/>
        </w:rPr>
        <w:t>Морфологічне дослідження тканин ротової порожнини після моделювання атопічного стану</w:t>
      </w:r>
      <w:r w:rsidR="000C5476" w:rsidRPr="000C5476">
        <w:rPr>
          <w:rFonts w:ascii="Times New Roman" w:hAnsi="Times New Roman" w:cs="Times New Roman"/>
          <w:sz w:val="28"/>
          <w:szCs w:val="28"/>
          <w:lang w:val="uk-UA"/>
        </w:rPr>
        <w:t xml:space="preserve"> виявив певні відмінності.</w:t>
      </w:r>
    </w:p>
    <w:p w14:paraId="35BC60DF" w14:textId="15502A85" w:rsidR="00544810" w:rsidRDefault="00544810" w:rsidP="00A448F8">
      <w:pPr>
        <w:spacing w:after="0"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При огляді слизової оболонки ротової порожнини групи тварин, у яких проводилося моделювання атопічного стану</w:t>
      </w:r>
      <w:r w:rsidR="000C5476">
        <w:rPr>
          <w:rFonts w:ascii="Times New Roman" w:hAnsi="Times New Roman" w:cs="Times New Roman"/>
          <w:sz w:val="28"/>
          <w:szCs w:val="28"/>
          <w:lang w:val="uk-UA"/>
        </w:rPr>
        <w:t>,</w:t>
      </w:r>
      <w:r w:rsidRPr="00FB12C0">
        <w:rPr>
          <w:rFonts w:ascii="Times New Roman" w:hAnsi="Times New Roman" w:cs="Times New Roman"/>
          <w:sz w:val="28"/>
          <w:szCs w:val="28"/>
          <w:lang w:val="uk-UA"/>
        </w:rPr>
        <w:t xml:space="preserve"> відзначається помірно виражена </w:t>
      </w:r>
      <w:r w:rsidRPr="00FB12C0">
        <w:rPr>
          <w:rFonts w:ascii="Times New Roman" w:hAnsi="Times New Roman" w:cs="Times New Roman"/>
          <w:sz w:val="28"/>
          <w:szCs w:val="28"/>
          <w:lang w:val="uk-UA"/>
        </w:rPr>
        <w:lastRenderedPageBreak/>
        <w:t xml:space="preserve">набряклість слизової, повнокров'я судин слизової з периваскулярними крововиливами, наявність ерозійних і навіть одиничних </w:t>
      </w:r>
      <w:r w:rsidR="00B464E6">
        <w:rPr>
          <w:rFonts w:ascii="Times New Roman" w:hAnsi="Times New Roman" w:cs="Times New Roman"/>
          <w:sz w:val="28"/>
          <w:szCs w:val="28"/>
          <w:lang w:val="uk-UA"/>
        </w:rPr>
        <w:t>виразкових дефектів (рис. 3</w:t>
      </w:r>
      <w:r>
        <w:rPr>
          <w:rFonts w:ascii="Times New Roman" w:hAnsi="Times New Roman" w:cs="Times New Roman"/>
          <w:sz w:val="28"/>
          <w:szCs w:val="28"/>
          <w:lang w:val="uk-UA"/>
        </w:rPr>
        <w:t>.4</w:t>
      </w:r>
      <w:r w:rsidRPr="00FB12C0">
        <w:rPr>
          <w:rFonts w:ascii="Times New Roman" w:hAnsi="Times New Roman" w:cs="Times New Roman"/>
          <w:sz w:val="28"/>
          <w:szCs w:val="28"/>
          <w:lang w:val="uk-UA"/>
        </w:rPr>
        <w:t>).</w:t>
      </w:r>
    </w:p>
    <w:p w14:paraId="16DD1724" w14:textId="77777777" w:rsidR="00544810" w:rsidRPr="00EE0E06" w:rsidRDefault="00544810" w:rsidP="00544810">
      <w:pPr>
        <w:spacing w:line="360" w:lineRule="auto"/>
        <w:ind w:firstLine="567"/>
        <w:jc w:val="both"/>
        <w:rPr>
          <w:sz w:val="28"/>
          <w:lang w:val="uk-UA"/>
        </w:rPr>
      </w:pPr>
    </w:p>
    <w:p w14:paraId="3ACD8889" w14:textId="77777777" w:rsidR="00544810" w:rsidRPr="00947EBD" w:rsidRDefault="00544810" w:rsidP="00544810">
      <w:pPr>
        <w:spacing w:line="360" w:lineRule="auto"/>
        <w:jc w:val="center"/>
        <w:rPr>
          <w:color w:val="800000"/>
          <w:sz w:val="28"/>
        </w:rPr>
      </w:pPr>
      <w:r w:rsidRPr="00947EBD">
        <w:rPr>
          <w:noProof/>
          <w:color w:val="800000"/>
          <w:sz w:val="28"/>
        </w:rPr>
        <w:drawing>
          <wp:inline distT="0" distB="0" distL="0" distR="0" wp14:anchorId="193CE5F6" wp14:editId="504EDBD8">
            <wp:extent cx="5419725" cy="3238500"/>
            <wp:effectExtent l="0" t="0" r="9525" b="0"/>
            <wp:docPr id="29" name="Picture 29" desc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i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19725" cy="3238500"/>
                    </a:xfrm>
                    <a:prstGeom prst="rect">
                      <a:avLst/>
                    </a:prstGeom>
                    <a:noFill/>
                    <a:ln>
                      <a:noFill/>
                    </a:ln>
                  </pic:spPr>
                </pic:pic>
              </a:graphicData>
            </a:graphic>
          </wp:inline>
        </w:drawing>
      </w:r>
    </w:p>
    <w:p w14:paraId="79FBBC0B" w14:textId="3F7BF1A8" w:rsidR="00544810" w:rsidRDefault="00B464E6"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FB12C0">
        <w:rPr>
          <w:rFonts w:ascii="Times New Roman" w:hAnsi="Times New Roman" w:cs="Times New Roman"/>
          <w:sz w:val="28"/>
          <w:szCs w:val="28"/>
          <w:lang w:val="uk-UA"/>
        </w:rPr>
        <w:t>.</w:t>
      </w:r>
      <w:r w:rsidR="00544810">
        <w:rPr>
          <w:rFonts w:ascii="Times New Roman" w:hAnsi="Times New Roman" w:cs="Times New Roman"/>
          <w:sz w:val="28"/>
          <w:szCs w:val="28"/>
          <w:lang w:val="uk-UA"/>
        </w:rPr>
        <w:t>4.</w:t>
      </w:r>
      <w:r w:rsidR="00544810" w:rsidRPr="00FB12C0">
        <w:rPr>
          <w:rFonts w:ascii="Times New Roman" w:hAnsi="Times New Roman" w:cs="Times New Roman"/>
          <w:sz w:val="28"/>
          <w:szCs w:val="28"/>
          <w:lang w:val="uk-UA"/>
        </w:rPr>
        <w:t xml:space="preserve"> Помірно виражена набряклість, наявність крововиливів навколо повнокровних судин у тварин</w:t>
      </w:r>
      <w:r w:rsidR="000C5476">
        <w:rPr>
          <w:rFonts w:ascii="Times New Roman" w:hAnsi="Times New Roman" w:cs="Times New Roman"/>
          <w:sz w:val="28"/>
          <w:szCs w:val="28"/>
          <w:lang w:val="uk-UA"/>
        </w:rPr>
        <w:t xml:space="preserve"> з модельованою атопією</w:t>
      </w:r>
      <w:r w:rsidR="00544810" w:rsidRPr="00FB12C0">
        <w:rPr>
          <w:rFonts w:ascii="Times New Roman" w:hAnsi="Times New Roman" w:cs="Times New Roman"/>
          <w:sz w:val="28"/>
          <w:szCs w:val="28"/>
          <w:lang w:val="uk-UA"/>
        </w:rPr>
        <w:t xml:space="preserve"> в результаті моделювання атопічних процесів.</w:t>
      </w:r>
    </w:p>
    <w:p w14:paraId="4969EEC0" w14:textId="50B3415F" w:rsidR="00544810" w:rsidRDefault="00544810"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мікроскопічному дослідженні</w:t>
      </w:r>
      <w:r w:rsidRPr="00FB12C0">
        <w:rPr>
          <w:rFonts w:ascii="Times New Roman" w:hAnsi="Times New Roman" w:cs="Times New Roman"/>
          <w:sz w:val="28"/>
          <w:szCs w:val="28"/>
          <w:lang w:val="uk-UA"/>
        </w:rPr>
        <w:t xml:space="preserve"> гістологічних препаратів забарвлених гематоксиліном і еозином, встановлено, що в результаті п</w:t>
      </w:r>
      <w:r>
        <w:rPr>
          <w:rFonts w:ascii="Times New Roman" w:hAnsi="Times New Roman" w:cs="Times New Roman"/>
          <w:sz w:val="28"/>
          <w:szCs w:val="28"/>
          <w:lang w:val="uk-UA"/>
        </w:rPr>
        <w:t>роведених маніпуляцій в слизовій оболонці</w:t>
      </w:r>
      <w:r w:rsidRPr="00FB12C0">
        <w:rPr>
          <w:rFonts w:ascii="Times New Roman" w:hAnsi="Times New Roman" w:cs="Times New Roman"/>
          <w:sz w:val="28"/>
          <w:szCs w:val="28"/>
          <w:lang w:val="uk-UA"/>
        </w:rPr>
        <w:t xml:space="preserve"> ротової порожнини сформований комплекс патологічних змін. В епітелії відзначається нерівномірність товщини плоскоклітинного </w:t>
      </w:r>
      <w:r>
        <w:rPr>
          <w:rFonts w:ascii="Times New Roman" w:hAnsi="Times New Roman" w:cs="Times New Roman"/>
          <w:sz w:val="28"/>
          <w:szCs w:val="28"/>
          <w:lang w:val="uk-UA"/>
        </w:rPr>
        <w:t>шару</w:t>
      </w:r>
      <w:r w:rsidRPr="00FB12C0">
        <w:rPr>
          <w:rFonts w:ascii="Times New Roman" w:hAnsi="Times New Roman" w:cs="Times New Roman"/>
          <w:sz w:val="28"/>
          <w:szCs w:val="28"/>
          <w:lang w:val="uk-UA"/>
        </w:rPr>
        <w:t xml:space="preserve"> з наявністю інтраепітеліальних лімфоцитів, еозинофілів, вогнищ</w:t>
      </w:r>
      <w:r>
        <w:rPr>
          <w:rFonts w:ascii="Times New Roman" w:hAnsi="Times New Roman" w:cs="Times New Roman"/>
          <w:sz w:val="28"/>
          <w:szCs w:val="28"/>
          <w:lang w:val="uk-UA"/>
        </w:rPr>
        <w:t>евих ерозивних ушкоджень (рис. 3.5</w:t>
      </w:r>
      <w:r w:rsidRPr="00FB12C0">
        <w:rPr>
          <w:rFonts w:ascii="Times New Roman" w:hAnsi="Times New Roman" w:cs="Times New Roman"/>
          <w:sz w:val="28"/>
          <w:szCs w:val="28"/>
          <w:lang w:val="uk-UA"/>
        </w:rPr>
        <w:t xml:space="preserve">), чергуванням ділянок атрофії, некрозу, проліферації. </w:t>
      </w:r>
    </w:p>
    <w:p w14:paraId="7FF92638" w14:textId="77777777" w:rsidR="00544810" w:rsidRPr="001929C6" w:rsidRDefault="00544810" w:rsidP="00544810">
      <w:pPr>
        <w:spacing w:line="360" w:lineRule="auto"/>
        <w:ind w:firstLine="567"/>
        <w:jc w:val="both"/>
        <w:rPr>
          <w:sz w:val="28"/>
          <w:szCs w:val="28"/>
          <w:lang w:val="uk-UA"/>
        </w:rPr>
      </w:pPr>
    </w:p>
    <w:p w14:paraId="143C36D2" w14:textId="6630A3FF" w:rsidR="00544810" w:rsidRDefault="006E281B" w:rsidP="00544810">
      <w:pPr>
        <w:spacing w:line="360" w:lineRule="auto"/>
        <w:ind w:firstLine="709"/>
        <w:jc w:val="both"/>
        <w:rPr>
          <w:rFonts w:ascii="Times New Roman" w:hAnsi="Times New Roman" w:cs="Times New Roman"/>
          <w:sz w:val="28"/>
          <w:szCs w:val="28"/>
          <w:lang w:val="uk-UA"/>
        </w:rPr>
      </w:pPr>
      <w:r>
        <w:rPr>
          <w:noProof/>
          <w:sz w:val="28"/>
          <w:szCs w:val="28"/>
          <w:lang w:val="uk-UA"/>
        </w:rPr>
        <w:lastRenderedPageBreak/>
        <w:t>/</w:t>
      </w:r>
      <w:r w:rsidR="00544810" w:rsidRPr="00947EBD">
        <w:rPr>
          <w:noProof/>
          <w:sz w:val="28"/>
          <w:szCs w:val="28"/>
        </w:rPr>
        <w:drawing>
          <wp:inline distT="0" distB="0" distL="0" distR="0" wp14:anchorId="7C54C043" wp14:editId="2A2AEC87">
            <wp:extent cx="4772025" cy="3573763"/>
            <wp:effectExtent l="0" t="0" r="0" b="8255"/>
            <wp:docPr id="30" name="Picture 30"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is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79382" cy="3579273"/>
                    </a:xfrm>
                    <a:prstGeom prst="rect">
                      <a:avLst/>
                    </a:prstGeom>
                    <a:noFill/>
                    <a:ln>
                      <a:noFill/>
                    </a:ln>
                  </pic:spPr>
                </pic:pic>
              </a:graphicData>
            </a:graphic>
          </wp:inline>
        </w:drawing>
      </w:r>
    </w:p>
    <w:p w14:paraId="650FCF28" w14:textId="7236450B" w:rsidR="00544810" w:rsidRDefault="00B464E6" w:rsidP="005448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2816C1">
        <w:rPr>
          <w:rFonts w:ascii="Times New Roman" w:hAnsi="Times New Roman" w:cs="Times New Roman"/>
          <w:sz w:val="28"/>
          <w:szCs w:val="28"/>
          <w:lang w:val="uk-UA"/>
        </w:rPr>
        <w:t>.</w:t>
      </w:r>
      <w:r w:rsidR="00544810">
        <w:rPr>
          <w:rFonts w:ascii="Times New Roman" w:hAnsi="Times New Roman" w:cs="Times New Roman"/>
          <w:sz w:val="28"/>
          <w:szCs w:val="28"/>
          <w:lang w:val="uk-UA"/>
        </w:rPr>
        <w:t>5.</w:t>
      </w:r>
      <w:r w:rsidR="00544810" w:rsidRPr="002816C1">
        <w:rPr>
          <w:rFonts w:ascii="Times New Roman" w:hAnsi="Times New Roman" w:cs="Times New Roman"/>
          <w:sz w:val="28"/>
          <w:szCs w:val="28"/>
          <w:lang w:val="uk-UA"/>
        </w:rPr>
        <w:t xml:space="preserve"> Нерівномірність товщини плоскоклітинного епітелію з наявністю інтраепітеліальних лімфоцитів, еозинофілів, проліферацією клітин базального шару. Наявність у власній пластинці слизової </w:t>
      </w:r>
      <w:r w:rsidR="00544810">
        <w:rPr>
          <w:rFonts w:ascii="Times New Roman" w:hAnsi="Times New Roman" w:cs="Times New Roman"/>
          <w:sz w:val="28"/>
          <w:szCs w:val="28"/>
          <w:lang w:val="uk-UA"/>
        </w:rPr>
        <w:t xml:space="preserve">оболонки </w:t>
      </w:r>
      <w:r w:rsidR="00544810" w:rsidRPr="002816C1">
        <w:rPr>
          <w:rFonts w:ascii="Times New Roman" w:hAnsi="Times New Roman" w:cs="Times New Roman"/>
          <w:sz w:val="28"/>
          <w:szCs w:val="28"/>
          <w:lang w:val="uk-UA"/>
        </w:rPr>
        <w:t>периваскулярних запальних інфільтратів з дифузним розподілом еозинофілів, набухання і розволокнення сполучнотканинної основи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2816C1">
        <w:rPr>
          <w:rFonts w:ascii="Times New Roman" w:hAnsi="Times New Roman" w:cs="Times New Roman"/>
          <w:sz w:val="28"/>
          <w:szCs w:val="28"/>
          <w:lang w:val="uk-UA"/>
        </w:rPr>
        <w:t>. Забарвлення гематоксиліном і еозином. Збільшення х400.</w:t>
      </w:r>
    </w:p>
    <w:p w14:paraId="2A8B2C91" w14:textId="45652694" w:rsidR="00544810" w:rsidRPr="00EF697D" w:rsidRDefault="00EF697D" w:rsidP="00EF697D">
      <w:pPr>
        <w:spacing w:line="360" w:lineRule="auto"/>
        <w:ind w:firstLine="709"/>
        <w:jc w:val="both"/>
        <w:rPr>
          <w:rFonts w:ascii="Times New Roman" w:hAnsi="Times New Roman" w:cs="Times New Roman"/>
          <w:sz w:val="28"/>
          <w:szCs w:val="28"/>
          <w:lang w:val="uk-UA"/>
        </w:rPr>
      </w:pPr>
      <w:r w:rsidRPr="00FB12C0">
        <w:rPr>
          <w:rFonts w:ascii="Times New Roman" w:hAnsi="Times New Roman" w:cs="Times New Roman"/>
          <w:sz w:val="28"/>
          <w:szCs w:val="28"/>
          <w:lang w:val="uk-UA"/>
        </w:rPr>
        <w:t xml:space="preserve">Товщина плоскоклітинного епітелію неоднорідна, спостерігаються як ділянки його </w:t>
      </w:r>
      <w:r>
        <w:rPr>
          <w:rFonts w:ascii="Times New Roman" w:hAnsi="Times New Roman" w:cs="Times New Roman"/>
          <w:sz w:val="28"/>
          <w:szCs w:val="28"/>
          <w:lang w:val="uk-UA"/>
        </w:rPr>
        <w:t>потоншення</w:t>
      </w:r>
      <w:r w:rsidRPr="00FB12C0">
        <w:rPr>
          <w:rFonts w:ascii="Times New Roman" w:hAnsi="Times New Roman" w:cs="Times New Roman"/>
          <w:sz w:val="28"/>
          <w:szCs w:val="28"/>
          <w:lang w:val="uk-UA"/>
        </w:rPr>
        <w:t xml:space="preserve"> до одного-двох рядів клітин, так і н</w:t>
      </w:r>
      <w:r>
        <w:rPr>
          <w:rFonts w:ascii="Times New Roman" w:hAnsi="Times New Roman" w:cs="Times New Roman"/>
          <w:sz w:val="28"/>
          <w:szCs w:val="28"/>
          <w:lang w:val="uk-UA"/>
        </w:rPr>
        <w:t>ерівномірного потовщення (рис. 3.6</w:t>
      </w:r>
      <w:r w:rsidRPr="00FB12C0">
        <w:rPr>
          <w:rFonts w:ascii="Times New Roman" w:hAnsi="Times New Roman" w:cs="Times New Roman"/>
          <w:sz w:val="28"/>
          <w:szCs w:val="28"/>
          <w:lang w:val="uk-UA"/>
        </w:rPr>
        <w:t>).</w:t>
      </w:r>
    </w:p>
    <w:p w14:paraId="383973E5" w14:textId="77777777" w:rsidR="00544810" w:rsidRPr="00100EEB" w:rsidRDefault="00544810" w:rsidP="00544810">
      <w:pPr>
        <w:spacing w:line="360" w:lineRule="auto"/>
        <w:jc w:val="center"/>
      </w:pPr>
      <w:r w:rsidRPr="00ED2C39">
        <w:rPr>
          <w:noProof/>
        </w:rPr>
        <w:lastRenderedPageBreak/>
        <w:drawing>
          <wp:inline distT="0" distB="0" distL="0" distR="0" wp14:anchorId="4CA07B2E" wp14:editId="43A26515">
            <wp:extent cx="4324350" cy="3238500"/>
            <wp:effectExtent l="0" t="0" r="0" b="0"/>
            <wp:docPr id="31" name="Picture 31"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is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0F1FDB08" w14:textId="52B7E6CC"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1929C6">
        <w:rPr>
          <w:rFonts w:ascii="Times New Roman" w:hAnsi="Times New Roman" w:cs="Times New Roman"/>
          <w:sz w:val="28"/>
          <w:szCs w:val="28"/>
          <w:lang w:val="uk-UA"/>
        </w:rPr>
        <w:t>.</w:t>
      </w:r>
      <w:r w:rsidR="00544810">
        <w:rPr>
          <w:rFonts w:ascii="Times New Roman" w:hAnsi="Times New Roman" w:cs="Times New Roman"/>
          <w:sz w:val="28"/>
          <w:szCs w:val="28"/>
          <w:lang w:val="uk-UA"/>
        </w:rPr>
        <w:t>6. Нерівномірна товщина</w:t>
      </w:r>
      <w:r w:rsidR="00544810" w:rsidRPr="001929C6">
        <w:rPr>
          <w:rFonts w:ascii="Times New Roman" w:hAnsi="Times New Roman" w:cs="Times New Roman"/>
          <w:sz w:val="28"/>
          <w:szCs w:val="28"/>
          <w:lang w:val="uk-UA"/>
        </w:rPr>
        <w:t xml:space="preserve"> плоскоклітинного епітелію з наявністю інтраепітеліальних лімфоцитів, еозинофілів (вказані стрілками), проліферацією клітин базального шару. Наявність у власній пластинці слизової</w:t>
      </w:r>
      <w:r w:rsidR="00544810">
        <w:rPr>
          <w:rFonts w:ascii="Times New Roman" w:hAnsi="Times New Roman" w:cs="Times New Roman"/>
          <w:sz w:val="28"/>
          <w:szCs w:val="28"/>
          <w:lang w:val="uk-UA"/>
        </w:rPr>
        <w:t xml:space="preserve"> оболонки ясен</w:t>
      </w:r>
      <w:r w:rsidR="00544810" w:rsidRPr="001929C6">
        <w:rPr>
          <w:rFonts w:ascii="Times New Roman" w:hAnsi="Times New Roman" w:cs="Times New Roman"/>
          <w:sz w:val="28"/>
          <w:szCs w:val="28"/>
          <w:lang w:val="uk-UA"/>
        </w:rPr>
        <w:t xml:space="preserve"> периваскулярних запальних інфільтратів з дифузним розподілом еозинофілів, набухання волокон сполучної тканини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1929C6">
        <w:rPr>
          <w:rFonts w:ascii="Times New Roman" w:hAnsi="Times New Roman" w:cs="Times New Roman"/>
          <w:sz w:val="28"/>
          <w:szCs w:val="28"/>
          <w:lang w:val="uk-UA"/>
        </w:rPr>
        <w:t>. Забарвлення гематоксиліном і еозином. Збільшення х400.</w:t>
      </w:r>
    </w:p>
    <w:p w14:paraId="54227648" w14:textId="3DF60A21" w:rsidR="00544810" w:rsidRPr="001929C6" w:rsidRDefault="00544810" w:rsidP="00A448F8">
      <w:pPr>
        <w:spacing w:after="0" w:line="360" w:lineRule="auto"/>
        <w:ind w:firstLine="709"/>
        <w:jc w:val="both"/>
        <w:rPr>
          <w:rFonts w:ascii="Times New Roman" w:hAnsi="Times New Roman" w:cs="Times New Roman"/>
          <w:sz w:val="28"/>
          <w:szCs w:val="28"/>
          <w:lang w:val="uk-UA"/>
        </w:rPr>
      </w:pPr>
      <w:r w:rsidRPr="001929C6">
        <w:rPr>
          <w:rFonts w:ascii="Times New Roman" w:hAnsi="Times New Roman" w:cs="Times New Roman"/>
          <w:sz w:val="28"/>
          <w:szCs w:val="28"/>
          <w:lang w:val="uk-UA"/>
        </w:rPr>
        <w:t>Описані процеси призводять до збільшення висоти сполучнотканинних сосочків, початку розви</w:t>
      </w:r>
      <w:r>
        <w:rPr>
          <w:rFonts w:ascii="Times New Roman" w:hAnsi="Times New Roman" w:cs="Times New Roman"/>
          <w:sz w:val="28"/>
          <w:szCs w:val="28"/>
          <w:lang w:val="uk-UA"/>
        </w:rPr>
        <w:t>т</w:t>
      </w:r>
      <w:r w:rsidR="00B464E6">
        <w:rPr>
          <w:rFonts w:ascii="Times New Roman" w:hAnsi="Times New Roman" w:cs="Times New Roman"/>
          <w:sz w:val="28"/>
          <w:szCs w:val="28"/>
          <w:lang w:val="uk-UA"/>
        </w:rPr>
        <w:t>ку акантотичного процесу (рис. 3</w:t>
      </w:r>
      <w:r>
        <w:rPr>
          <w:rFonts w:ascii="Times New Roman" w:hAnsi="Times New Roman" w:cs="Times New Roman"/>
          <w:sz w:val="28"/>
          <w:szCs w:val="28"/>
          <w:lang w:val="uk-UA"/>
        </w:rPr>
        <w:t>.6</w:t>
      </w:r>
      <w:r w:rsidRPr="001929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29C6">
        <w:rPr>
          <w:rFonts w:ascii="Times New Roman" w:hAnsi="Times New Roman" w:cs="Times New Roman"/>
          <w:sz w:val="28"/>
          <w:szCs w:val="28"/>
          <w:lang w:val="uk-UA"/>
        </w:rPr>
        <w:t>Серед д</w:t>
      </w:r>
      <w:r>
        <w:rPr>
          <w:rFonts w:ascii="Times New Roman" w:hAnsi="Times New Roman" w:cs="Times New Roman"/>
          <w:sz w:val="28"/>
          <w:szCs w:val="28"/>
          <w:lang w:val="uk-UA"/>
        </w:rPr>
        <w:t>ілянок з описаними дистрофічно-запальними змінами</w:t>
      </w:r>
      <w:r w:rsidRPr="001929C6">
        <w:rPr>
          <w:rFonts w:ascii="Times New Roman" w:hAnsi="Times New Roman" w:cs="Times New Roman"/>
          <w:sz w:val="28"/>
          <w:szCs w:val="28"/>
          <w:lang w:val="uk-UA"/>
        </w:rPr>
        <w:t xml:space="preserve"> слизової зустрічаються клітини в стані апоптозу (зморщування клітин і фрагментація з формуванням апоптотичних тілець з ущільненим хроматином) - до 4 клітин в полі зору (в групі інтактних тварин апоптотичні процеси практично були відсутні).</w:t>
      </w:r>
    </w:p>
    <w:p w14:paraId="492080B9" w14:textId="77777777" w:rsidR="00544810" w:rsidRPr="00947EBD" w:rsidRDefault="00544810" w:rsidP="00544810">
      <w:pPr>
        <w:spacing w:line="360" w:lineRule="auto"/>
        <w:jc w:val="center"/>
        <w:rPr>
          <w:sz w:val="28"/>
          <w:szCs w:val="28"/>
        </w:rPr>
      </w:pPr>
      <w:r w:rsidRPr="00947EBD">
        <w:rPr>
          <w:noProof/>
          <w:sz w:val="28"/>
          <w:szCs w:val="28"/>
        </w:rPr>
        <w:drawing>
          <wp:inline distT="0" distB="0" distL="0" distR="0" wp14:anchorId="480CBA82" wp14:editId="2B5BEBF0">
            <wp:extent cx="4314825" cy="3238500"/>
            <wp:effectExtent l="0" t="0" r="9525" b="0"/>
            <wp:docPr id="128" name="Picture 128" descr="ge922pn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e922pn20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357B3E8C" w14:textId="3CA055BC" w:rsidR="00E45A7E" w:rsidRDefault="00B464E6" w:rsidP="00A448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1929C6">
        <w:rPr>
          <w:rFonts w:ascii="Times New Roman" w:hAnsi="Times New Roman" w:cs="Times New Roman"/>
          <w:sz w:val="28"/>
          <w:szCs w:val="28"/>
          <w:lang w:val="uk-UA"/>
        </w:rPr>
        <w:t>.</w:t>
      </w:r>
      <w:r w:rsidR="00544810">
        <w:rPr>
          <w:rFonts w:ascii="Times New Roman" w:hAnsi="Times New Roman" w:cs="Times New Roman"/>
          <w:sz w:val="28"/>
          <w:szCs w:val="28"/>
          <w:lang w:val="uk-UA"/>
        </w:rPr>
        <w:t>7.</w:t>
      </w:r>
      <w:r w:rsidR="00544810" w:rsidRPr="001929C6">
        <w:rPr>
          <w:rFonts w:ascii="Times New Roman" w:hAnsi="Times New Roman" w:cs="Times New Roman"/>
          <w:sz w:val="28"/>
          <w:szCs w:val="28"/>
          <w:lang w:val="uk-UA"/>
        </w:rPr>
        <w:t xml:space="preserve"> Скупчення клітин запальн</w:t>
      </w:r>
      <w:r w:rsidR="00544810">
        <w:rPr>
          <w:rFonts w:ascii="Times New Roman" w:hAnsi="Times New Roman" w:cs="Times New Roman"/>
          <w:sz w:val="28"/>
          <w:szCs w:val="28"/>
          <w:lang w:val="uk-UA"/>
        </w:rPr>
        <w:t xml:space="preserve">ого ряду переважно під базальною </w:t>
      </w:r>
      <w:r w:rsidR="00544810" w:rsidRPr="001929C6">
        <w:rPr>
          <w:rFonts w:ascii="Times New Roman" w:hAnsi="Times New Roman" w:cs="Times New Roman"/>
          <w:sz w:val="28"/>
          <w:szCs w:val="28"/>
          <w:lang w:val="uk-UA"/>
        </w:rPr>
        <w:t>мембраною</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1929C6">
        <w:rPr>
          <w:rFonts w:ascii="Times New Roman" w:hAnsi="Times New Roman" w:cs="Times New Roman"/>
          <w:sz w:val="28"/>
          <w:szCs w:val="28"/>
          <w:lang w:val="uk-UA"/>
        </w:rPr>
        <w:t>. Проникнення еозинофілів в епітеліальний шар. Наявність ерозій. Забарвлення гематоксиліном і еозином. Збільшення х200.</w:t>
      </w:r>
    </w:p>
    <w:p w14:paraId="5047D126" w14:textId="44D6E44B" w:rsidR="00EF697D" w:rsidRDefault="00EF697D" w:rsidP="00EF697D">
      <w:pPr>
        <w:spacing w:line="360" w:lineRule="auto"/>
        <w:ind w:firstLine="709"/>
        <w:jc w:val="both"/>
        <w:rPr>
          <w:rFonts w:ascii="Times New Roman" w:hAnsi="Times New Roman" w:cs="Times New Roman"/>
          <w:sz w:val="28"/>
          <w:szCs w:val="28"/>
          <w:lang w:val="uk-UA"/>
        </w:rPr>
      </w:pPr>
      <w:r w:rsidRPr="001929C6">
        <w:rPr>
          <w:rFonts w:ascii="Times New Roman" w:hAnsi="Times New Roman" w:cs="Times New Roman"/>
          <w:sz w:val="28"/>
          <w:szCs w:val="28"/>
          <w:lang w:val="uk-UA"/>
        </w:rPr>
        <w:t>Відзначаються зони з ерозійними ушкодженнями епітелію</w:t>
      </w:r>
      <w:r>
        <w:rPr>
          <w:rFonts w:ascii="Times New Roman" w:hAnsi="Times New Roman" w:cs="Times New Roman"/>
          <w:sz w:val="28"/>
          <w:szCs w:val="28"/>
          <w:lang w:val="uk-UA"/>
        </w:rPr>
        <w:t>,</w:t>
      </w:r>
      <w:r w:rsidRPr="001929C6">
        <w:rPr>
          <w:rFonts w:ascii="Times New Roman" w:hAnsi="Times New Roman" w:cs="Times New Roman"/>
          <w:sz w:val="28"/>
          <w:szCs w:val="28"/>
          <w:lang w:val="uk-UA"/>
        </w:rPr>
        <w:t xml:space="preserve"> які збігаються з локалізацією найбільш виражени</w:t>
      </w:r>
      <w:r>
        <w:rPr>
          <w:rFonts w:ascii="Times New Roman" w:hAnsi="Times New Roman" w:cs="Times New Roman"/>
          <w:sz w:val="28"/>
          <w:szCs w:val="28"/>
          <w:lang w:val="uk-UA"/>
        </w:rPr>
        <w:t>х клітинних інфільтратів (рис. 3.7</w:t>
      </w:r>
      <w:r w:rsidRPr="001929C6">
        <w:rPr>
          <w:rFonts w:ascii="Times New Roman" w:hAnsi="Times New Roman" w:cs="Times New Roman"/>
          <w:sz w:val="28"/>
          <w:szCs w:val="28"/>
          <w:lang w:val="uk-UA"/>
        </w:rPr>
        <w:t>). В області ерозій спостерігається порушення співвідношення шарів багатошаров</w:t>
      </w:r>
      <w:r w:rsidR="002F4783">
        <w:rPr>
          <w:rFonts w:ascii="Times New Roman" w:hAnsi="Times New Roman" w:cs="Times New Roman"/>
          <w:sz w:val="28"/>
          <w:szCs w:val="28"/>
          <w:lang w:val="uk-UA"/>
        </w:rPr>
        <w:t>ого плоскоклітинного епітелію. У</w:t>
      </w:r>
      <w:r w:rsidRPr="001929C6">
        <w:rPr>
          <w:rFonts w:ascii="Times New Roman" w:hAnsi="Times New Roman" w:cs="Times New Roman"/>
          <w:sz w:val="28"/>
          <w:szCs w:val="28"/>
          <w:lang w:val="uk-UA"/>
        </w:rPr>
        <w:t xml:space="preserve"> базальному шарі відзначається гіперпластичні процеси з наявністю у базаліоцітов великих, гіперхромних ядер з активним «перпендикулярним» розташуванням осі ядра по </w:t>
      </w:r>
      <w:r w:rsidR="006F3AE3">
        <w:rPr>
          <w:rFonts w:ascii="Times New Roman" w:hAnsi="Times New Roman" w:cs="Times New Roman"/>
          <w:sz w:val="28"/>
          <w:szCs w:val="28"/>
          <w:lang w:val="uk-UA"/>
        </w:rPr>
        <w:t>відношенню до базальної мембрани</w:t>
      </w:r>
      <w:r w:rsidRPr="001929C6">
        <w:rPr>
          <w:rFonts w:ascii="Times New Roman" w:hAnsi="Times New Roman" w:cs="Times New Roman"/>
          <w:sz w:val="28"/>
          <w:szCs w:val="28"/>
          <w:lang w:val="uk-UA"/>
        </w:rPr>
        <w:t>; кіль</w:t>
      </w:r>
      <w:r w:rsidR="006F3AE3">
        <w:rPr>
          <w:rFonts w:ascii="Times New Roman" w:hAnsi="Times New Roman" w:cs="Times New Roman"/>
          <w:sz w:val="28"/>
          <w:szCs w:val="28"/>
          <w:lang w:val="uk-UA"/>
        </w:rPr>
        <w:t>кість клітин в стані мітозу є</w:t>
      </w:r>
      <w:r w:rsidRPr="001929C6">
        <w:rPr>
          <w:rFonts w:ascii="Times New Roman" w:hAnsi="Times New Roman" w:cs="Times New Roman"/>
          <w:sz w:val="28"/>
          <w:szCs w:val="28"/>
          <w:lang w:val="uk-UA"/>
        </w:rPr>
        <w:t xml:space="preserve"> високо</w:t>
      </w:r>
      <w:r w:rsidR="006F3AE3">
        <w:rPr>
          <w:rFonts w:ascii="Times New Roman" w:hAnsi="Times New Roman" w:cs="Times New Roman"/>
          <w:sz w:val="28"/>
          <w:szCs w:val="28"/>
          <w:lang w:val="uk-UA"/>
        </w:rPr>
        <w:t>ю</w:t>
      </w:r>
      <w:r w:rsidRPr="001929C6">
        <w:rPr>
          <w:rFonts w:ascii="Times New Roman" w:hAnsi="Times New Roman" w:cs="Times New Roman"/>
          <w:sz w:val="28"/>
          <w:szCs w:val="28"/>
          <w:lang w:val="uk-UA"/>
        </w:rPr>
        <w:t>. Фігури мітозів правильні.</w:t>
      </w:r>
    </w:p>
    <w:p w14:paraId="2CBE3079" w14:textId="5330D4B8" w:rsidR="00F42F7A" w:rsidRPr="00BA7567" w:rsidRDefault="00F42F7A" w:rsidP="00F42F7A">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Між діл</w:t>
      </w:r>
      <w:r>
        <w:rPr>
          <w:rFonts w:ascii="Times New Roman" w:hAnsi="Times New Roman" w:cs="Times New Roman"/>
          <w:sz w:val="28"/>
          <w:szCs w:val="28"/>
          <w:lang w:val="uk-UA"/>
        </w:rPr>
        <w:t>янками атрофії багатошаровий пло</w:t>
      </w:r>
      <w:r w:rsidRPr="00BA7567">
        <w:rPr>
          <w:rFonts w:ascii="Times New Roman" w:hAnsi="Times New Roman" w:cs="Times New Roman"/>
          <w:sz w:val="28"/>
          <w:szCs w:val="28"/>
          <w:lang w:val="uk-UA"/>
        </w:rPr>
        <w:t>ский епітелій нерівномірно потовщений за рахунок прол</w:t>
      </w:r>
      <w:r w:rsidR="002F4783">
        <w:rPr>
          <w:rFonts w:ascii="Times New Roman" w:hAnsi="Times New Roman" w:cs="Times New Roman"/>
          <w:sz w:val="28"/>
          <w:szCs w:val="28"/>
          <w:lang w:val="uk-UA"/>
        </w:rPr>
        <w:t>іферації клітин зернистого, шипу</w:t>
      </w:r>
      <w:r w:rsidRPr="00BA7567">
        <w:rPr>
          <w:rFonts w:ascii="Times New Roman" w:hAnsi="Times New Roman" w:cs="Times New Roman"/>
          <w:sz w:val="28"/>
          <w:szCs w:val="28"/>
          <w:lang w:val="uk-UA"/>
        </w:rPr>
        <w:t>ватого і, в меншій мірі, базального шарів, з озн</w:t>
      </w:r>
      <w:r>
        <w:rPr>
          <w:rFonts w:ascii="Times New Roman" w:hAnsi="Times New Roman" w:cs="Times New Roman"/>
          <w:sz w:val="28"/>
          <w:szCs w:val="28"/>
          <w:lang w:val="uk-UA"/>
        </w:rPr>
        <w:t>аками помірно вираженого папіломатозу</w:t>
      </w:r>
      <w:r w:rsidRPr="00BA7567">
        <w:rPr>
          <w:rFonts w:ascii="Times New Roman" w:hAnsi="Times New Roman" w:cs="Times New Roman"/>
          <w:sz w:val="28"/>
          <w:szCs w:val="28"/>
          <w:lang w:val="uk-UA"/>
        </w:rPr>
        <w:t>.</w:t>
      </w:r>
    </w:p>
    <w:p w14:paraId="17565937" w14:textId="77777777" w:rsidR="00F42F7A" w:rsidRPr="00BA7567" w:rsidRDefault="00F42F7A" w:rsidP="00F42F7A">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 xml:space="preserve">У товщі епітеліального пласта виявляються клітини запального ряду, перш за все в місцях стоншування епітелію, при </w:t>
      </w:r>
      <w:r>
        <w:rPr>
          <w:rFonts w:ascii="Times New Roman" w:hAnsi="Times New Roman" w:cs="Times New Roman"/>
          <w:sz w:val="28"/>
          <w:szCs w:val="28"/>
          <w:lang w:val="uk-UA"/>
        </w:rPr>
        <w:t>цьому досить висока питома вага</w:t>
      </w:r>
      <w:r w:rsidRPr="00BA7567">
        <w:rPr>
          <w:rFonts w:ascii="Times New Roman" w:hAnsi="Times New Roman" w:cs="Times New Roman"/>
          <w:sz w:val="28"/>
          <w:szCs w:val="28"/>
          <w:lang w:val="uk-UA"/>
        </w:rPr>
        <w:t xml:space="preserve"> належить еозин</w:t>
      </w:r>
      <w:r>
        <w:rPr>
          <w:rFonts w:ascii="Times New Roman" w:hAnsi="Times New Roman" w:cs="Times New Roman"/>
          <w:sz w:val="28"/>
          <w:szCs w:val="28"/>
          <w:lang w:val="uk-UA"/>
        </w:rPr>
        <w:t>офілам</w:t>
      </w:r>
      <w:r w:rsidRPr="00BA7567">
        <w:rPr>
          <w:rFonts w:ascii="Times New Roman" w:hAnsi="Times New Roman" w:cs="Times New Roman"/>
          <w:sz w:val="28"/>
          <w:szCs w:val="28"/>
          <w:lang w:val="uk-UA"/>
        </w:rPr>
        <w:t>.</w:t>
      </w:r>
    </w:p>
    <w:p w14:paraId="75F40058" w14:textId="77777777" w:rsidR="00F42F7A" w:rsidRPr="00A448F8" w:rsidRDefault="00F42F7A" w:rsidP="00EF697D">
      <w:pPr>
        <w:spacing w:line="360" w:lineRule="auto"/>
        <w:ind w:firstLine="709"/>
        <w:jc w:val="both"/>
        <w:rPr>
          <w:rFonts w:ascii="Times New Roman" w:hAnsi="Times New Roman" w:cs="Times New Roman"/>
          <w:sz w:val="28"/>
          <w:szCs w:val="28"/>
          <w:lang w:val="uk-UA"/>
        </w:rPr>
      </w:pPr>
    </w:p>
    <w:p w14:paraId="0A7AAA23" w14:textId="77777777" w:rsidR="00544810" w:rsidRDefault="00544810" w:rsidP="00544810">
      <w:pPr>
        <w:spacing w:line="360" w:lineRule="auto"/>
        <w:jc w:val="center"/>
        <w:rPr>
          <w:sz w:val="28"/>
          <w:szCs w:val="28"/>
        </w:rPr>
      </w:pPr>
      <w:r w:rsidRPr="005C076B">
        <w:rPr>
          <w:noProof/>
          <w:sz w:val="28"/>
          <w:szCs w:val="28"/>
        </w:rPr>
        <w:drawing>
          <wp:inline distT="0" distB="0" distL="0" distR="0" wp14:anchorId="00772072" wp14:editId="7524691D">
            <wp:extent cx="4314825" cy="3248025"/>
            <wp:effectExtent l="0" t="0" r="9525" b="9525"/>
            <wp:docPr id="129" name="Picture 129" descr="200g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00ge_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14825" cy="3248025"/>
                    </a:xfrm>
                    <a:prstGeom prst="rect">
                      <a:avLst/>
                    </a:prstGeom>
                    <a:noFill/>
                    <a:ln>
                      <a:noFill/>
                    </a:ln>
                  </pic:spPr>
                </pic:pic>
              </a:graphicData>
            </a:graphic>
          </wp:inline>
        </w:drawing>
      </w:r>
    </w:p>
    <w:p w14:paraId="1EDDBB9C" w14:textId="734D3DB6" w:rsidR="00544810" w:rsidRDefault="00B464E6" w:rsidP="00B464E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BA7567">
        <w:rPr>
          <w:rFonts w:ascii="Times New Roman" w:hAnsi="Times New Roman" w:cs="Times New Roman"/>
          <w:sz w:val="28"/>
          <w:szCs w:val="28"/>
          <w:lang w:val="uk-UA"/>
        </w:rPr>
        <w:t>.</w:t>
      </w:r>
      <w:r w:rsidR="00544810">
        <w:rPr>
          <w:rFonts w:ascii="Times New Roman" w:hAnsi="Times New Roman" w:cs="Times New Roman"/>
          <w:sz w:val="28"/>
          <w:szCs w:val="28"/>
          <w:lang w:val="uk-UA"/>
        </w:rPr>
        <w:t>8.</w:t>
      </w:r>
      <w:r w:rsidR="00544810" w:rsidRPr="00BA7567">
        <w:rPr>
          <w:rFonts w:ascii="Times New Roman" w:hAnsi="Times New Roman" w:cs="Times New Roman"/>
          <w:sz w:val="28"/>
          <w:szCs w:val="28"/>
          <w:lang w:val="uk-UA"/>
        </w:rPr>
        <w:t xml:space="preserve"> Нерівномірність товщини плоскоклітинного епітелію з наявністю інтраепітеліальних лімфоцитів, еозинофілів, проліферацією клітин базального шару</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BA7567">
        <w:rPr>
          <w:rFonts w:ascii="Times New Roman" w:hAnsi="Times New Roman" w:cs="Times New Roman"/>
          <w:sz w:val="28"/>
          <w:szCs w:val="28"/>
          <w:lang w:val="uk-UA"/>
        </w:rPr>
        <w:t xml:space="preserve">. Збільшення висоти сполучнотканинних сосочків, початкове формування </w:t>
      </w:r>
      <w:r w:rsidR="00544810">
        <w:rPr>
          <w:rFonts w:ascii="Times New Roman" w:hAnsi="Times New Roman" w:cs="Times New Roman"/>
          <w:sz w:val="28"/>
          <w:szCs w:val="28"/>
          <w:lang w:val="uk-UA"/>
        </w:rPr>
        <w:t>акантотичних</w:t>
      </w:r>
      <w:r w:rsidR="00544810" w:rsidRPr="00BA7567">
        <w:rPr>
          <w:rFonts w:ascii="Times New Roman" w:hAnsi="Times New Roman" w:cs="Times New Roman"/>
          <w:sz w:val="28"/>
          <w:szCs w:val="28"/>
          <w:lang w:val="uk-UA"/>
        </w:rPr>
        <w:t xml:space="preserve"> тяжів. Забарвлення гематоксиліном і еозином. Збільшення х400.</w:t>
      </w:r>
    </w:p>
    <w:p w14:paraId="3C2E0CA2" w14:textId="77777777" w:rsidR="00544810" w:rsidRDefault="00544810" w:rsidP="00544810">
      <w:pPr>
        <w:spacing w:line="360" w:lineRule="auto"/>
        <w:ind w:firstLine="709"/>
        <w:jc w:val="both"/>
        <w:rPr>
          <w:rFonts w:ascii="Times New Roman" w:hAnsi="Times New Roman" w:cs="Times New Roman"/>
          <w:sz w:val="28"/>
          <w:szCs w:val="28"/>
          <w:lang w:val="uk-UA"/>
        </w:rPr>
      </w:pPr>
      <w:r w:rsidRPr="00BA7567">
        <w:rPr>
          <w:rFonts w:ascii="Times New Roman" w:hAnsi="Times New Roman" w:cs="Times New Roman"/>
          <w:sz w:val="28"/>
          <w:szCs w:val="28"/>
          <w:lang w:val="uk-UA"/>
        </w:rPr>
        <w:t>Базальна мембрана складається з базальн</w:t>
      </w:r>
      <w:r>
        <w:rPr>
          <w:rFonts w:ascii="Times New Roman" w:hAnsi="Times New Roman" w:cs="Times New Roman"/>
          <w:sz w:val="28"/>
          <w:szCs w:val="28"/>
          <w:lang w:val="uk-UA"/>
        </w:rPr>
        <w:t>ої пластинки і шару ретикулінових</w:t>
      </w:r>
      <w:r w:rsidRPr="00BA7567">
        <w:rPr>
          <w:rFonts w:ascii="Times New Roman" w:hAnsi="Times New Roman" w:cs="Times New Roman"/>
          <w:sz w:val="28"/>
          <w:szCs w:val="28"/>
          <w:lang w:val="uk-UA"/>
        </w:rPr>
        <w:t xml:space="preserve"> волокон і при фарбуванні препараті</w:t>
      </w:r>
      <w:r>
        <w:rPr>
          <w:rFonts w:ascii="Times New Roman" w:hAnsi="Times New Roman" w:cs="Times New Roman"/>
          <w:sz w:val="28"/>
          <w:szCs w:val="28"/>
          <w:lang w:val="uk-UA"/>
        </w:rPr>
        <w:t>в гематоксиліном і еозином, за Ван-Гізоном</w:t>
      </w:r>
      <w:r w:rsidRPr="00BA7567">
        <w:rPr>
          <w:rFonts w:ascii="Times New Roman" w:hAnsi="Times New Roman" w:cs="Times New Roman"/>
          <w:sz w:val="28"/>
          <w:szCs w:val="28"/>
          <w:lang w:val="uk-UA"/>
        </w:rPr>
        <w:t xml:space="preserve"> оптично сприймається як однорідне ущільнення.</w:t>
      </w:r>
    </w:p>
    <w:p w14:paraId="4DA76B3B" w14:textId="028AD453" w:rsidR="00544810" w:rsidRPr="00EE0E06" w:rsidRDefault="00544810" w:rsidP="00A448F8">
      <w:pPr>
        <w:spacing w:after="0" w:line="360" w:lineRule="auto"/>
        <w:ind w:firstLine="709"/>
        <w:jc w:val="both"/>
        <w:rPr>
          <w:rFonts w:ascii="Times New Roman" w:hAnsi="Times New Roman" w:cs="Times New Roman"/>
          <w:sz w:val="28"/>
          <w:szCs w:val="28"/>
          <w:lang w:val="ru-RU"/>
        </w:rPr>
      </w:pPr>
      <w:r w:rsidRPr="00BA7567">
        <w:rPr>
          <w:rFonts w:ascii="Times New Roman" w:hAnsi="Times New Roman" w:cs="Times New Roman"/>
          <w:sz w:val="28"/>
          <w:szCs w:val="28"/>
          <w:lang w:val="uk-UA"/>
        </w:rPr>
        <w:t>У власній пластинці слизової відзначається формування периваскулярних</w:t>
      </w:r>
      <w:r>
        <w:rPr>
          <w:rFonts w:ascii="Times New Roman" w:hAnsi="Times New Roman" w:cs="Times New Roman"/>
          <w:sz w:val="28"/>
          <w:szCs w:val="28"/>
          <w:lang w:val="uk-UA"/>
        </w:rPr>
        <w:t xml:space="preserve"> запальних інфільтратів, дифузний</w:t>
      </w:r>
      <w:r w:rsidRPr="00BA7567">
        <w:rPr>
          <w:rFonts w:ascii="Times New Roman" w:hAnsi="Times New Roman" w:cs="Times New Roman"/>
          <w:sz w:val="28"/>
          <w:szCs w:val="28"/>
          <w:lang w:val="uk-UA"/>
        </w:rPr>
        <w:t xml:space="preserve"> розподіл еозинофілів (рис</w:t>
      </w:r>
      <w:r w:rsidR="00B464E6">
        <w:rPr>
          <w:rFonts w:ascii="Times New Roman" w:hAnsi="Times New Roman" w:cs="Times New Roman"/>
          <w:sz w:val="28"/>
          <w:szCs w:val="28"/>
          <w:lang w:val="uk-UA"/>
        </w:rPr>
        <w:t>. 3</w:t>
      </w:r>
      <w:r>
        <w:rPr>
          <w:rFonts w:ascii="Times New Roman" w:hAnsi="Times New Roman" w:cs="Times New Roman"/>
          <w:sz w:val="28"/>
          <w:szCs w:val="28"/>
          <w:lang w:val="uk-UA"/>
        </w:rPr>
        <w:t>.8</w:t>
      </w:r>
      <w:r w:rsidRPr="00BA7567">
        <w:rPr>
          <w:rFonts w:ascii="Times New Roman" w:hAnsi="Times New Roman" w:cs="Times New Roman"/>
          <w:sz w:val="28"/>
          <w:szCs w:val="28"/>
          <w:lang w:val="uk-UA"/>
        </w:rPr>
        <w:t xml:space="preserve">), набухання і </w:t>
      </w:r>
      <w:r>
        <w:rPr>
          <w:rFonts w:ascii="Times New Roman" w:hAnsi="Times New Roman" w:cs="Times New Roman"/>
          <w:sz w:val="28"/>
          <w:szCs w:val="28"/>
          <w:lang w:val="uk-UA"/>
        </w:rPr>
        <w:t>розволокнення</w:t>
      </w:r>
      <w:r w:rsidR="002F4783">
        <w:rPr>
          <w:rFonts w:ascii="Times New Roman" w:hAnsi="Times New Roman" w:cs="Times New Roman"/>
          <w:sz w:val="28"/>
          <w:szCs w:val="28"/>
          <w:lang w:val="uk-UA"/>
        </w:rPr>
        <w:t xml:space="preserve"> сполучнотканинної основи. У</w:t>
      </w:r>
      <w:r w:rsidRPr="00BA7567">
        <w:rPr>
          <w:rFonts w:ascii="Times New Roman" w:hAnsi="Times New Roman" w:cs="Times New Roman"/>
          <w:sz w:val="28"/>
          <w:szCs w:val="28"/>
          <w:lang w:val="uk-UA"/>
        </w:rPr>
        <w:t xml:space="preserve"> стромі численних сосочків відзначається повнокров'я судин мікроциркуляторного русла</w:t>
      </w:r>
      <w:r>
        <w:rPr>
          <w:rFonts w:ascii="Times New Roman" w:hAnsi="Times New Roman" w:cs="Times New Roman"/>
          <w:sz w:val="28"/>
          <w:szCs w:val="28"/>
          <w:lang w:val="uk-UA"/>
        </w:rPr>
        <w:t>, часто з діапедезними</w:t>
      </w:r>
      <w:r w:rsidRPr="00BA7567">
        <w:rPr>
          <w:rFonts w:ascii="Times New Roman" w:hAnsi="Times New Roman" w:cs="Times New Roman"/>
          <w:sz w:val="28"/>
          <w:szCs w:val="28"/>
          <w:lang w:val="uk-UA"/>
        </w:rPr>
        <w:t xml:space="preserve"> крововиливами і набряком. Крім периваскулярних запальних інфільтратів звертає на себе увагу скупчення плазмоц</w:t>
      </w:r>
      <w:r>
        <w:rPr>
          <w:rFonts w:ascii="Times New Roman" w:hAnsi="Times New Roman" w:cs="Times New Roman"/>
          <w:sz w:val="28"/>
          <w:szCs w:val="28"/>
          <w:lang w:val="uk-UA"/>
        </w:rPr>
        <w:t>итів, еозинофілів, нейтрофілів безпосередньо</w:t>
      </w:r>
      <w:r w:rsidR="00B464E6">
        <w:rPr>
          <w:rFonts w:ascii="Times New Roman" w:hAnsi="Times New Roman" w:cs="Times New Roman"/>
          <w:sz w:val="28"/>
          <w:szCs w:val="28"/>
          <w:lang w:val="uk-UA"/>
        </w:rPr>
        <w:t xml:space="preserve"> під базальною мембраною (рис. 3</w:t>
      </w:r>
      <w:r>
        <w:rPr>
          <w:rFonts w:ascii="Times New Roman" w:hAnsi="Times New Roman" w:cs="Times New Roman"/>
          <w:sz w:val="28"/>
          <w:szCs w:val="28"/>
          <w:lang w:val="uk-UA"/>
        </w:rPr>
        <w:t>.8</w:t>
      </w:r>
      <w:r w:rsidRPr="00BA7567">
        <w:rPr>
          <w:rFonts w:ascii="Times New Roman" w:hAnsi="Times New Roman" w:cs="Times New Roman"/>
          <w:sz w:val="28"/>
          <w:szCs w:val="28"/>
          <w:lang w:val="uk-UA"/>
        </w:rPr>
        <w:t>). При цьому визначається проникнення еозинофілів і в епітеліальний шар.</w:t>
      </w:r>
    </w:p>
    <w:p w14:paraId="2AC9A21B" w14:textId="67CA85EA"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М</w:t>
      </w:r>
      <w:r>
        <w:rPr>
          <w:rFonts w:ascii="Times New Roman" w:hAnsi="Times New Roman" w:cs="Times New Roman"/>
          <w:sz w:val="28"/>
          <w:szCs w:val="28"/>
          <w:lang w:val="uk-UA"/>
        </w:rPr>
        <w:t>ікроциркуляторн</w:t>
      </w:r>
      <w:r w:rsidRPr="00F60DC5">
        <w:rPr>
          <w:rFonts w:ascii="Times New Roman" w:hAnsi="Times New Roman" w:cs="Times New Roman"/>
          <w:sz w:val="28"/>
          <w:szCs w:val="28"/>
          <w:lang w:val="uk-UA"/>
        </w:rPr>
        <w:t>е русло нерівномірного кровонаповнення. Стінки судин потовщені, з ознаками набряку, мукоїдного або фібриноїдного набухання. Найбільш виражені ознаки дезо</w:t>
      </w:r>
      <w:r>
        <w:rPr>
          <w:rFonts w:ascii="Times New Roman" w:hAnsi="Times New Roman" w:cs="Times New Roman"/>
          <w:sz w:val="28"/>
          <w:szCs w:val="28"/>
          <w:lang w:val="uk-UA"/>
        </w:rPr>
        <w:t>рганізації сполучної тканини (фібриноїдн</w:t>
      </w:r>
      <w:r w:rsidRPr="00F60DC5">
        <w:rPr>
          <w:rFonts w:ascii="Times New Roman" w:hAnsi="Times New Roman" w:cs="Times New Roman"/>
          <w:sz w:val="28"/>
          <w:szCs w:val="28"/>
          <w:lang w:val="uk-UA"/>
        </w:rPr>
        <w:t>е набухання) відзн</w:t>
      </w:r>
      <w:r w:rsidR="006F3AE3">
        <w:rPr>
          <w:rFonts w:ascii="Times New Roman" w:hAnsi="Times New Roman" w:cs="Times New Roman"/>
          <w:sz w:val="28"/>
          <w:szCs w:val="28"/>
          <w:lang w:val="uk-UA"/>
        </w:rPr>
        <w:t>ачаються в зонах периваскулярної</w:t>
      </w:r>
      <w:r w:rsidRPr="00F60DC5">
        <w:rPr>
          <w:rFonts w:ascii="Times New Roman" w:hAnsi="Times New Roman" w:cs="Times New Roman"/>
          <w:sz w:val="28"/>
          <w:szCs w:val="28"/>
          <w:lang w:val="uk-UA"/>
        </w:rPr>
        <w:t xml:space="preserve"> клітинної інфільтрації, при цьому в периваскулярном</w:t>
      </w:r>
      <w:r w:rsidR="006F3AE3">
        <w:rPr>
          <w:rFonts w:ascii="Times New Roman" w:hAnsi="Times New Roman" w:cs="Times New Roman"/>
          <w:sz w:val="28"/>
          <w:szCs w:val="28"/>
          <w:lang w:val="uk-UA"/>
        </w:rPr>
        <w:t>у</w:t>
      </w:r>
      <w:r w:rsidRPr="00F60DC5">
        <w:rPr>
          <w:rFonts w:ascii="Times New Roman" w:hAnsi="Times New Roman" w:cs="Times New Roman"/>
          <w:sz w:val="28"/>
          <w:szCs w:val="28"/>
          <w:lang w:val="uk-UA"/>
        </w:rPr>
        <w:t xml:space="preserve"> просторі часто спостерігаються ознаки фрагментаці</w:t>
      </w:r>
      <w:r w:rsidR="006F3AE3">
        <w:rPr>
          <w:rFonts w:ascii="Times New Roman" w:hAnsi="Times New Roman" w:cs="Times New Roman"/>
          <w:sz w:val="28"/>
          <w:szCs w:val="28"/>
          <w:lang w:val="uk-UA"/>
        </w:rPr>
        <w:t>ї</w:t>
      </w:r>
      <w:r w:rsidRPr="00F60DC5">
        <w:rPr>
          <w:rFonts w:ascii="Times New Roman" w:hAnsi="Times New Roman" w:cs="Times New Roman"/>
          <w:sz w:val="28"/>
          <w:szCs w:val="28"/>
          <w:lang w:val="uk-UA"/>
        </w:rPr>
        <w:t xml:space="preserve"> і лізис</w:t>
      </w:r>
      <w:r w:rsidR="006F3AE3">
        <w:rPr>
          <w:rFonts w:ascii="Times New Roman" w:hAnsi="Times New Roman" w:cs="Times New Roman"/>
          <w:sz w:val="28"/>
          <w:szCs w:val="28"/>
          <w:lang w:val="uk-UA"/>
        </w:rPr>
        <w:t>у</w:t>
      </w:r>
      <w:r w:rsidRPr="00F60DC5">
        <w:rPr>
          <w:rFonts w:ascii="Times New Roman" w:hAnsi="Times New Roman" w:cs="Times New Roman"/>
          <w:sz w:val="28"/>
          <w:szCs w:val="28"/>
          <w:lang w:val="uk-UA"/>
        </w:rPr>
        <w:t xml:space="preserve"> колагенових волокон. Ендотелій соковитий з великими ядрами.</w:t>
      </w:r>
      <w:r>
        <w:rPr>
          <w:rFonts w:ascii="Times New Roman" w:hAnsi="Times New Roman" w:cs="Times New Roman"/>
          <w:sz w:val="28"/>
          <w:szCs w:val="28"/>
          <w:lang w:val="uk-UA"/>
        </w:rPr>
        <w:t xml:space="preserve"> Ендотеліальні і адвентиціальні</w:t>
      </w:r>
      <w:r w:rsidRPr="00F60DC5">
        <w:rPr>
          <w:rFonts w:ascii="Times New Roman" w:hAnsi="Times New Roman" w:cs="Times New Roman"/>
          <w:sz w:val="28"/>
          <w:szCs w:val="28"/>
          <w:lang w:val="uk-UA"/>
        </w:rPr>
        <w:t xml:space="preserve"> клітини дещо збільшені в розмірах, відзначається помірна гіперхроматія ядер (рис.</w:t>
      </w:r>
      <w:r>
        <w:rPr>
          <w:rFonts w:ascii="Times New Roman" w:hAnsi="Times New Roman" w:cs="Times New Roman"/>
          <w:sz w:val="28"/>
          <w:szCs w:val="28"/>
          <w:lang w:val="uk-UA"/>
        </w:rPr>
        <w:t xml:space="preserve"> </w:t>
      </w:r>
      <w:r w:rsidR="00B464E6">
        <w:rPr>
          <w:rFonts w:ascii="Times New Roman" w:hAnsi="Times New Roman" w:cs="Times New Roman"/>
          <w:sz w:val="28"/>
          <w:szCs w:val="28"/>
          <w:lang w:val="uk-UA"/>
        </w:rPr>
        <w:t>3</w:t>
      </w:r>
      <w:r>
        <w:rPr>
          <w:rFonts w:ascii="Times New Roman" w:hAnsi="Times New Roman" w:cs="Times New Roman"/>
          <w:sz w:val="28"/>
          <w:szCs w:val="28"/>
          <w:lang w:val="uk-UA"/>
        </w:rPr>
        <w:t>.7</w:t>
      </w:r>
      <w:r w:rsidRPr="00F60D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60DC5">
        <w:rPr>
          <w:rFonts w:ascii="Times New Roman" w:hAnsi="Times New Roman" w:cs="Times New Roman"/>
          <w:sz w:val="28"/>
          <w:szCs w:val="28"/>
          <w:lang w:val="uk-UA"/>
        </w:rPr>
        <w:t>Вогнищево виявлялася десквамація ендотеліоцитів з оголенням базальних мембран. Відзначає</w:t>
      </w:r>
      <w:r w:rsidR="002F4783">
        <w:rPr>
          <w:rFonts w:ascii="Times New Roman" w:hAnsi="Times New Roman" w:cs="Times New Roman"/>
          <w:sz w:val="28"/>
          <w:szCs w:val="28"/>
          <w:lang w:val="uk-UA"/>
        </w:rPr>
        <w:t>ться наявність дрібних тромбів у</w:t>
      </w:r>
      <w:r w:rsidRPr="00F60DC5">
        <w:rPr>
          <w:rFonts w:ascii="Times New Roman" w:hAnsi="Times New Roman" w:cs="Times New Roman"/>
          <w:sz w:val="28"/>
          <w:szCs w:val="28"/>
          <w:lang w:val="uk-UA"/>
        </w:rPr>
        <w:t xml:space="preserve"> просвіті таких судин. Крім цього</w:t>
      </w:r>
      <w:r w:rsidR="002F4783">
        <w:rPr>
          <w:rFonts w:ascii="Times New Roman" w:hAnsi="Times New Roman" w:cs="Times New Roman"/>
          <w:sz w:val="28"/>
          <w:szCs w:val="28"/>
          <w:lang w:val="uk-UA"/>
        </w:rPr>
        <w:t>,</w:t>
      </w:r>
      <w:r w:rsidRPr="00F60DC5">
        <w:rPr>
          <w:rFonts w:ascii="Times New Roman" w:hAnsi="Times New Roman" w:cs="Times New Roman"/>
          <w:sz w:val="28"/>
          <w:szCs w:val="28"/>
          <w:lang w:val="uk-UA"/>
        </w:rPr>
        <w:t xml:space="preserve"> мікротром</w:t>
      </w:r>
      <w:r w:rsidR="006F3AE3">
        <w:rPr>
          <w:rFonts w:ascii="Times New Roman" w:hAnsi="Times New Roman" w:cs="Times New Roman"/>
          <w:sz w:val="28"/>
          <w:szCs w:val="28"/>
          <w:lang w:val="uk-UA"/>
        </w:rPr>
        <w:t>би локалізуються в посткапілярах</w:t>
      </w:r>
      <w:r w:rsidRPr="00F60DC5">
        <w:rPr>
          <w:rFonts w:ascii="Times New Roman" w:hAnsi="Times New Roman" w:cs="Times New Roman"/>
          <w:sz w:val="28"/>
          <w:szCs w:val="28"/>
          <w:lang w:val="uk-UA"/>
        </w:rPr>
        <w:t xml:space="preserve"> і венулах. Ендотеліоцити частіше сплощені, з ознаками десквамації.</w:t>
      </w:r>
      <w:r>
        <w:rPr>
          <w:rFonts w:ascii="Times New Roman" w:hAnsi="Times New Roman" w:cs="Times New Roman"/>
          <w:sz w:val="28"/>
          <w:szCs w:val="28"/>
          <w:lang w:val="uk-UA"/>
        </w:rPr>
        <w:t xml:space="preserve"> </w:t>
      </w:r>
    </w:p>
    <w:p w14:paraId="145CC053" w14:textId="49BB0060"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Капілярна мережа густіша за рахунок</w:t>
      </w:r>
      <w:r w:rsidR="00B464E6">
        <w:rPr>
          <w:rFonts w:ascii="Times New Roman" w:hAnsi="Times New Roman" w:cs="Times New Roman"/>
          <w:sz w:val="28"/>
          <w:szCs w:val="28"/>
          <w:lang w:val="uk-UA"/>
        </w:rPr>
        <w:t xml:space="preserve"> появи молодих капілярів (рис. 3</w:t>
      </w:r>
      <w:r>
        <w:rPr>
          <w:rFonts w:ascii="Times New Roman" w:hAnsi="Times New Roman" w:cs="Times New Roman"/>
          <w:sz w:val="28"/>
          <w:szCs w:val="28"/>
          <w:lang w:val="uk-UA"/>
        </w:rPr>
        <w:t>.9</w:t>
      </w:r>
      <w:r w:rsidRPr="00F60DC5">
        <w:rPr>
          <w:rFonts w:ascii="Times New Roman" w:hAnsi="Times New Roman" w:cs="Times New Roman"/>
          <w:sz w:val="28"/>
          <w:szCs w:val="28"/>
          <w:lang w:val="uk-UA"/>
        </w:rPr>
        <w:t>). Мережа новоутворених капілярів оточена одиничн</w:t>
      </w:r>
      <w:r w:rsidR="006F3AE3">
        <w:rPr>
          <w:rFonts w:ascii="Times New Roman" w:hAnsi="Times New Roman" w:cs="Times New Roman"/>
          <w:sz w:val="28"/>
          <w:szCs w:val="28"/>
          <w:lang w:val="uk-UA"/>
        </w:rPr>
        <w:t>ими фібробластами, елементами лі</w:t>
      </w:r>
      <w:r w:rsidRPr="00F60DC5">
        <w:rPr>
          <w:rFonts w:ascii="Times New Roman" w:hAnsi="Times New Roman" w:cs="Times New Roman"/>
          <w:sz w:val="28"/>
          <w:szCs w:val="28"/>
          <w:lang w:val="uk-UA"/>
        </w:rPr>
        <w:t xml:space="preserve">мфоцитарного, плазмоцитарного, </w:t>
      </w:r>
      <w:r w:rsidR="006E281B">
        <w:rPr>
          <w:rFonts w:ascii="Times New Roman" w:hAnsi="Times New Roman" w:cs="Times New Roman"/>
          <w:sz w:val="28"/>
          <w:szCs w:val="28"/>
          <w:lang w:val="uk-UA"/>
        </w:rPr>
        <w:t>макрофагального рядів, тучними клітинами,</w:t>
      </w:r>
      <w:r w:rsidRPr="00F60DC5">
        <w:rPr>
          <w:rFonts w:ascii="Times New Roman" w:hAnsi="Times New Roman" w:cs="Times New Roman"/>
          <w:sz w:val="28"/>
          <w:szCs w:val="28"/>
          <w:lang w:val="uk-UA"/>
        </w:rPr>
        <w:t xml:space="preserve"> нейтрофільними лейкоцитами. Результати типування клітинного складу представлені в таблиці</w:t>
      </w:r>
      <w:r w:rsidR="006F3AE3">
        <w:rPr>
          <w:rFonts w:ascii="Times New Roman" w:hAnsi="Times New Roman" w:cs="Times New Roman"/>
          <w:sz w:val="28"/>
          <w:szCs w:val="28"/>
          <w:lang w:val="uk-UA"/>
        </w:rPr>
        <w:t xml:space="preserve"> 3.2</w:t>
      </w:r>
      <w:r w:rsidRPr="00F60DC5">
        <w:rPr>
          <w:rFonts w:ascii="Times New Roman" w:hAnsi="Times New Roman" w:cs="Times New Roman"/>
          <w:sz w:val="28"/>
          <w:szCs w:val="28"/>
          <w:lang w:val="uk-UA"/>
        </w:rPr>
        <w:t>. Базальні мембрани судин нерівномірно потовщені, інтенсивно PAS-позитивні.</w:t>
      </w:r>
      <w:r>
        <w:rPr>
          <w:rFonts w:ascii="Times New Roman" w:hAnsi="Times New Roman" w:cs="Times New Roman"/>
          <w:sz w:val="28"/>
          <w:szCs w:val="28"/>
          <w:lang w:val="uk-UA"/>
        </w:rPr>
        <w:t xml:space="preserve"> </w:t>
      </w:r>
    </w:p>
    <w:p w14:paraId="454AF3D0" w14:textId="7266B692" w:rsidR="00544810" w:rsidRDefault="00544810" w:rsidP="00A448F8">
      <w:pPr>
        <w:spacing w:after="0" w:line="360" w:lineRule="auto"/>
        <w:ind w:firstLine="709"/>
        <w:jc w:val="both"/>
        <w:rPr>
          <w:rFonts w:ascii="Times New Roman" w:hAnsi="Times New Roman" w:cs="Times New Roman"/>
          <w:sz w:val="28"/>
          <w:szCs w:val="28"/>
          <w:lang w:val="uk-UA"/>
        </w:rPr>
      </w:pPr>
      <w:r w:rsidRPr="00F60DC5">
        <w:rPr>
          <w:rFonts w:ascii="Times New Roman" w:hAnsi="Times New Roman" w:cs="Times New Roman"/>
          <w:sz w:val="28"/>
          <w:szCs w:val="28"/>
          <w:lang w:val="uk-UA"/>
        </w:rPr>
        <w:t>М'язовий шар власної пластинки слизової обо</w:t>
      </w:r>
      <w:r>
        <w:rPr>
          <w:rFonts w:ascii="Times New Roman" w:hAnsi="Times New Roman" w:cs="Times New Roman"/>
          <w:sz w:val="28"/>
          <w:szCs w:val="28"/>
          <w:lang w:val="uk-UA"/>
        </w:rPr>
        <w:t>лонки фрагментований і склероз</w:t>
      </w:r>
      <w:r w:rsidRPr="00F60DC5">
        <w:rPr>
          <w:rFonts w:ascii="Times New Roman" w:hAnsi="Times New Roman" w:cs="Times New Roman"/>
          <w:sz w:val="28"/>
          <w:szCs w:val="28"/>
          <w:lang w:val="uk-UA"/>
        </w:rPr>
        <w:t>ован</w:t>
      </w:r>
      <w:r>
        <w:rPr>
          <w:rFonts w:ascii="Times New Roman" w:hAnsi="Times New Roman" w:cs="Times New Roman"/>
          <w:sz w:val="28"/>
          <w:szCs w:val="28"/>
          <w:lang w:val="uk-UA"/>
        </w:rPr>
        <w:t>ий</w:t>
      </w:r>
      <w:r w:rsidRPr="00F60DC5">
        <w:rPr>
          <w:rFonts w:ascii="Times New Roman" w:hAnsi="Times New Roman" w:cs="Times New Roman"/>
          <w:sz w:val="28"/>
          <w:szCs w:val="28"/>
          <w:lang w:val="uk-UA"/>
        </w:rPr>
        <w:t>, місцями</w:t>
      </w:r>
      <w:r>
        <w:rPr>
          <w:rFonts w:ascii="Times New Roman" w:hAnsi="Times New Roman" w:cs="Times New Roman"/>
          <w:sz w:val="28"/>
          <w:szCs w:val="28"/>
          <w:lang w:val="uk-UA"/>
        </w:rPr>
        <w:t xml:space="preserve"> взагалі</w:t>
      </w:r>
      <w:r w:rsidRPr="00F60DC5">
        <w:rPr>
          <w:rFonts w:ascii="Times New Roman" w:hAnsi="Times New Roman" w:cs="Times New Roman"/>
          <w:sz w:val="28"/>
          <w:szCs w:val="28"/>
          <w:lang w:val="uk-UA"/>
        </w:rPr>
        <w:t xml:space="preserve"> не виявлявся. Відзначається витончення і подовження міоцитів, ознаки дистрофії міофібрил, гомогенізація цитоплазми м'язових волокон, набухання і редукція ядер міоцитів. У підслизовій основ</w:t>
      </w:r>
      <w:r w:rsidR="002F4783">
        <w:rPr>
          <w:rFonts w:ascii="Times New Roman" w:hAnsi="Times New Roman" w:cs="Times New Roman"/>
          <w:sz w:val="28"/>
          <w:szCs w:val="28"/>
          <w:lang w:val="uk-UA"/>
        </w:rPr>
        <w:t>і виявляються набряк, зтоншення</w:t>
      </w:r>
      <w:r w:rsidRPr="00F60DC5">
        <w:rPr>
          <w:rFonts w:ascii="Times New Roman" w:hAnsi="Times New Roman" w:cs="Times New Roman"/>
          <w:sz w:val="28"/>
          <w:szCs w:val="28"/>
          <w:lang w:val="uk-UA"/>
        </w:rPr>
        <w:t>, фрагментація і вогнищева елімінація волокнистих структур. Відзначається паретичне розширення і повнокров'я к</w:t>
      </w:r>
      <w:r w:rsidR="002F4783">
        <w:rPr>
          <w:rFonts w:ascii="Times New Roman" w:hAnsi="Times New Roman" w:cs="Times New Roman"/>
          <w:sz w:val="28"/>
          <w:szCs w:val="28"/>
          <w:lang w:val="uk-UA"/>
        </w:rPr>
        <w:t>апілярів, венул і вен у</w:t>
      </w:r>
      <w:r w:rsidRPr="00F60DC5">
        <w:rPr>
          <w:rFonts w:ascii="Times New Roman" w:hAnsi="Times New Roman" w:cs="Times New Roman"/>
          <w:sz w:val="28"/>
          <w:szCs w:val="28"/>
          <w:lang w:val="uk-UA"/>
        </w:rPr>
        <w:t>сіх кал</w:t>
      </w:r>
      <w:r w:rsidR="002F4783">
        <w:rPr>
          <w:rFonts w:ascii="Times New Roman" w:hAnsi="Times New Roman" w:cs="Times New Roman"/>
          <w:sz w:val="28"/>
          <w:szCs w:val="28"/>
          <w:lang w:val="uk-UA"/>
        </w:rPr>
        <w:t>ібрів з агрегацією еритроцитів у</w:t>
      </w:r>
      <w:r w:rsidRPr="00F60DC5">
        <w:rPr>
          <w:rFonts w:ascii="Times New Roman" w:hAnsi="Times New Roman" w:cs="Times New Roman"/>
          <w:sz w:val="28"/>
          <w:szCs w:val="28"/>
          <w:lang w:val="uk-UA"/>
        </w:rPr>
        <w:t xml:space="preserve"> їх просвіті. Також спостерігається вих</w:t>
      </w:r>
      <w:r w:rsidR="002F4783">
        <w:rPr>
          <w:rFonts w:ascii="Times New Roman" w:hAnsi="Times New Roman" w:cs="Times New Roman"/>
          <w:sz w:val="28"/>
          <w:szCs w:val="28"/>
          <w:lang w:val="uk-UA"/>
        </w:rPr>
        <w:t>ід еритроцитів у</w:t>
      </w:r>
      <w:r>
        <w:rPr>
          <w:rFonts w:ascii="Times New Roman" w:hAnsi="Times New Roman" w:cs="Times New Roman"/>
          <w:sz w:val="28"/>
          <w:szCs w:val="28"/>
          <w:lang w:val="uk-UA"/>
        </w:rPr>
        <w:t xml:space="preserve"> периваскулярний</w:t>
      </w:r>
      <w:r w:rsidRPr="00F60DC5">
        <w:rPr>
          <w:rFonts w:ascii="Times New Roman" w:hAnsi="Times New Roman" w:cs="Times New Roman"/>
          <w:sz w:val="28"/>
          <w:szCs w:val="28"/>
          <w:lang w:val="uk-UA"/>
        </w:rPr>
        <w:t xml:space="preserve"> простір.</w:t>
      </w:r>
    </w:p>
    <w:p w14:paraId="67784D39" w14:textId="77777777" w:rsidR="00544810" w:rsidRPr="002F4783" w:rsidRDefault="00544810" w:rsidP="00A448F8">
      <w:pPr>
        <w:spacing w:after="0" w:line="360" w:lineRule="auto"/>
        <w:ind w:firstLine="708"/>
        <w:jc w:val="both"/>
        <w:rPr>
          <w:sz w:val="28"/>
          <w:szCs w:val="28"/>
          <w:lang w:val="uk-UA"/>
        </w:rPr>
      </w:pPr>
    </w:p>
    <w:p w14:paraId="0D377BAC" w14:textId="77777777" w:rsidR="00544810" w:rsidRPr="00947EBD" w:rsidRDefault="00544810" w:rsidP="00A448F8">
      <w:pPr>
        <w:spacing w:after="0" w:line="360" w:lineRule="auto"/>
        <w:jc w:val="center"/>
        <w:rPr>
          <w:sz w:val="28"/>
          <w:szCs w:val="28"/>
        </w:rPr>
      </w:pPr>
      <w:r w:rsidRPr="00947EBD">
        <w:rPr>
          <w:noProof/>
          <w:sz w:val="28"/>
          <w:szCs w:val="28"/>
        </w:rPr>
        <w:drawing>
          <wp:inline distT="0" distB="0" distL="0" distR="0" wp14:anchorId="10E1641E" wp14:editId="31CA852D">
            <wp:extent cx="4314825" cy="3238500"/>
            <wp:effectExtent l="0" t="0" r="9525" b="0"/>
            <wp:docPr id="130" name="Picture 130" descr="ge922pn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e922pn40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2490218B" w14:textId="035973B7"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973FDB">
        <w:rPr>
          <w:rFonts w:ascii="Times New Roman" w:hAnsi="Times New Roman" w:cs="Times New Roman"/>
          <w:sz w:val="28"/>
          <w:szCs w:val="28"/>
          <w:lang w:val="uk-UA"/>
        </w:rPr>
        <w:t>.</w:t>
      </w:r>
      <w:r w:rsidR="00544810">
        <w:rPr>
          <w:rFonts w:ascii="Times New Roman" w:hAnsi="Times New Roman" w:cs="Times New Roman"/>
          <w:sz w:val="28"/>
          <w:szCs w:val="28"/>
          <w:lang w:val="uk-UA"/>
        </w:rPr>
        <w:t>9.</w:t>
      </w:r>
      <w:r w:rsidR="00544810" w:rsidRPr="00973FDB">
        <w:rPr>
          <w:rFonts w:ascii="Times New Roman" w:hAnsi="Times New Roman" w:cs="Times New Roman"/>
          <w:sz w:val="28"/>
          <w:szCs w:val="28"/>
          <w:lang w:val="uk-UA"/>
        </w:rPr>
        <w:t xml:space="preserve"> Густа капілярна мережа за рахунок появи молодих капілярів. Великі</w:t>
      </w:r>
      <w:r w:rsidR="00544810">
        <w:rPr>
          <w:rFonts w:ascii="Times New Roman" w:hAnsi="Times New Roman" w:cs="Times New Roman"/>
          <w:sz w:val="28"/>
          <w:szCs w:val="28"/>
          <w:lang w:val="uk-UA"/>
        </w:rPr>
        <w:t xml:space="preserve"> ендотеліальні і адвентиціальні</w:t>
      </w:r>
      <w:r w:rsidR="00544810" w:rsidRPr="00973FDB">
        <w:rPr>
          <w:rFonts w:ascii="Times New Roman" w:hAnsi="Times New Roman" w:cs="Times New Roman"/>
          <w:sz w:val="28"/>
          <w:szCs w:val="28"/>
          <w:lang w:val="uk-UA"/>
        </w:rPr>
        <w:t xml:space="preserve"> клітини</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973FDB">
        <w:rPr>
          <w:rFonts w:ascii="Times New Roman" w:hAnsi="Times New Roman" w:cs="Times New Roman"/>
          <w:sz w:val="28"/>
          <w:szCs w:val="28"/>
          <w:lang w:val="uk-UA"/>
        </w:rPr>
        <w:t>. Помірна гіперхроматія ядер. Забарвлення гематоксиліном і еозином. Збільшення х400.</w:t>
      </w:r>
    </w:p>
    <w:p w14:paraId="4863A3D8" w14:textId="1541BE3D"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ІГХ імунопозитивна тканина</w:t>
      </w:r>
      <w:r w:rsidR="002F4783">
        <w:rPr>
          <w:rFonts w:ascii="Times New Roman" w:hAnsi="Times New Roman" w:cs="Times New Roman"/>
          <w:sz w:val="28"/>
          <w:szCs w:val="28"/>
          <w:lang w:val="uk-UA"/>
        </w:rPr>
        <w:t xml:space="preserve"> до eNOs виявляється як у</w:t>
      </w:r>
      <w:r w:rsidRPr="00973FDB">
        <w:rPr>
          <w:rFonts w:ascii="Times New Roman" w:hAnsi="Times New Roman" w:cs="Times New Roman"/>
          <w:sz w:val="28"/>
          <w:szCs w:val="28"/>
          <w:lang w:val="uk-UA"/>
        </w:rPr>
        <w:t xml:space="preserve"> змінених, так і в незмінених ділянках слизової оболонки ротової порожнини, що абсолютно логічно</w:t>
      </w:r>
      <w:r>
        <w:rPr>
          <w:rFonts w:ascii="Times New Roman" w:hAnsi="Times New Roman" w:cs="Times New Roman"/>
          <w:sz w:val="28"/>
          <w:szCs w:val="28"/>
          <w:lang w:val="uk-UA"/>
        </w:rPr>
        <w:t xml:space="preserve"> можна</w:t>
      </w:r>
      <w:r w:rsidRPr="00973FDB">
        <w:rPr>
          <w:rFonts w:ascii="Times New Roman" w:hAnsi="Times New Roman" w:cs="Times New Roman"/>
          <w:sz w:val="28"/>
          <w:szCs w:val="28"/>
          <w:lang w:val="uk-UA"/>
        </w:rPr>
        <w:t xml:space="preserve"> пояснити наявністю судин мікроциркуляторного русла. При цьому як на поздовжніх, так і поперечних зрізах судин</w:t>
      </w:r>
      <w:r w:rsidR="006E281B">
        <w:rPr>
          <w:rFonts w:ascii="Times New Roman" w:hAnsi="Times New Roman" w:cs="Times New Roman"/>
          <w:sz w:val="28"/>
          <w:szCs w:val="28"/>
          <w:lang w:val="uk-UA"/>
        </w:rPr>
        <w:t>,</w:t>
      </w:r>
      <w:r w:rsidRPr="00973FDB">
        <w:rPr>
          <w:rFonts w:ascii="Times New Roman" w:hAnsi="Times New Roman" w:cs="Times New Roman"/>
          <w:sz w:val="28"/>
          <w:szCs w:val="28"/>
          <w:lang w:val="uk-UA"/>
        </w:rPr>
        <w:t xml:space="preserve"> eNOs виявляється перш за все в ендотелії, при цьому накопиче</w:t>
      </w:r>
      <w:r>
        <w:rPr>
          <w:rFonts w:ascii="Times New Roman" w:hAnsi="Times New Roman" w:cs="Times New Roman"/>
          <w:sz w:val="28"/>
          <w:szCs w:val="28"/>
          <w:lang w:val="uk-UA"/>
        </w:rPr>
        <w:t>ння барвника в ендотелії не таке виражен</w:t>
      </w:r>
      <w:r w:rsidR="006E281B">
        <w:rPr>
          <w:rFonts w:ascii="Times New Roman" w:hAnsi="Times New Roman" w:cs="Times New Roman"/>
          <w:sz w:val="28"/>
          <w:szCs w:val="28"/>
          <w:lang w:val="uk-UA"/>
        </w:rPr>
        <w:t>е</w:t>
      </w:r>
      <w:r w:rsidRPr="00973FDB">
        <w:rPr>
          <w:rFonts w:ascii="Times New Roman" w:hAnsi="Times New Roman" w:cs="Times New Roman"/>
          <w:sz w:val="28"/>
          <w:szCs w:val="28"/>
          <w:lang w:val="uk-UA"/>
        </w:rPr>
        <w:t>, що підтверджується і</w:t>
      </w:r>
      <w:r>
        <w:rPr>
          <w:rFonts w:ascii="Times New Roman" w:hAnsi="Times New Roman" w:cs="Times New Roman"/>
          <w:sz w:val="28"/>
          <w:szCs w:val="28"/>
          <w:lang w:val="uk-UA"/>
        </w:rPr>
        <w:t xml:space="preserve"> наведеними нижче даними </w:t>
      </w:r>
      <w:r w:rsidR="00E74A75">
        <w:rPr>
          <w:rFonts w:ascii="Times New Roman" w:hAnsi="Times New Roman" w:cs="Times New Roman"/>
          <w:sz w:val="28"/>
          <w:szCs w:val="28"/>
          <w:lang w:val="uk-UA"/>
        </w:rPr>
        <w:t>цитоморфо</w:t>
      </w:r>
      <w:r>
        <w:rPr>
          <w:rFonts w:ascii="Times New Roman" w:hAnsi="Times New Roman" w:cs="Times New Roman"/>
          <w:sz w:val="28"/>
          <w:szCs w:val="28"/>
          <w:lang w:val="uk-UA"/>
        </w:rPr>
        <w:t>метрічного</w:t>
      </w:r>
      <w:r w:rsidRPr="00973FDB">
        <w:rPr>
          <w:rFonts w:ascii="Times New Roman" w:hAnsi="Times New Roman" w:cs="Times New Roman"/>
          <w:sz w:val="28"/>
          <w:szCs w:val="28"/>
          <w:lang w:val="uk-UA"/>
        </w:rPr>
        <w:t xml:space="preserve"> вимірювання. У той же час </w:t>
      </w:r>
      <w:r>
        <w:rPr>
          <w:rFonts w:ascii="Times New Roman" w:hAnsi="Times New Roman" w:cs="Times New Roman"/>
          <w:sz w:val="28"/>
          <w:szCs w:val="28"/>
          <w:lang w:val="uk-UA"/>
        </w:rPr>
        <w:t>імунореактивність</w:t>
      </w:r>
      <w:r w:rsidRPr="00973FDB">
        <w:rPr>
          <w:rFonts w:ascii="Times New Roman" w:hAnsi="Times New Roman" w:cs="Times New Roman"/>
          <w:sz w:val="28"/>
          <w:szCs w:val="28"/>
          <w:lang w:val="uk-UA"/>
        </w:rPr>
        <w:t xml:space="preserve"> e</w:t>
      </w:r>
      <w:r>
        <w:rPr>
          <w:rFonts w:ascii="Times New Roman" w:hAnsi="Times New Roman" w:cs="Times New Roman"/>
          <w:sz w:val="28"/>
          <w:szCs w:val="28"/>
          <w:lang w:val="uk-UA"/>
        </w:rPr>
        <w:t>NOs виявляється і з позасудинною</w:t>
      </w:r>
      <w:r w:rsidRPr="00973FDB">
        <w:rPr>
          <w:rFonts w:ascii="Times New Roman" w:hAnsi="Times New Roman" w:cs="Times New Roman"/>
          <w:sz w:val="28"/>
          <w:szCs w:val="28"/>
          <w:lang w:val="uk-UA"/>
        </w:rPr>
        <w:t xml:space="preserve"> локалізацією, при цьому така картина спостерігається і у власній пластинці слизової, і </w:t>
      </w:r>
      <w:r>
        <w:rPr>
          <w:rFonts w:ascii="Times New Roman" w:hAnsi="Times New Roman" w:cs="Times New Roman"/>
          <w:sz w:val="28"/>
          <w:szCs w:val="28"/>
          <w:lang w:val="uk-UA"/>
        </w:rPr>
        <w:t xml:space="preserve">у нижче розташованому м’язовому шарі (рис.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.10</w:t>
      </w:r>
      <w:r w:rsidRPr="00973FDB">
        <w:rPr>
          <w:rFonts w:ascii="Times New Roman" w:hAnsi="Times New Roman" w:cs="Times New Roman"/>
          <w:sz w:val="28"/>
          <w:szCs w:val="28"/>
          <w:lang w:val="uk-UA"/>
        </w:rPr>
        <w:t>).</w:t>
      </w:r>
      <w:r w:rsidRPr="00973FDB">
        <w:rPr>
          <w:lang w:val="uk-UA"/>
        </w:rPr>
        <w:t xml:space="preserve"> </w:t>
      </w:r>
      <w:r w:rsidRPr="00973FDB">
        <w:rPr>
          <w:rFonts w:ascii="Times New Roman" w:hAnsi="Times New Roman" w:cs="Times New Roman"/>
          <w:sz w:val="28"/>
          <w:szCs w:val="28"/>
          <w:lang w:val="uk-UA"/>
        </w:rPr>
        <w:t>Характерним для цієї групи є нерівномірність накопичення барвника, так</w:t>
      </w:r>
      <w:r>
        <w:rPr>
          <w:rFonts w:ascii="Times New Roman" w:hAnsi="Times New Roman" w:cs="Times New Roman"/>
          <w:sz w:val="28"/>
          <w:szCs w:val="28"/>
          <w:lang w:val="uk-UA"/>
        </w:rPr>
        <w:t>ож</w:t>
      </w:r>
      <w:r w:rsidRPr="00973FDB">
        <w:rPr>
          <w:rFonts w:ascii="Times New Roman" w:hAnsi="Times New Roman" w:cs="Times New Roman"/>
          <w:sz w:val="28"/>
          <w:szCs w:val="28"/>
          <w:lang w:val="uk-UA"/>
        </w:rPr>
        <w:t xml:space="preserve"> зустрічаються ділянки тканини зі слабо позитивним фарбуванням навіть при відсутності прилеглих судин. Ендотелій при цьому забарвлюється хоч і інте</w:t>
      </w:r>
      <w:r>
        <w:rPr>
          <w:rFonts w:ascii="Times New Roman" w:hAnsi="Times New Roman" w:cs="Times New Roman"/>
          <w:sz w:val="28"/>
          <w:szCs w:val="28"/>
          <w:lang w:val="uk-UA"/>
        </w:rPr>
        <w:t>нсивніше, ніж навколишня тканина, але чіткого, практично лінійного коричневого</w:t>
      </w:r>
      <w:r w:rsidRPr="00973FDB">
        <w:rPr>
          <w:rFonts w:ascii="Times New Roman" w:hAnsi="Times New Roman" w:cs="Times New Roman"/>
          <w:sz w:val="28"/>
          <w:szCs w:val="28"/>
          <w:lang w:val="uk-UA"/>
        </w:rPr>
        <w:t xml:space="preserve"> забарвлення не спостерігається</w:t>
      </w:r>
      <w:r>
        <w:rPr>
          <w:rFonts w:ascii="Times New Roman" w:hAnsi="Times New Roman" w:cs="Times New Roman"/>
          <w:sz w:val="28"/>
          <w:szCs w:val="28"/>
          <w:lang w:val="uk-UA"/>
        </w:rPr>
        <w:t xml:space="preserve"> (рис.3.11)</w:t>
      </w:r>
      <w:r w:rsidRPr="00973FDB">
        <w:rPr>
          <w:rFonts w:ascii="Times New Roman" w:hAnsi="Times New Roman" w:cs="Times New Roman"/>
          <w:sz w:val="28"/>
          <w:szCs w:val="28"/>
          <w:lang w:val="uk-UA"/>
        </w:rPr>
        <w:t>.</w:t>
      </w:r>
    </w:p>
    <w:p w14:paraId="313D3455" w14:textId="2212EF3C" w:rsidR="00544810" w:rsidRPr="000C5476" w:rsidRDefault="00544810" w:rsidP="000C5476">
      <w:pPr>
        <w:spacing w:after="0" w:line="360" w:lineRule="auto"/>
        <w:ind w:firstLine="709"/>
        <w:jc w:val="both"/>
        <w:rPr>
          <w:rFonts w:ascii="Times New Roman" w:hAnsi="Times New Roman" w:cs="Times New Roman"/>
          <w:sz w:val="28"/>
          <w:szCs w:val="28"/>
          <w:lang w:val="uk-UA"/>
        </w:rPr>
      </w:pPr>
      <w:r w:rsidRPr="00B33512">
        <w:rPr>
          <w:rFonts w:ascii="Times New Roman" w:hAnsi="Times New Roman" w:cs="Times New Roman"/>
          <w:sz w:val="28"/>
          <w:szCs w:val="28"/>
          <w:lang w:val="uk-UA"/>
        </w:rPr>
        <w:t xml:space="preserve">Проведення цитофотометрії вказує </w:t>
      </w:r>
      <w:r>
        <w:rPr>
          <w:rFonts w:ascii="Times New Roman" w:hAnsi="Times New Roman" w:cs="Times New Roman"/>
          <w:sz w:val="28"/>
          <w:szCs w:val="28"/>
          <w:lang w:val="uk-UA"/>
        </w:rPr>
        <w:t xml:space="preserve">на </w:t>
      </w:r>
      <w:r w:rsidRPr="00B33512">
        <w:rPr>
          <w:rFonts w:ascii="Times New Roman" w:hAnsi="Times New Roman" w:cs="Times New Roman"/>
          <w:sz w:val="28"/>
          <w:szCs w:val="28"/>
          <w:lang w:val="uk-UA"/>
        </w:rPr>
        <w:t>показники накопичення ендотеліальної NO-синта</w:t>
      </w:r>
      <w:r>
        <w:rPr>
          <w:rFonts w:ascii="Times New Roman" w:hAnsi="Times New Roman" w:cs="Times New Roman"/>
          <w:sz w:val="28"/>
          <w:szCs w:val="28"/>
          <w:lang w:val="uk-UA"/>
        </w:rPr>
        <w:t>зи в стінці судин на рівні 0,79±0,11 ум.од., у</w:t>
      </w:r>
      <w:r w:rsidRPr="00B33512">
        <w:rPr>
          <w:rFonts w:ascii="Times New Roman" w:hAnsi="Times New Roman" w:cs="Times New Roman"/>
          <w:sz w:val="28"/>
          <w:szCs w:val="28"/>
          <w:lang w:val="uk-UA"/>
        </w:rPr>
        <w:t xml:space="preserve"> периваскулярном</w:t>
      </w:r>
      <w:r>
        <w:rPr>
          <w:rFonts w:ascii="Times New Roman" w:hAnsi="Times New Roman" w:cs="Times New Roman"/>
          <w:sz w:val="28"/>
          <w:szCs w:val="28"/>
          <w:lang w:val="uk-UA"/>
        </w:rPr>
        <w:t>у просторі 0,27±0,04 ум.о</w:t>
      </w:r>
      <w:r w:rsidRPr="00B33512">
        <w:rPr>
          <w:rFonts w:ascii="Times New Roman" w:hAnsi="Times New Roman" w:cs="Times New Roman"/>
          <w:sz w:val="28"/>
          <w:szCs w:val="28"/>
          <w:lang w:val="uk-UA"/>
        </w:rPr>
        <w:t>д.</w:t>
      </w:r>
    </w:p>
    <w:p w14:paraId="140D7002" w14:textId="77777777" w:rsidR="00544810" w:rsidRPr="00947EBD" w:rsidRDefault="00544810" w:rsidP="00A448F8">
      <w:pPr>
        <w:spacing w:after="0" w:line="360" w:lineRule="auto"/>
        <w:jc w:val="center"/>
        <w:rPr>
          <w:sz w:val="28"/>
          <w:szCs w:val="28"/>
        </w:rPr>
      </w:pPr>
      <w:r w:rsidRPr="00947EBD">
        <w:rPr>
          <w:noProof/>
          <w:sz w:val="28"/>
          <w:szCs w:val="28"/>
        </w:rPr>
        <w:drawing>
          <wp:inline distT="0" distB="0" distL="0" distR="0" wp14:anchorId="4163E49E" wp14:editId="77DA86B8">
            <wp:extent cx="4076700" cy="3053035"/>
            <wp:effectExtent l="0" t="0" r="0" b="0"/>
            <wp:docPr id="131" name="Picture 131"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is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81768" cy="3056831"/>
                    </a:xfrm>
                    <a:prstGeom prst="rect">
                      <a:avLst/>
                    </a:prstGeom>
                    <a:noFill/>
                    <a:ln>
                      <a:noFill/>
                    </a:ln>
                  </pic:spPr>
                </pic:pic>
              </a:graphicData>
            </a:graphic>
          </wp:inline>
        </w:drawing>
      </w:r>
    </w:p>
    <w:p w14:paraId="15F698FB" w14:textId="797F41F9" w:rsidR="00544810" w:rsidRPr="000C5476" w:rsidRDefault="00B464E6" w:rsidP="000C54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B33512">
        <w:rPr>
          <w:rFonts w:ascii="Times New Roman" w:hAnsi="Times New Roman" w:cs="Times New Roman"/>
          <w:sz w:val="28"/>
          <w:szCs w:val="28"/>
          <w:lang w:val="uk-UA"/>
        </w:rPr>
        <w:t>.</w:t>
      </w:r>
      <w:r w:rsidR="00544810">
        <w:rPr>
          <w:rFonts w:ascii="Times New Roman" w:hAnsi="Times New Roman" w:cs="Times New Roman"/>
          <w:sz w:val="28"/>
          <w:szCs w:val="28"/>
          <w:lang w:val="uk-UA"/>
        </w:rPr>
        <w:t>10.</w:t>
      </w:r>
      <w:r w:rsidR="00544810" w:rsidRPr="00B33512">
        <w:rPr>
          <w:rFonts w:ascii="Times New Roman" w:hAnsi="Times New Roman" w:cs="Times New Roman"/>
          <w:sz w:val="28"/>
          <w:szCs w:val="28"/>
          <w:lang w:val="uk-UA"/>
        </w:rPr>
        <w:t xml:space="preserve"> Локалізація eNOs не тільки </w:t>
      </w:r>
      <w:r w:rsidR="00544810">
        <w:rPr>
          <w:rFonts w:ascii="Times New Roman" w:hAnsi="Times New Roman" w:cs="Times New Roman"/>
          <w:sz w:val="28"/>
          <w:szCs w:val="28"/>
          <w:lang w:val="uk-UA"/>
        </w:rPr>
        <w:t>в ендотелії, але і в периваскуляр</w:t>
      </w:r>
      <w:r w:rsidR="00544810" w:rsidRPr="00B33512">
        <w:rPr>
          <w:rFonts w:ascii="Times New Roman" w:hAnsi="Times New Roman" w:cs="Times New Roman"/>
          <w:sz w:val="28"/>
          <w:szCs w:val="28"/>
          <w:lang w:val="uk-UA"/>
        </w:rPr>
        <w:t>ном</w:t>
      </w:r>
      <w:r w:rsidR="00544810">
        <w:rPr>
          <w:rFonts w:ascii="Times New Roman" w:hAnsi="Times New Roman" w:cs="Times New Roman"/>
          <w:sz w:val="28"/>
          <w:szCs w:val="28"/>
          <w:lang w:val="uk-UA"/>
        </w:rPr>
        <w:t>у</w:t>
      </w:r>
      <w:r w:rsidR="00544810" w:rsidRPr="00B33512">
        <w:rPr>
          <w:rFonts w:ascii="Times New Roman" w:hAnsi="Times New Roman" w:cs="Times New Roman"/>
          <w:sz w:val="28"/>
          <w:szCs w:val="28"/>
          <w:lang w:val="uk-UA"/>
        </w:rPr>
        <w:t xml:space="preserve"> просторі м'язової пластинки слизової</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B33512">
        <w:rPr>
          <w:rFonts w:ascii="Times New Roman" w:hAnsi="Times New Roman" w:cs="Times New Roman"/>
          <w:sz w:val="28"/>
          <w:szCs w:val="28"/>
          <w:lang w:val="uk-UA"/>
        </w:rPr>
        <w:t>. Пероксидазна реакція з МКА до eNOs. Збільшення х400.</w:t>
      </w:r>
    </w:p>
    <w:p w14:paraId="30579433" w14:textId="77777777" w:rsidR="00544810" w:rsidRPr="00100EEB" w:rsidRDefault="00544810" w:rsidP="00A448F8">
      <w:pPr>
        <w:spacing w:after="0" w:line="360" w:lineRule="auto"/>
        <w:jc w:val="center"/>
      </w:pPr>
      <w:r w:rsidRPr="00BC74BE">
        <w:rPr>
          <w:noProof/>
        </w:rPr>
        <w:drawing>
          <wp:inline distT="0" distB="0" distL="0" distR="0" wp14:anchorId="1477D83C" wp14:editId="51C4ABE9">
            <wp:extent cx="4200525" cy="3145768"/>
            <wp:effectExtent l="0" t="0" r="0" b="0"/>
            <wp:docPr id="135" name="Picture 135" descr="r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is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05119" cy="3149209"/>
                    </a:xfrm>
                    <a:prstGeom prst="rect">
                      <a:avLst/>
                    </a:prstGeom>
                    <a:noFill/>
                    <a:ln>
                      <a:noFill/>
                    </a:ln>
                  </pic:spPr>
                </pic:pic>
              </a:graphicData>
            </a:graphic>
          </wp:inline>
        </w:drawing>
      </w:r>
    </w:p>
    <w:p w14:paraId="2ADD3927" w14:textId="1A096709" w:rsidR="00544810" w:rsidRDefault="00544810"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B464E6">
        <w:rPr>
          <w:rFonts w:ascii="Times New Roman" w:hAnsi="Times New Roman" w:cs="Times New Roman"/>
          <w:sz w:val="28"/>
          <w:szCs w:val="28"/>
          <w:lang w:val="uk-UA"/>
        </w:rPr>
        <w:t xml:space="preserve"> 3</w:t>
      </w:r>
      <w:r w:rsidRPr="00E34B92">
        <w:rPr>
          <w:rFonts w:ascii="Times New Roman" w:hAnsi="Times New Roman" w:cs="Times New Roman"/>
          <w:sz w:val="28"/>
          <w:szCs w:val="28"/>
          <w:lang w:val="uk-UA"/>
        </w:rPr>
        <w:t>.</w:t>
      </w:r>
      <w:r>
        <w:rPr>
          <w:rFonts w:ascii="Times New Roman" w:hAnsi="Times New Roman" w:cs="Times New Roman"/>
          <w:sz w:val="28"/>
          <w:szCs w:val="28"/>
          <w:lang w:val="uk-UA"/>
        </w:rPr>
        <w:t>11.</w:t>
      </w:r>
      <w:r w:rsidRPr="00E34B92">
        <w:rPr>
          <w:rFonts w:ascii="Times New Roman" w:hAnsi="Times New Roman" w:cs="Times New Roman"/>
          <w:sz w:val="28"/>
          <w:szCs w:val="28"/>
          <w:lang w:val="uk-UA"/>
        </w:rPr>
        <w:t xml:space="preserve"> Локалізація eNOs не тільки в судинах </w:t>
      </w:r>
      <w:r w:rsidR="002F4783">
        <w:rPr>
          <w:rFonts w:ascii="Times New Roman" w:hAnsi="Times New Roman" w:cs="Times New Roman"/>
          <w:sz w:val="28"/>
          <w:szCs w:val="28"/>
          <w:lang w:val="uk-UA"/>
        </w:rPr>
        <w:t>мікроциркуляторного русла, а й у</w:t>
      </w:r>
      <w:r w:rsidRPr="00E34B92">
        <w:rPr>
          <w:rFonts w:ascii="Times New Roman" w:hAnsi="Times New Roman" w:cs="Times New Roman"/>
          <w:sz w:val="28"/>
          <w:szCs w:val="28"/>
          <w:lang w:val="uk-UA"/>
        </w:rPr>
        <w:t xml:space="preserve"> периваскулярном</w:t>
      </w:r>
      <w:r>
        <w:rPr>
          <w:rFonts w:ascii="Times New Roman" w:hAnsi="Times New Roman" w:cs="Times New Roman"/>
          <w:sz w:val="28"/>
          <w:szCs w:val="28"/>
          <w:lang w:val="uk-UA"/>
        </w:rPr>
        <w:t>у</w:t>
      </w:r>
      <w:r w:rsidRPr="00E34B92">
        <w:rPr>
          <w:rFonts w:ascii="Times New Roman" w:hAnsi="Times New Roman" w:cs="Times New Roman"/>
          <w:sz w:val="28"/>
          <w:szCs w:val="28"/>
          <w:lang w:val="uk-UA"/>
        </w:rPr>
        <w:t xml:space="preserve"> просторі м'язової пластинки слизової</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Pr="00E34B92">
        <w:rPr>
          <w:rFonts w:ascii="Times New Roman" w:hAnsi="Times New Roman" w:cs="Times New Roman"/>
          <w:sz w:val="28"/>
          <w:szCs w:val="28"/>
          <w:lang w:val="uk-UA"/>
        </w:rPr>
        <w:t>. Пероксидазна реакція з МКА до eNOs. Збільшення х200.</w:t>
      </w:r>
    </w:p>
    <w:p w14:paraId="03E651BB" w14:textId="67EEB805"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морфометричного</w:t>
      </w:r>
      <w:r w:rsidRPr="00E34B92">
        <w:rPr>
          <w:rFonts w:ascii="Times New Roman" w:hAnsi="Times New Roman" w:cs="Times New Roman"/>
          <w:sz w:val="28"/>
          <w:szCs w:val="28"/>
          <w:lang w:val="uk-UA"/>
        </w:rPr>
        <w:t xml:space="preserve"> дослідження виявляється, що рівень активності eNOs достовірно не відрізняється в судин</w:t>
      </w:r>
      <w:r w:rsidR="002F4783">
        <w:rPr>
          <w:rFonts w:ascii="Times New Roman" w:hAnsi="Times New Roman" w:cs="Times New Roman"/>
          <w:sz w:val="28"/>
          <w:szCs w:val="28"/>
          <w:lang w:val="uk-UA"/>
        </w:rPr>
        <w:t>ній стінці різних груп тварин, у</w:t>
      </w:r>
      <w:r w:rsidRPr="00E34B92">
        <w:rPr>
          <w:rFonts w:ascii="Times New Roman" w:hAnsi="Times New Roman" w:cs="Times New Roman"/>
          <w:sz w:val="28"/>
          <w:szCs w:val="28"/>
          <w:lang w:val="uk-UA"/>
        </w:rPr>
        <w:t xml:space="preserve"> той час як позасудинна локалізація eNOs достовірно вище в гру</w:t>
      </w:r>
      <w:r w:rsidR="00E74A75">
        <w:rPr>
          <w:rFonts w:ascii="Times New Roman" w:hAnsi="Times New Roman" w:cs="Times New Roman"/>
          <w:sz w:val="28"/>
          <w:szCs w:val="28"/>
          <w:lang w:val="uk-UA"/>
        </w:rPr>
        <w:t>пі тварин з модельованою</w:t>
      </w:r>
      <w:r>
        <w:rPr>
          <w:rFonts w:ascii="Times New Roman" w:hAnsi="Times New Roman" w:cs="Times New Roman"/>
          <w:sz w:val="28"/>
          <w:szCs w:val="28"/>
          <w:lang w:val="uk-UA"/>
        </w:rPr>
        <w:t xml:space="preserve"> атопією</w:t>
      </w:r>
      <w:r w:rsidRPr="00E34B92">
        <w:rPr>
          <w:rFonts w:ascii="Times New Roman" w:hAnsi="Times New Roman" w:cs="Times New Roman"/>
          <w:sz w:val="28"/>
          <w:szCs w:val="28"/>
          <w:lang w:val="uk-UA"/>
        </w:rPr>
        <w:t xml:space="preserve"> (табл. </w:t>
      </w:r>
      <w:r w:rsidR="00B464E6">
        <w:rPr>
          <w:rFonts w:ascii="Times New Roman" w:hAnsi="Times New Roman" w:cs="Times New Roman"/>
          <w:sz w:val="28"/>
          <w:szCs w:val="28"/>
          <w:lang w:val="uk-UA"/>
        </w:rPr>
        <w:t>3</w:t>
      </w:r>
      <w:r>
        <w:rPr>
          <w:rFonts w:ascii="Times New Roman" w:hAnsi="Times New Roman" w:cs="Times New Roman"/>
          <w:sz w:val="28"/>
          <w:szCs w:val="28"/>
          <w:lang w:val="uk-UA"/>
        </w:rPr>
        <w:t>.1</w:t>
      </w:r>
      <w:r w:rsidRPr="00E34B92">
        <w:rPr>
          <w:rFonts w:ascii="Times New Roman" w:hAnsi="Times New Roman" w:cs="Times New Roman"/>
          <w:sz w:val="28"/>
          <w:szCs w:val="28"/>
          <w:lang w:val="uk-UA"/>
        </w:rPr>
        <w:t>).</w:t>
      </w:r>
    </w:p>
    <w:p w14:paraId="35DA2E21" w14:textId="12F72789" w:rsidR="00544810" w:rsidRDefault="00B464E6" w:rsidP="00A448F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544810">
        <w:rPr>
          <w:rFonts w:ascii="Times New Roman" w:hAnsi="Times New Roman" w:cs="Times New Roman"/>
          <w:sz w:val="28"/>
          <w:szCs w:val="28"/>
          <w:lang w:val="uk-UA"/>
        </w:rPr>
        <w:t>.1</w:t>
      </w:r>
    </w:p>
    <w:p w14:paraId="541B60D7" w14:textId="77777777" w:rsidR="00E45A7E" w:rsidRDefault="00544810" w:rsidP="00A448F8">
      <w:pPr>
        <w:spacing w:after="0" w:line="360" w:lineRule="auto"/>
        <w:ind w:firstLine="709"/>
        <w:jc w:val="center"/>
        <w:rPr>
          <w:rFonts w:ascii="Times New Roman" w:hAnsi="Times New Roman" w:cs="Times New Roman"/>
          <w:sz w:val="28"/>
          <w:szCs w:val="28"/>
        </w:rPr>
      </w:pPr>
      <w:r w:rsidRPr="00E34B92">
        <w:rPr>
          <w:rFonts w:ascii="Times New Roman" w:hAnsi="Times New Roman" w:cs="Times New Roman"/>
          <w:sz w:val="28"/>
          <w:szCs w:val="28"/>
          <w:lang w:val="uk-UA"/>
        </w:rPr>
        <w:t>Морфометричні показники активності різних фракцій</w:t>
      </w:r>
    </w:p>
    <w:p w14:paraId="0E286E80" w14:textId="395F0C18" w:rsidR="00544810" w:rsidRDefault="00544810" w:rsidP="00A448F8">
      <w:pPr>
        <w:spacing w:after="0" w:line="360" w:lineRule="auto"/>
        <w:ind w:firstLine="709"/>
        <w:jc w:val="center"/>
        <w:rPr>
          <w:rFonts w:ascii="Times New Roman" w:hAnsi="Times New Roman" w:cs="Times New Roman"/>
          <w:sz w:val="28"/>
          <w:szCs w:val="28"/>
          <w:lang w:val="uk-UA"/>
        </w:rPr>
      </w:pPr>
      <w:r w:rsidRPr="00E34B92">
        <w:rPr>
          <w:rFonts w:ascii="Times New Roman" w:hAnsi="Times New Roman" w:cs="Times New Roman"/>
          <w:sz w:val="28"/>
          <w:szCs w:val="28"/>
          <w:lang w:val="uk-UA"/>
        </w:rPr>
        <w:t xml:space="preserve"> синтази оксиду азоту</w:t>
      </w:r>
    </w:p>
    <w:tbl>
      <w:tblPr>
        <w:tblStyle w:val="TableGrid1"/>
        <w:tblW w:w="9003" w:type="dxa"/>
        <w:jc w:val="center"/>
        <w:tblCellMar>
          <w:left w:w="57" w:type="dxa"/>
          <w:right w:w="57" w:type="dxa"/>
        </w:tblCellMar>
        <w:tblLook w:val="01E0" w:firstRow="1" w:lastRow="1" w:firstColumn="1" w:lastColumn="1" w:noHBand="0" w:noVBand="0"/>
      </w:tblPr>
      <w:tblGrid>
        <w:gridCol w:w="2134"/>
        <w:gridCol w:w="1998"/>
        <w:gridCol w:w="2211"/>
        <w:gridCol w:w="2660"/>
      </w:tblGrid>
      <w:tr w:rsidR="00544810" w:rsidRPr="00E34B92" w14:paraId="533C6868" w14:textId="77777777" w:rsidTr="00B11C46">
        <w:trPr>
          <w:jc w:val="center"/>
        </w:trPr>
        <w:tc>
          <w:tcPr>
            <w:tcW w:w="2134" w:type="dxa"/>
            <w:tcBorders>
              <w:left w:val="single" w:sz="4" w:space="0" w:color="auto"/>
            </w:tcBorders>
            <w:vAlign w:val="center"/>
          </w:tcPr>
          <w:p w14:paraId="4023D50E" w14:textId="77777777" w:rsidR="00544810" w:rsidRPr="00E34B92" w:rsidRDefault="00544810" w:rsidP="00B11C46">
            <w:pPr>
              <w:jc w:val="center"/>
              <w:rPr>
                <w:spacing w:val="-2"/>
                <w:sz w:val="28"/>
                <w:szCs w:val="28"/>
                <w:lang w:val="ru-RU" w:eastAsia="ru-RU"/>
              </w:rPr>
            </w:pPr>
            <w:r>
              <w:rPr>
                <w:spacing w:val="-2"/>
                <w:sz w:val="28"/>
                <w:szCs w:val="28"/>
                <w:lang w:val="ru-RU" w:eastAsia="ru-RU"/>
              </w:rPr>
              <w:t>Групи</w:t>
            </w:r>
          </w:p>
        </w:tc>
        <w:tc>
          <w:tcPr>
            <w:tcW w:w="1998" w:type="dxa"/>
            <w:tcBorders>
              <w:top w:val="single" w:sz="4" w:space="0" w:color="auto"/>
            </w:tcBorders>
            <w:vAlign w:val="center"/>
          </w:tcPr>
          <w:p w14:paraId="39B14889" w14:textId="77777777" w:rsidR="00544810" w:rsidRPr="00E34B92" w:rsidRDefault="00544810" w:rsidP="00B11C46">
            <w:pPr>
              <w:jc w:val="center"/>
              <w:rPr>
                <w:spacing w:val="-2"/>
                <w:sz w:val="28"/>
                <w:szCs w:val="28"/>
                <w:lang w:val="ru-RU" w:eastAsia="ru-RU"/>
              </w:rPr>
            </w:pPr>
            <w:r w:rsidRPr="00E34B92">
              <w:rPr>
                <w:sz w:val="28"/>
                <w:szCs w:val="28"/>
                <w:lang w:val="ru-RU" w:eastAsia="ru-RU"/>
              </w:rPr>
              <w:t>eNOs</w:t>
            </w:r>
            <w:r w:rsidRPr="00E34B92">
              <w:rPr>
                <w:bCs/>
                <w:sz w:val="28"/>
                <w:szCs w:val="28"/>
                <w:lang w:val="ru-RU" w:eastAsia="ru-RU"/>
              </w:rPr>
              <w:t xml:space="preserve"> </w:t>
            </w:r>
            <w:r>
              <w:rPr>
                <w:bCs/>
                <w:sz w:val="28"/>
                <w:szCs w:val="28"/>
                <w:lang w:val="ru-RU" w:eastAsia="ru-RU"/>
              </w:rPr>
              <w:t>у стінці судин</w:t>
            </w:r>
            <w:r w:rsidRPr="00E34B92">
              <w:rPr>
                <w:bCs/>
                <w:sz w:val="28"/>
                <w:szCs w:val="28"/>
                <w:lang w:val="ru-RU" w:eastAsia="ru-RU"/>
              </w:rPr>
              <w:t xml:space="preserve">, </w:t>
            </w:r>
            <w:r>
              <w:rPr>
                <w:sz w:val="28"/>
                <w:szCs w:val="28"/>
                <w:lang w:val="ru-RU" w:eastAsia="ru-RU"/>
              </w:rPr>
              <w:t>ум.од</w:t>
            </w:r>
            <w:r w:rsidRPr="00E34B92">
              <w:rPr>
                <w:sz w:val="28"/>
                <w:szCs w:val="28"/>
                <w:lang w:val="ru-RU" w:eastAsia="ru-RU"/>
              </w:rPr>
              <w:t>.</w:t>
            </w:r>
          </w:p>
        </w:tc>
        <w:tc>
          <w:tcPr>
            <w:tcW w:w="2211" w:type="dxa"/>
            <w:tcBorders>
              <w:top w:val="single" w:sz="4" w:space="0" w:color="auto"/>
            </w:tcBorders>
            <w:vAlign w:val="center"/>
          </w:tcPr>
          <w:p w14:paraId="6138906D"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 xml:space="preserve">eNOs </w:t>
            </w:r>
            <w:r>
              <w:rPr>
                <w:sz w:val="28"/>
                <w:szCs w:val="28"/>
                <w:lang w:val="ru-RU" w:eastAsia="ru-RU"/>
              </w:rPr>
              <w:t>позасудинної локалізації</w:t>
            </w:r>
            <w:r w:rsidRPr="00E34B92">
              <w:rPr>
                <w:sz w:val="28"/>
                <w:szCs w:val="28"/>
                <w:lang w:val="ru-RU" w:eastAsia="ru-RU"/>
              </w:rPr>
              <w:t xml:space="preserve">, </w:t>
            </w:r>
            <w:r>
              <w:rPr>
                <w:sz w:val="28"/>
                <w:szCs w:val="28"/>
                <w:lang w:val="ru-RU" w:eastAsia="ru-RU"/>
              </w:rPr>
              <w:t>ум</w:t>
            </w:r>
            <w:r w:rsidRPr="00E34B92">
              <w:rPr>
                <w:sz w:val="28"/>
                <w:szCs w:val="28"/>
                <w:lang w:val="ru-RU" w:eastAsia="ru-RU"/>
              </w:rPr>
              <w:t>.</w:t>
            </w:r>
            <w:r>
              <w:rPr>
                <w:sz w:val="28"/>
                <w:szCs w:val="28"/>
                <w:lang w:val="ru-RU" w:eastAsia="ru-RU"/>
              </w:rPr>
              <w:t>од.</w:t>
            </w:r>
          </w:p>
        </w:tc>
        <w:tc>
          <w:tcPr>
            <w:tcW w:w="2660" w:type="dxa"/>
            <w:tcBorders>
              <w:top w:val="single" w:sz="4" w:space="0" w:color="auto"/>
            </w:tcBorders>
            <w:vAlign w:val="center"/>
          </w:tcPr>
          <w:p w14:paraId="52098B93" w14:textId="77777777" w:rsidR="00544810" w:rsidRPr="00E34B92" w:rsidRDefault="00544810" w:rsidP="00B11C46">
            <w:pPr>
              <w:jc w:val="center"/>
              <w:rPr>
                <w:spacing w:val="-2"/>
                <w:sz w:val="28"/>
                <w:szCs w:val="28"/>
                <w:lang w:val="ru-RU" w:eastAsia="ru-RU"/>
              </w:rPr>
            </w:pPr>
            <w:r w:rsidRPr="00E34B92">
              <w:rPr>
                <w:sz w:val="28"/>
                <w:szCs w:val="28"/>
                <w:lang w:val="ru-RU" w:eastAsia="ru-RU"/>
              </w:rPr>
              <w:t>iNOs</w:t>
            </w:r>
            <w:r w:rsidRPr="00E34B92">
              <w:rPr>
                <w:bCs/>
                <w:sz w:val="28"/>
                <w:szCs w:val="28"/>
                <w:lang w:val="ru-RU" w:eastAsia="ru-RU"/>
              </w:rPr>
              <w:t>,</w:t>
            </w:r>
            <w:r w:rsidRPr="00E34B92">
              <w:rPr>
                <w:sz w:val="28"/>
                <w:szCs w:val="28"/>
                <w:lang w:val="ru-RU" w:eastAsia="ru-RU"/>
              </w:rPr>
              <w:t xml:space="preserve"> </w:t>
            </w:r>
            <w:r>
              <w:rPr>
                <w:sz w:val="28"/>
                <w:szCs w:val="28"/>
                <w:lang w:val="ru-RU" w:eastAsia="ru-RU"/>
              </w:rPr>
              <w:t>ум.од.</w:t>
            </w:r>
            <w:r w:rsidRPr="00E34B92">
              <w:rPr>
                <w:spacing w:val="-2"/>
                <w:sz w:val="28"/>
                <w:szCs w:val="28"/>
                <w:lang w:val="ru-RU" w:eastAsia="ru-RU"/>
              </w:rPr>
              <w:t xml:space="preserve"> </w:t>
            </w:r>
          </w:p>
        </w:tc>
      </w:tr>
      <w:tr w:rsidR="00544810" w:rsidRPr="00E34B92" w14:paraId="3E9D1335" w14:textId="77777777" w:rsidTr="00B11C46">
        <w:trPr>
          <w:trHeight w:val="708"/>
          <w:jc w:val="center"/>
        </w:trPr>
        <w:tc>
          <w:tcPr>
            <w:tcW w:w="2134" w:type="dxa"/>
            <w:tcBorders>
              <w:left w:val="single" w:sz="4" w:space="0" w:color="auto"/>
            </w:tcBorders>
            <w:vAlign w:val="center"/>
          </w:tcPr>
          <w:p w14:paraId="4F7E4E19" w14:textId="77777777" w:rsidR="00544810" w:rsidRPr="00E34B92" w:rsidRDefault="00544810" w:rsidP="00B11C46">
            <w:pPr>
              <w:jc w:val="center"/>
              <w:rPr>
                <w:spacing w:val="-2"/>
                <w:sz w:val="28"/>
                <w:szCs w:val="28"/>
                <w:lang w:val="ru-RU" w:eastAsia="ru-RU"/>
              </w:rPr>
            </w:pPr>
            <w:r>
              <w:rPr>
                <w:spacing w:val="-2"/>
                <w:sz w:val="28"/>
                <w:szCs w:val="28"/>
                <w:lang w:val="ru-RU" w:eastAsia="ru-RU"/>
              </w:rPr>
              <w:t>Інтактні тварини</w:t>
            </w:r>
          </w:p>
        </w:tc>
        <w:tc>
          <w:tcPr>
            <w:tcW w:w="1998" w:type="dxa"/>
            <w:vAlign w:val="center"/>
          </w:tcPr>
          <w:p w14:paraId="3B86F9A3" w14:textId="77777777" w:rsidR="00544810" w:rsidRPr="00E34B92" w:rsidRDefault="00544810" w:rsidP="00B11C46">
            <w:pPr>
              <w:jc w:val="center"/>
              <w:rPr>
                <w:spacing w:val="-2"/>
                <w:sz w:val="28"/>
                <w:szCs w:val="28"/>
                <w:lang w:val="ru-RU" w:eastAsia="ru-RU"/>
              </w:rPr>
            </w:pPr>
            <w:r w:rsidRPr="00E34B92">
              <w:rPr>
                <w:bCs/>
                <w:sz w:val="28"/>
                <w:szCs w:val="28"/>
                <w:lang w:val="ru-RU" w:eastAsia="ru-RU"/>
              </w:rPr>
              <w:t>0,87</w:t>
            </w:r>
            <w:r w:rsidRPr="00E34B92">
              <w:rPr>
                <w:bCs/>
                <w:sz w:val="28"/>
                <w:szCs w:val="28"/>
                <w:lang w:val="ru-RU" w:eastAsia="ru-RU"/>
              </w:rPr>
              <w:sym w:font="Symbol" w:char="F0B1"/>
            </w:r>
            <w:r w:rsidRPr="00E34B92">
              <w:rPr>
                <w:bCs/>
                <w:sz w:val="28"/>
                <w:szCs w:val="28"/>
                <w:lang w:val="ru-RU" w:eastAsia="ru-RU"/>
              </w:rPr>
              <w:t>0</w:t>
            </w:r>
            <w:r w:rsidRPr="00E34B92">
              <w:rPr>
                <w:sz w:val="28"/>
                <w:szCs w:val="28"/>
                <w:lang w:val="ru-RU" w:eastAsia="ru-RU"/>
              </w:rPr>
              <w:t xml:space="preserve">,06 </w:t>
            </w:r>
          </w:p>
        </w:tc>
        <w:tc>
          <w:tcPr>
            <w:tcW w:w="2211" w:type="dxa"/>
            <w:vAlign w:val="center"/>
          </w:tcPr>
          <w:p w14:paraId="4423B2EA"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0,17</w:t>
            </w:r>
            <w:r w:rsidRPr="00E34B92">
              <w:rPr>
                <w:sz w:val="28"/>
                <w:szCs w:val="28"/>
                <w:lang w:val="ru-RU" w:eastAsia="ru-RU"/>
              </w:rPr>
              <w:sym w:font="Symbol" w:char="F0B1"/>
            </w:r>
            <w:r w:rsidRPr="00E34B92">
              <w:rPr>
                <w:sz w:val="28"/>
                <w:szCs w:val="28"/>
                <w:lang w:val="ru-RU" w:eastAsia="ru-RU"/>
              </w:rPr>
              <w:t xml:space="preserve">0,04 </w:t>
            </w:r>
          </w:p>
        </w:tc>
        <w:tc>
          <w:tcPr>
            <w:tcW w:w="2660" w:type="dxa"/>
            <w:vAlign w:val="center"/>
          </w:tcPr>
          <w:p w14:paraId="2893868A" w14:textId="77777777" w:rsidR="00544810" w:rsidRPr="00E34B92" w:rsidRDefault="00544810" w:rsidP="00B11C46">
            <w:pPr>
              <w:jc w:val="center"/>
              <w:rPr>
                <w:spacing w:val="-2"/>
                <w:sz w:val="28"/>
                <w:szCs w:val="28"/>
                <w:lang w:val="ru-RU" w:eastAsia="ru-RU"/>
              </w:rPr>
            </w:pPr>
            <w:r w:rsidRPr="00E34B92">
              <w:rPr>
                <w:sz w:val="28"/>
                <w:szCs w:val="28"/>
                <w:lang w:val="ru-RU" w:eastAsia="ru-RU"/>
              </w:rPr>
              <w:t>0,24</w:t>
            </w:r>
            <w:r w:rsidRPr="00E34B92">
              <w:rPr>
                <w:sz w:val="28"/>
                <w:szCs w:val="28"/>
                <w:lang w:val="ru-RU" w:eastAsia="ru-RU"/>
              </w:rPr>
              <w:sym w:font="Symbol" w:char="F0B1"/>
            </w:r>
            <w:r w:rsidRPr="00E34B92">
              <w:rPr>
                <w:sz w:val="28"/>
                <w:szCs w:val="28"/>
                <w:lang w:val="ru-RU" w:eastAsia="ru-RU"/>
              </w:rPr>
              <w:t>0,05</w:t>
            </w:r>
          </w:p>
        </w:tc>
      </w:tr>
      <w:tr w:rsidR="00544810" w:rsidRPr="00E34B92" w14:paraId="776E83EF" w14:textId="77777777" w:rsidTr="00B11C46">
        <w:trPr>
          <w:trHeight w:val="354"/>
          <w:jc w:val="center"/>
        </w:trPr>
        <w:tc>
          <w:tcPr>
            <w:tcW w:w="2134" w:type="dxa"/>
            <w:tcBorders>
              <w:left w:val="single" w:sz="4" w:space="0" w:color="auto"/>
            </w:tcBorders>
            <w:vAlign w:val="center"/>
          </w:tcPr>
          <w:p w14:paraId="2AF69F23" w14:textId="2F4D4CF9" w:rsidR="00544810" w:rsidRPr="00E34B92" w:rsidRDefault="00E74A75" w:rsidP="00B11C46">
            <w:pPr>
              <w:jc w:val="center"/>
              <w:rPr>
                <w:spacing w:val="-2"/>
                <w:sz w:val="28"/>
                <w:szCs w:val="28"/>
                <w:lang w:val="ru-RU" w:eastAsia="ru-RU"/>
              </w:rPr>
            </w:pPr>
            <w:r>
              <w:rPr>
                <w:spacing w:val="-2"/>
                <w:sz w:val="28"/>
                <w:szCs w:val="28"/>
                <w:lang w:val="ru-RU" w:eastAsia="ru-RU"/>
              </w:rPr>
              <w:t>Тварини, у яких була модульована</w:t>
            </w:r>
            <w:r w:rsidR="00544810">
              <w:rPr>
                <w:spacing w:val="-2"/>
                <w:sz w:val="28"/>
                <w:szCs w:val="28"/>
                <w:lang w:val="ru-RU" w:eastAsia="ru-RU"/>
              </w:rPr>
              <w:t xml:space="preserve"> атопію</w:t>
            </w:r>
          </w:p>
        </w:tc>
        <w:tc>
          <w:tcPr>
            <w:tcW w:w="1998" w:type="dxa"/>
            <w:vAlign w:val="center"/>
          </w:tcPr>
          <w:p w14:paraId="5243D51C" w14:textId="77777777" w:rsidR="00544810" w:rsidRPr="00E34B92" w:rsidRDefault="00544810" w:rsidP="00B11C46">
            <w:pPr>
              <w:jc w:val="center"/>
              <w:rPr>
                <w:spacing w:val="-2"/>
                <w:sz w:val="28"/>
                <w:szCs w:val="28"/>
                <w:lang w:val="ru-RU" w:eastAsia="ru-RU"/>
              </w:rPr>
            </w:pPr>
            <w:r w:rsidRPr="00E34B92">
              <w:rPr>
                <w:bCs/>
                <w:sz w:val="28"/>
                <w:szCs w:val="28"/>
                <w:lang w:val="ru-RU" w:eastAsia="ru-RU"/>
              </w:rPr>
              <w:t>0,79</w:t>
            </w:r>
            <w:r w:rsidRPr="00E34B92">
              <w:rPr>
                <w:bCs/>
                <w:sz w:val="28"/>
                <w:szCs w:val="28"/>
                <w:lang w:val="ru-RU" w:eastAsia="ru-RU"/>
              </w:rPr>
              <w:sym w:font="Symbol" w:char="F0B1"/>
            </w:r>
            <w:r w:rsidRPr="00E34B92">
              <w:rPr>
                <w:bCs/>
                <w:sz w:val="28"/>
                <w:szCs w:val="28"/>
                <w:lang w:val="ru-RU" w:eastAsia="ru-RU"/>
              </w:rPr>
              <w:t>0</w:t>
            </w:r>
            <w:r w:rsidRPr="00E34B92">
              <w:rPr>
                <w:sz w:val="28"/>
                <w:szCs w:val="28"/>
                <w:lang w:val="ru-RU" w:eastAsia="ru-RU"/>
              </w:rPr>
              <w:t xml:space="preserve">,11 </w:t>
            </w:r>
          </w:p>
        </w:tc>
        <w:tc>
          <w:tcPr>
            <w:tcW w:w="2211" w:type="dxa"/>
            <w:vAlign w:val="center"/>
          </w:tcPr>
          <w:p w14:paraId="0F537362" w14:textId="77777777" w:rsidR="00544810" w:rsidRPr="00E34B92" w:rsidRDefault="00544810" w:rsidP="00B11C46">
            <w:pPr>
              <w:ind w:firstLine="22"/>
              <w:jc w:val="center"/>
              <w:rPr>
                <w:spacing w:val="-2"/>
                <w:sz w:val="28"/>
                <w:szCs w:val="28"/>
                <w:lang w:val="ru-RU" w:eastAsia="ru-RU"/>
              </w:rPr>
            </w:pPr>
            <w:r w:rsidRPr="00E34B92">
              <w:rPr>
                <w:sz w:val="28"/>
                <w:szCs w:val="28"/>
                <w:lang w:val="ru-RU" w:eastAsia="ru-RU"/>
              </w:rPr>
              <w:t>0,27</w:t>
            </w:r>
            <w:r w:rsidRPr="00E34B92">
              <w:rPr>
                <w:sz w:val="28"/>
                <w:szCs w:val="28"/>
                <w:lang w:val="ru-RU" w:eastAsia="ru-RU"/>
              </w:rPr>
              <w:sym w:font="Symbol" w:char="F0B1"/>
            </w:r>
            <w:r w:rsidRPr="00E34B92">
              <w:rPr>
                <w:sz w:val="28"/>
                <w:szCs w:val="28"/>
                <w:lang w:val="ru-RU" w:eastAsia="ru-RU"/>
              </w:rPr>
              <w:t xml:space="preserve">0,04* </w:t>
            </w:r>
          </w:p>
        </w:tc>
        <w:tc>
          <w:tcPr>
            <w:tcW w:w="2660" w:type="dxa"/>
            <w:vAlign w:val="center"/>
          </w:tcPr>
          <w:p w14:paraId="0F7E32C6" w14:textId="77777777" w:rsidR="00544810" w:rsidRPr="00E34B92" w:rsidRDefault="00544810" w:rsidP="00B11C46">
            <w:pPr>
              <w:jc w:val="center"/>
              <w:rPr>
                <w:spacing w:val="-2"/>
                <w:sz w:val="28"/>
                <w:szCs w:val="28"/>
                <w:lang w:val="ru-RU" w:eastAsia="ru-RU"/>
              </w:rPr>
            </w:pPr>
            <w:r w:rsidRPr="00E34B92">
              <w:rPr>
                <w:sz w:val="28"/>
                <w:szCs w:val="28"/>
                <w:lang w:val="ru-RU" w:eastAsia="ru-RU"/>
              </w:rPr>
              <w:t>0,49</w:t>
            </w:r>
            <w:r w:rsidRPr="00E34B92">
              <w:rPr>
                <w:sz w:val="28"/>
                <w:szCs w:val="28"/>
                <w:lang w:val="ru-RU" w:eastAsia="ru-RU"/>
              </w:rPr>
              <w:sym w:font="Symbol" w:char="F0B1"/>
            </w:r>
            <w:r w:rsidRPr="00E34B92">
              <w:rPr>
                <w:sz w:val="28"/>
                <w:szCs w:val="28"/>
                <w:lang w:val="ru-RU" w:eastAsia="ru-RU"/>
              </w:rPr>
              <w:t>0,07*</w:t>
            </w:r>
          </w:p>
        </w:tc>
      </w:tr>
    </w:tbl>
    <w:p w14:paraId="65C855E4" w14:textId="77777777" w:rsidR="00544810" w:rsidRDefault="00544810" w:rsidP="00544810">
      <w:pPr>
        <w:spacing w:line="360" w:lineRule="auto"/>
        <w:ind w:firstLine="709"/>
        <w:jc w:val="both"/>
        <w:rPr>
          <w:rFonts w:ascii="Times New Roman" w:hAnsi="Times New Roman" w:cs="Times New Roman"/>
          <w:sz w:val="28"/>
          <w:szCs w:val="28"/>
          <w:lang w:val="uk-UA"/>
        </w:rPr>
      </w:pPr>
      <w:r w:rsidRPr="00E34B92">
        <w:rPr>
          <w:rFonts w:ascii="Times New Roman" w:hAnsi="Times New Roman" w:cs="Times New Roman"/>
          <w:sz w:val="28"/>
          <w:szCs w:val="28"/>
          <w:lang w:val="uk-UA"/>
        </w:rPr>
        <w:t>* P &lt;0,05 у порівнянні з інтактними тваринами</w:t>
      </w:r>
    </w:p>
    <w:p w14:paraId="51940596" w14:textId="2DAB9353" w:rsidR="00544810" w:rsidRDefault="00544810" w:rsidP="00544810">
      <w:pPr>
        <w:spacing w:line="360" w:lineRule="auto"/>
        <w:ind w:firstLine="709"/>
        <w:jc w:val="both"/>
        <w:rPr>
          <w:rFonts w:ascii="Times New Roman" w:hAnsi="Times New Roman" w:cs="Times New Roman"/>
          <w:sz w:val="28"/>
          <w:szCs w:val="28"/>
          <w:lang w:val="uk-UA"/>
        </w:rPr>
      </w:pPr>
      <w:r w:rsidRPr="00FA61C6">
        <w:rPr>
          <w:rFonts w:ascii="Times New Roman" w:hAnsi="Times New Roman" w:cs="Times New Roman"/>
          <w:sz w:val="28"/>
          <w:szCs w:val="28"/>
          <w:lang w:val="uk-UA"/>
        </w:rPr>
        <w:t xml:space="preserve">При </w:t>
      </w:r>
      <w:r>
        <w:rPr>
          <w:rFonts w:ascii="Times New Roman" w:hAnsi="Times New Roman" w:cs="Times New Roman"/>
          <w:sz w:val="28"/>
          <w:szCs w:val="28"/>
          <w:lang w:val="uk-UA"/>
        </w:rPr>
        <w:t>аналізі результатів пероксидазної реакції з індуцибельною</w:t>
      </w:r>
      <w:r w:rsidRPr="00FA61C6">
        <w:rPr>
          <w:rFonts w:ascii="Times New Roman" w:hAnsi="Times New Roman" w:cs="Times New Roman"/>
          <w:sz w:val="28"/>
          <w:szCs w:val="28"/>
          <w:lang w:val="uk-UA"/>
        </w:rPr>
        <w:t xml:space="preserve"> фракцією NO-синтази в групі кролів з моделюванням атопії виявляється біл</w:t>
      </w:r>
      <w:r>
        <w:rPr>
          <w:rFonts w:ascii="Times New Roman" w:hAnsi="Times New Roman" w:cs="Times New Roman"/>
          <w:sz w:val="28"/>
          <w:szCs w:val="28"/>
          <w:lang w:val="uk-UA"/>
        </w:rPr>
        <w:t>ьш виражена інтенсивність, яка м</w:t>
      </w:r>
      <w:r w:rsidRPr="00FA61C6">
        <w:rPr>
          <w:rFonts w:ascii="Times New Roman" w:hAnsi="Times New Roman" w:cs="Times New Roman"/>
          <w:sz w:val="28"/>
          <w:szCs w:val="28"/>
          <w:lang w:val="uk-UA"/>
        </w:rPr>
        <w:t xml:space="preserve">орфометрично підтверджується практично дворазовим зростанням (табл. </w:t>
      </w:r>
      <w:r w:rsidR="00EF697D">
        <w:rPr>
          <w:rFonts w:ascii="Times New Roman" w:hAnsi="Times New Roman" w:cs="Times New Roman"/>
          <w:sz w:val="28"/>
          <w:szCs w:val="28"/>
          <w:lang w:val="uk-UA"/>
        </w:rPr>
        <w:t>3</w:t>
      </w:r>
      <w:r>
        <w:rPr>
          <w:rFonts w:ascii="Times New Roman" w:hAnsi="Times New Roman" w:cs="Times New Roman"/>
          <w:sz w:val="28"/>
          <w:szCs w:val="28"/>
          <w:lang w:val="uk-UA"/>
        </w:rPr>
        <w:t>.2</w:t>
      </w:r>
      <w:r w:rsidRPr="00FA61C6">
        <w:rPr>
          <w:rFonts w:ascii="Times New Roman" w:hAnsi="Times New Roman" w:cs="Times New Roman"/>
          <w:sz w:val="28"/>
          <w:szCs w:val="28"/>
          <w:lang w:val="uk-UA"/>
        </w:rPr>
        <w:t>). При цьому присутні діля</w:t>
      </w:r>
      <w:r>
        <w:rPr>
          <w:rFonts w:ascii="Times New Roman" w:hAnsi="Times New Roman" w:cs="Times New Roman"/>
          <w:sz w:val="28"/>
          <w:szCs w:val="28"/>
          <w:lang w:val="uk-UA"/>
        </w:rPr>
        <w:t>нки як з дифузним посиленням імунопозитив</w:t>
      </w:r>
      <w:r w:rsidRPr="00FA61C6">
        <w:rPr>
          <w:rFonts w:ascii="Times New Roman" w:hAnsi="Times New Roman" w:cs="Times New Roman"/>
          <w:sz w:val="28"/>
          <w:szCs w:val="28"/>
          <w:lang w:val="uk-UA"/>
        </w:rPr>
        <w:t xml:space="preserve">ного фарбування тканин, так </w:t>
      </w:r>
      <w:r>
        <w:rPr>
          <w:rFonts w:ascii="Times New Roman" w:hAnsi="Times New Roman" w:cs="Times New Roman"/>
          <w:sz w:val="28"/>
          <w:szCs w:val="28"/>
          <w:lang w:val="uk-UA"/>
        </w:rPr>
        <w:t xml:space="preserve">і </w:t>
      </w:r>
      <w:r w:rsidRPr="00FA61C6">
        <w:rPr>
          <w:rFonts w:ascii="Times New Roman" w:hAnsi="Times New Roman" w:cs="Times New Roman"/>
          <w:sz w:val="28"/>
          <w:szCs w:val="28"/>
          <w:lang w:val="uk-UA"/>
        </w:rPr>
        <w:t xml:space="preserve">з вогнищевим накопиченням барвника. Наявність таких зон підвищеної імунореактивності може бути пояснено імуномодулюючою взаємодією даної фракції синтази оксиду азоту та запальними клітинами, гістогенез яких вимагає уточнення. На користь </w:t>
      </w:r>
      <w:r>
        <w:rPr>
          <w:rFonts w:ascii="Times New Roman" w:hAnsi="Times New Roman" w:cs="Times New Roman"/>
          <w:sz w:val="28"/>
          <w:szCs w:val="28"/>
          <w:lang w:val="uk-UA"/>
        </w:rPr>
        <w:t>імуномодулюючої</w:t>
      </w:r>
      <w:r w:rsidRPr="00FA61C6">
        <w:rPr>
          <w:rFonts w:ascii="Times New Roman" w:hAnsi="Times New Roman" w:cs="Times New Roman"/>
          <w:sz w:val="28"/>
          <w:szCs w:val="28"/>
          <w:lang w:val="uk-UA"/>
        </w:rPr>
        <w:t xml:space="preserve"> взаємодії говорить факт найбільшої активності</w:t>
      </w:r>
      <w:r w:rsidR="002F4783">
        <w:rPr>
          <w:rFonts w:ascii="Times New Roman" w:hAnsi="Times New Roman" w:cs="Times New Roman"/>
          <w:sz w:val="28"/>
          <w:szCs w:val="28"/>
          <w:lang w:val="uk-UA"/>
        </w:rPr>
        <w:t xml:space="preserve"> iNOs навколо запальних клітин у</w:t>
      </w:r>
      <w:r w:rsidRPr="00FA61C6">
        <w:rPr>
          <w:rFonts w:ascii="Times New Roman" w:hAnsi="Times New Roman" w:cs="Times New Roman"/>
          <w:sz w:val="28"/>
          <w:szCs w:val="28"/>
          <w:lang w:val="uk-UA"/>
        </w:rPr>
        <w:t xml:space="preserve"> товщі епітеліального пласта (рис</w:t>
      </w:r>
      <w:r w:rsidR="00B464E6">
        <w:rPr>
          <w:rFonts w:ascii="Times New Roman" w:hAnsi="Times New Roman" w:cs="Times New Roman"/>
          <w:sz w:val="28"/>
          <w:szCs w:val="28"/>
          <w:lang w:val="uk-UA"/>
        </w:rPr>
        <w:t>. 3.13</w:t>
      </w:r>
      <w:r>
        <w:rPr>
          <w:rFonts w:ascii="Times New Roman" w:hAnsi="Times New Roman" w:cs="Times New Roman"/>
          <w:sz w:val="28"/>
          <w:szCs w:val="28"/>
          <w:lang w:val="uk-UA"/>
        </w:rPr>
        <w:t>).</w:t>
      </w:r>
    </w:p>
    <w:p w14:paraId="36A72BB3" w14:textId="77777777" w:rsidR="00544810" w:rsidRPr="00947EBD" w:rsidRDefault="00544810" w:rsidP="00544810">
      <w:pPr>
        <w:pStyle w:val="BodyText2"/>
        <w:ind w:firstLine="567"/>
        <w:rPr>
          <w:szCs w:val="28"/>
        </w:rPr>
      </w:pPr>
    </w:p>
    <w:p w14:paraId="4644548F" w14:textId="77777777" w:rsidR="00544810" w:rsidRDefault="00544810" w:rsidP="00544810">
      <w:pPr>
        <w:spacing w:line="360" w:lineRule="auto"/>
        <w:ind w:firstLine="709"/>
        <w:jc w:val="both"/>
        <w:rPr>
          <w:rFonts w:ascii="Times New Roman" w:hAnsi="Times New Roman" w:cs="Times New Roman"/>
          <w:sz w:val="28"/>
          <w:szCs w:val="28"/>
          <w:lang w:val="uk-UA"/>
        </w:rPr>
      </w:pPr>
      <w:r w:rsidRPr="00947EBD">
        <w:rPr>
          <w:noProof/>
          <w:szCs w:val="28"/>
        </w:rPr>
        <w:drawing>
          <wp:inline distT="0" distB="0" distL="0" distR="0" wp14:anchorId="5F64AD60" wp14:editId="345C2526">
            <wp:extent cx="4324350" cy="3238500"/>
            <wp:effectExtent l="0" t="0" r="0" b="0"/>
            <wp:docPr id="136" name="Picture 136"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is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466CC652" w14:textId="402B0F8D" w:rsidR="00544810" w:rsidRDefault="00544810" w:rsidP="00544810">
      <w:pPr>
        <w:spacing w:line="360" w:lineRule="auto"/>
        <w:jc w:val="both"/>
        <w:rPr>
          <w:rFonts w:ascii="Times New Roman" w:hAnsi="Times New Roman" w:cs="Times New Roman"/>
          <w:sz w:val="28"/>
          <w:szCs w:val="28"/>
          <w:lang w:val="uk-UA"/>
        </w:rPr>
      </w:pPr>
      <w:r w:rsidRPr="00FA61C6">
        <w:rPr>
          <w:rFonts w:ascii="Times New Roman" w:hAnsi="Times New Roman" w:cs="Times New Roman"/>
          <w:sz w:val="28"/>
          <w:szCs w:val="28"/>
          <w:lang w:val="uk-UA"/>
        </w:rPr>
        <w:t>Рис.</w:t>
      </w:r>
      <w:r w:rsidR="00B464E6">
        <w:rPr>
          <w:rFonts w:ascii="Times New Roman" w:hAnsi="Times New Roman" w:cs="Times New Roman"/>
          <w:sz w:val="28"/>
          <w:szCs w:val="28"/>
          <w:lang w:val="uk-UA"/>
        </w:rPr>
        <w:t xml:space="preserve"> 3</w:t>
      </w:r>
      <w:r w:rsidRPr="00FA61C6">
        <w:rPr>
          <w:rFonts w:ascii="Times New Roman" w:hAnsi="Times New Roman" w:cs="Times New Roman"/>
          <w:sz w:val="28"/>
          <w:szCs w:val="28"/>
          <w:lang w:val="uk-UA"/>
        </w:rPr>
        <w:t>.</w:t>
      </w:r>
      <w:r w:rsidR="00B464E6">
        <w:rPr>
          <w:rFonts w:ascii="Times New Roman" w:hAnsi="Times New Roman" w:cs="Times New Roman"/>
          <w:sz w:val="28"/>
          <w:szCs w:val="28"/>
          <w:lang w:val="uk-UA"/>
        </w:rPr>
        <w:t>13</w:t>
      </w:r>
      <w:r>
        <w:rPr>
          <w:rFonts w:ascii="Times New Roman" w:hAnsi="Times New Roman" w:cs="Times New Roman"/>
          <w:sz w:val="28"/>
          <w:szCs w:val="28"/>
          <w:lang w:val="uk-UA"/>
        </w:rPr>
        <w:t xml:space="preserve"> Виражена перицелюлярна</w:t>
      </w:r>
      <w:r w:rsidRPr="00FA61C6">
        <w:rPr>
          <w:rFonts w:ascii="Times New Roman" w:hAnsi="Times New Roman" w:cs="Times New Roman"/>
          <w:sz w:val="28"/>
          <w:szCs w:val="28"/>
          <w:lang w:val="uk-UA"/>
        </w:rPr>
        <w:t xml:space="preserve"> активність iNOs</w:t>
      </w:r>
      <w:r>
        <w:rPr>
          <w:rFonts w:ascii="Times New Roman" w:hAnsi="Times New Roman" w:cs="Times New Roman"/>
          <w:sz w:val="28"/>
          <w:szCs w:val="28"/>
          <w:lang w:val="uk-UA"/>
        </w:rPr>
        <w:t>,</w:t>
      </w:r>
      <w:r w:rsidR="002F4783">
        <w:rPr>
          <w:rFonts w:ascii="Times New Roman" w:hAnsi="Times New Roman" w:cs="Times New Roman"/>
          <w:sz w:val="28"/>
          <w:szCs w:val="28"/>
          <w:lang w:val="uk-UA"/>
        </w:rPr>
        <w:t xml:space="preserve"> у</w:t>
      </w:r>
      <w:r w:rsidRPr="00FA61C6">
        <w:rPr>
          <w:rFonts w:ascii="Times New Roman" w:hAnsi="Times New Roman" w:cs="Times New Roman"/>
          <w:sz w:val="28"/>
          <w:szCs w:val="28"/>
          <w:lang w:val="uk-UA"/>
        </w:rPr>
        <w:t xml:space="preserve"> тому числі навколо інтраепітеліальних запальних клітин</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Pr="00FA61C6">
        <w:rPr>
          <w:rFonts w:ascii="Times New Roman" w:hAnsi="Times New Roman" w:cs="Times New Roman"/>
          <w:sz w:val="28"/>
          <w:szCs w:val="28"/>
          <w:lang w:val="uk-UA"/>
        </w:rPr>
        <w:t>. Пероксидазна реакція з МКА до iNOs. Збільшення х400.</w:t>
      </w:r>
    </w:p>
    <w:p w14:paraId="5600FF7F" w14:textId="77777777" w:rsidR="00544810" w:rsidRPr="00544810" w:rsidRDefault="00544810" w:rsidP="00544810">
      <w:pPr>
        <w:pStyle w:val="BodyText2"/>
        <w:ind w:firstLine="567"/>
        <w:rPr>
          <w:sz w:val="22"/>
          <w:szCs w:val="22"/>
          <w:lang w:val="uk-UA"/>
        </w:rPr>
      </w:pPr>
    </w:p>
    <w:p w14:paraId="7F567E74" w14:textId="77777777" w:rsidR="00544810" w:rsidRPr="00B464E6" w:rsidRDefault="00544810" w:rsidP="00544810">
      <w:pPr>
        <w:pStyle w:val="BodyText2"/>
        <w:jc w:val="center"/>
        <w:rPr>
          <w:sz w:val="22"/>
          <w:szCs w:val="22"/>
          <w:lang w:val="uk-UA"/>
        </w:rPr>
      </w:pPr>
      <w:r w:rsidRPr="00D42838">
        <w:rPr>
          <w:noProof/>
          <w:sz w:val="22"/>
          <w:szCs w:val="22"/>
          <w:lang w:val="en-US" w:eastAsia="en-US"/>
        </w:rPr>
        <w:drawing>
          <wp:inline distT="0" distB="0" distL="0" distR="0" wp14:anchorId="4E0A0483" wp14:editId="715BEA08">
            <wp:extent cx="4324350" cy="3238500"/>
            <wp:effectExtent l="0" t="0" r="0" b="0"/>
            <wp:docPr id="137" name="Picture 137"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is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343E27BF" w14:textId="5EF5E85E"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FA61C6">
        <w:rPr>
          <w:rFonts w:ascii="Times New Roman" w:hAnsi="Times New Roman" w:cs="Times New Roman"/>
          <w:sz w:val="28"/>
          <w:szCs w:val="28"/>
          <w:lang w:val="uk-UA"/>
        </w:rPr>
        <w:t>.</w:t>
      </w:r>
      <w:r>
        <w:rPr>
          <w:rFonts w:ascii="Times New Roman" w:hAnsi="Times New Roman" w:cs="Times New Roman"/>
          <w:sz w:val="28"/>
          <w:szCs w:val="28"/>
          <w:lang w:val="uk-UA"/>
        </w:rPr>
        <w:t>14</w:t>
      </w:r>
      <w:r w:rsidR="00544810">
        <w:rPr>
          <w:rFonts w:ascii="Times New Roman" w:hAnsi="Times New Roman" w:cs="Times New Roman"/>
          <w:sz w:val="28"/>
          <w:szCs w:val="28"/>
          <w:lang w:val="uk-UA"/>
        </w:rPr>
        <w:t>.</w:t>
      </w:r>
      <w:r w:rsidR="00544810" w:rsidRPr="00FA61C6">
        <w:rPr>
          <w:rFonts w:ascii="Times New Roman" w:hAnsi="Times New Roman" w:cs="Times New Roman"/>
          <w:sz w:val="28"/>
          <w:szCs w:val="28"/>
          <w:lang w:val="uk-UA"/>
        </w:rPr>
        <w:t xml:space="preserve"> Виражена активність iNOs навколо клітин запального ряду</w:t>
      </w:r>
      <w:r w:rsidR="00544810">
        <w:rPr>
          <w:rFonts w:ascii="Times New Roman" w:hAnsi="Times New Roman" w:cs="Times New Roman"/>
          <w:sz w:val="28"/>
          <w:szCs w:val="28"/>
          <w:lang w:val="uk-UA"/>
        </w:rPr>
        <w:t>,</w:t>
      </w:r>
      <w:r w:rsidR="00544810" w:rsidRPr="00FA61C6">
        <w:rPr>
          <w:rFonts w:ascii="Times New Roman" w:hAnsi="Times New Roman" w:cs="Times New Roman"/>
          <w:sz w:val="28"/>
          <w:szCs w:val="28"/>
          <w:lang w:val="uk-UA"/>
        </w:rPr>
        <w:t xml:space="preserve"> в тому числ</w:t>
      </w:r>
      <w:r w:rsidR="00544810">
        <w:rPr>
          <w:rFonts w:ascii="Times New Roman" w:hAnsi="Times New Roman" w:cs="Times New Roman"/>
          <w:sz w:val="28"/>
          <w:szCs w:val="28"/>
          <w:lang w:val="uk-UA"/>
        </w:rPr>
        <w:t>і розташованих інтраепітеліально</w:t>
      </w:r>
      <w:r w:rsidR="000C5476">
        <w:rPr>
          <w:rFonts w:ascii="Times New Roman" w:hAnsi="Times New Roman" w:cs="Times New Roman"/>
          <w:sz w:val="28"/>
          <w:szCs w:val="28"/>
          <w:lang w:val="uk-UA"/>
        </w:rPr>
        <w:t xml:space="preserve"> </w:t>
      </w:r>
      <w:r w:rsidR="000C5476" w:rsidRPr="00FB12C0">
        <w:rPr>
          <w:rFonts w:ascii="Times New Roman" w:hAnsi="Times New Roman" w:cs="Times New Roman"/>
          <w:sz w:val="28"/>
          <w:szCs w:val="28"/>
          <w:lang w:val="uk-UA"/>
        </w:rPr>
        <w:t>у тварин</w:t>
      </w:r>
      <w:r w:rsidR="000C5476">
        <w:rPr>
          <w:rFonts w:ascii="Times New Roman" w:hAnsi="Times New Roman" w:cs="Times New Roman"/>
          <w:sz w:val="28"/>
          <w:szCs w:val="28"/>
          <w:lang w:val="uk-UA"/>
        </w:rPr>
        <w:t xml:space="preserve"> з модельованою атопією</w:t>
      </w:r>
      <w:r w:rsidR="00544810" w:rsidRPr="00FA61C6">
        <w:rPr>
          <w:rFonts w:ascii="Times New Roman" w:hAnsi="Times New Roman" w:cs="Times New Roman"/>
          <w:sz w:val="28"/>
          <w:szCs w:val="28"/>
          <w:lang w:val="uk-UA"/>
        </w:rPr>
        <w:t>. Пероксидазна реакція з МКА до iNOs. Збільшення х400.</w:t>
      </w:r>
    </w:p>
    <w:p w14:paraId="4F878AC0" w14:textId="4A2A24A5" w:rsidR="00544810" w:rsidRPr="00FA61C6" w:rsidRDefault="00544810" w:rsidP="00A448F8">
      <w:pPr>
        <w:spacing w:after="0" w:line="360" w:lineRule="auto"/>
        <w:ind w:firstLine="709"/>
        <w:jc w:val="both"/>
        <w:rPr>
          <w:rFonts w:ascii="Times New Roman" w:hAnsi="Times New Roman" w:cs="Times New Roman"/>
          <w:sz w:val="28"/>
          <w:szCs w:val="28"/>
          <w:lang w:val="uk-UA"/>
        </w:rPr>
      </w:pPr>
      <w:r w:rsidRPr="00EE0E06">
        <w:rPr>
          <w:rFonts w:ascii="Times New Roman" w:hAnsi="Times New Roman" w:cs="Times New Roman"/>
          <w:sz w:val="28"/>
          <w:szCs w:val="28"/>
          <w:lang w:val="uk-UA"/>
        </w:rPr>
        <w:t>У власній пластинці слизової найбільша активність iNOs виявляється в уражених зонах, тобто</w:t>
      </w:r>
      <w:r>
        <w:rPr>
          <w:rFonts w:ascii="Times New Roman" w:hAnsi="Times New Roman" w:cs="Times New Roman"/>
          <w:sz w:val="28"/>
          <w:szCs w:val="28"/>
          <w:lang w:val="uk-UA"/>
        </w:rPr>
        <w:t xml:space="preserve"> у</w:t>
      </w:r>
      <w:r w:rsidRPr="00EE0E06">
        <w:rPr>
          <w:rFonts w:ascii="Times New Roman" w:hAnsi="Times New Roman" w:cs="Times New Roman"/>
          <w:sz w:val="28"/>
          <w:szCs w:val="28"/>
          <w:lang w:val="uk-UA"/>
        </w:rPr>
        <w:t xml:space="preserve"> фокусах периваскул</w:t>
      </w:r>
      <w:r>
        <w:rPr>
          <w:rFonts w:ascii="Times New Roman" w:hAnsi="Times New Roman" w:cs="Times New Roman"/>
          <w:sz w:val="28"/>
          <w:szCs w:val="28"/>
          <w:lang w:val="uk-UA"/>
        </w:rPr>
        <w:t>ярних запальних мікроінфільтратів; ступінь інтенсивності імунореактивності</w:t>
      </w:r>
      <w:r w:rsidRPr="00EE0E06">
        <w:rPr>
          <w:rFonts w:ascii="Times New Roman" w:hAnsi="Times New Roman" w:cs="Times New Roman"/>
          <w:sz w:val="28"/>
          <w:szCs w:val="28"/>
          <w:lang w:val="uk-UA"/>
        </w:rPr>
        <w:t xml:space="preserve"> пов'язана з кількісни</w:t>
      </w:r>
      <w:r>
        <w:rPr>
          <w:rFonts w:ascii="Times New Roman" w:hAnsi="Times New Roman" w:cs="Times New Roman"/>
          <w:sz w:val="28"/>
          <w:szCs w:val="28"/>
          <w:lang w:val="uk-UA"/>
        </w:rPr>
        <w:t>м</w:t>
      </w:r>
      <w:r w:rsidRPr="00EE0E06">
        <w:rPr>
          <w:rFonts w:ascii="Times New Roman" w:hAnsi="Times New Roman" w:cs="Times New Roman"/>
          <w:sz w:val="28"/>
          <w:szCs w:val="28"/>
          <w:lang w:val="uk-UA"/>
        </w:rPr>
        <w:t xml:space="preserve"> і якісним складом клітинного інфільтрату в тканинах при атопії</w:t>
      </w:r>
      <w:r w:rsidR="00EF697D" w:rsidRPr="00EF697D">
        <w:rPr>
          <w:rFonts w:ascii="Times New Roman" w:hAnsi="Times New Roman" w:cs="Times New Roman"/>
          <w:sz w:val="28"/>
          <w:szCs w:val="28"/>
          <w:lang w:val="uk-UA"/>
        </w:rPr>
        <w:t xml:space="preserve"> [248, </w:t>
      </w:r>
      <w:r w:rsidR="00EF697D">
        <w:rPr>
          <w:rFonts w:ascii="Times New Roman" w:hAnsi="Times New Roman" w:cs="Times New Roman"/>
          <w:sz w:val="28"/>
          <w:szCs w:val="28"/>
          <w:lang w:val="uk-UA"/>
        </w:rPr>
        <w:t>249</w:t>
      </w:r>
      <w:r w:rsidR="00EF697D" w:rsidRPr="00EF697D">
        <w:rPr>
          <w:rFonts w:ascii="Times New Roman" w:hAnsi="Times New Roman" w:cs="Times New Roman"/>
          <w:sz w:val="28"/>
          <w:szCs w:val="28"/>
          <w:lang w:val="uk-UA"/>
        </w:rPr>
        <w:t>]</w:t>
      </w:r>
      <w:r>
        <w:rPr>
          <w:rFonts w:ascii="Times New Roman" w:hAnsi="Times New Roman" w:cs="Times New Roman"/>
          <w:sz w:val="28"/>
          <w:szCs w:val="28"/>
          <w:lang w:val="uk-UA"/>
        </w:rPr>
        <w:t>.</w:t>
      </w:r>
    </w:p>
    <w:p w14:paraId="1DE2C2B7" w14:textId="424E9D0A"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типуванні</w:t>
      </w:r>
      <w:r w:rsidRPr="00FA61C6">
        <w:rPr>
          <w:rFonts w:ascii="Times New Roman" w:hAnsi="Times New Roman" w:cs="Times New Roman"/>
          <w:sz w:val="28"/>
          <w:szCs w:val="28"/>
          <w:lang w:val="uk-UA"/>
        </w:rPr>
        <w:t xml:space="preserve"> клітинних елементів (результати представлені нижче в таблиці</w:t>
      </w:r>
      <w:r w:rsidR="00E74A75">
        <w:rPr>
          <w:rFonts w:ascii="Times New Roman" w:hAnsi="Times New Roman" w:cs="Times New Roman"/>
          <w:sz w:val="28"/>
          <w:szCs w:val="28"/>
          <w:lang w:val="uk-UA"/>
        </w:rPr>
        <w:t xml:space="preserve"> 3.2</w:t>
      </w:r>
      <w:r w:rsidRPr="00FA61C6">
        <w:rPr>
          <w:rFonts w:ascii="Times New Roman" w:hAnsi="Times New Roman" w:cs="Times New Roman"/>
          <w:sz w:val="28"/>
          <w:szCs w:val="28"/>
          <w:lang w:val="uk-UA"/>
        </w:rPr>
        <w:t xml:space="preserve">) виявилося, що практично всі інтраепітеліальні запальні клітини позитивні до CD23. У </w:t>
      </w:r>
      <w:r w:rsidR="00E74A75">
        <w:rPr>
          <w:rFonts w:ascii="Times New Roman" w:hAnsi="Times New Roman" w:cs="Times New Roman"/>
          <w:sz w:val="28"/>
          <w:szCs w:val="28"/>
          <w:lang w:val="uk-UA"/>
        </w:rPr>
        <w:t>власній пластинці слизової</w:t>
      </w:r>
      <w:r w:rsidRPr="00FA61C6">
        <w:rPr>
          <w:rFonts w:ascii="Times New Roman" w:hAnsi="Times New Roman" w:cs="Times New Roman"/>
          <w:sz w:val="28"/>
          <w:szCs w:val="28"/>
          <w:lang w:val="uk-UA"/>
        </w:rPr>
        <w:t xml:space="preserve"> переважна більшість клітинн</w:t>
      </w:r>
      <w:r>
        <w:rPr>
          <w:rFonts w:ascii="Times New Roman" w:hAnsi="Times New Roman" w:cs="Times New Roman"/>
          <w:sz w:val="28"/>
          <w:szCs w:val="28"/>
          <w:lang w:val="uk-UA"/>
        </w:rPr>
        <w:t xml:space="preserve">их елементів також </w:t>
      </w:r>
      <w:r w:rsidR="00AD5EEA">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ім</w:t>
      </w:r>
      <w:r w:rsidRPr="00FA61C6">
        <w:rPr>
          <w:rFonts w:ascii="Times New Roman" w:hAnsi="Times New Roman" w:cs="Times New Roman"/>
          <w:sz w:val="28"/>
          <w:szCs w:val="28"/>
          <w:lang w:val="uk-UA"/>
        </w:rPr>
        <w:t>уноп</w:t>
      </w:r>
      <w:r w:rsidR="00AD5EEA">
        <w:rPr>
          <w:rFonts w:ascii="Times New Roman" w:hAnsi="Times New Roman" w:cs="Times New Roman"/>
          <w:sz w:val="28"/>
          <w:szCs w:val="28"/>
          <w:lang w:val="uk-UA"/>
        </w:rPr>
        <w:t>озитивною</w:t>
      </w:r>
      <w:r w:rsidRPr="00FA61C6">
        <w:rPr>
          <w:rFonts w:ascii="Times New Roman" w:hAnsi="Times New Roman" w:cs="Times New Roman"/>
          <w:sz w:val="28"/>
          <w:szCs w:val="28"/>
          <w:lang w:val="uk-UA"/>
        </w:rPr>
        <w:t xml:space="preserve"> до CD23, при цьому щільність клітин з ядерним фарбуванням CD23 виявилася в 7,7 раз вище</w:t>
      </w:r>
      <w:r>
        <w:rPr>
          <w:rFonts w:ascii="Times New Roman" w:hAnsi="Times New Roman" w:cs="Times New Roman"/>
          <w:sz w:val="28"/>
          <w:szCs w:val="28"/>
          <w:lang w:val="uk-UA"/>
        </w:rPr>
        <w:t xml:space="preserve"> у групі тварин з атопією</w:t>
      </w:r>
      <w:r w:rsidRPr="00FA61C6">
        <w:rPr>
          <w:rFonts w:ascii="Times New Roman" w:hAnsi="Times New Roman" w:cs="Times New Roman"/>
          <w:sz w:val="28"/>
          <w:szCs w:val="28"/>
          <w:lang w:val="uk-UA"/>
        </w:rPr>
        <w:t>, ніж у інтактних тварин.</w:t>
      </w:r>
    </w:p>
    <w:p w14:paraId="0E943BCC" w14:textId="77777777" w:rsidR="00544810" w:rsidRDefault="00544810" w:rsidP="00A448F8">
      <w:pPr>
        <w:spacing w:after="0" w:line="360" w:lineRule="auto"/>
        <w:ind w:firstLine="709"/>
        <w:jc w:val="both"/>
        <w:rPr>
          <w:rFonts w:ascii="Times New Roman" w:hAnsi="Times New Roman" w:cs="Times New Roman"/>
          <w:sz w:val="28"/>
          <w:szCs w:val="28"/>
          <w:lang w:val="uk-UA"/>
        </w:rPr>
      </w:pPr>
      <w:r w:rsidRPr="003C7C44">
        <w:rPr>
          <w:rFonts w:ascii="Times New Roman" w:hAnsi="Times New Roman" w:cs="Times New Roman"/>
          <w:sz w:val="28"/>
          <w:szCs w:val="28"/>
          <w:lang w:val="uk-UA"/>
        </w:rPr>
        <w:t>При зіставленні результатів ІГХ з eNOs, iNOs, CD23, CD20 найбільш виражена кореляція виявляється між CD23 і CD20 (r = 0,89), iNOs і CD23 (r = 0,85), iNOs і CD20 (r = 0,87).</w:t>
      </w:r>
    </w:p>
    <w:p w14:paraId="67C6AE97" w14:textId="3F0E382C" w:rsidR="00544810" w:rsidRDefault="00544810" w:rsidP="00A448F8">
      <w:pPr>
        <w:spacing w:after="0" w:line="360" w:lineRule="auto"/>
        <w:ind w:firstLine="709"/>
        <w:jc w:val="both"/>
        <w:rPr>
          <w:rFonts w:ascii="Times New Roman" w:hAnsi="Times New Roman" w:cs="Times New Roman"/>
          <w:sz w:val="28"/>
          <w:szCs w:val="28"/>
          <w:lang w:val="uk-UA"/>
        </w:rPr>
      </w:pPr>
      <w:r w:rsidRPr="005F6254">
        <w:rPr>
          <w:rFonts w:ascii="Times New Roman" w:hAnsi="Times New Roman" w:cs="Times New Roman"/>
          <w:sz w:val="28"/>
          <w:szCs w:val="28"/>
          <w:lang w:val="uk-UA"/>
        </w:rPr>
        <w:t>О</w:t>
      </w:r>
      <w:r>
        <w:rPr>
          <w:rFonts w:ascii="Times New Roman" w:hAnsi="Times New Roman" w:cs="Times New Roman"/>
          <w:sz w:val="28"/>
          <w:szCs w:val="28"/>
          <w:lang w:val="uk-UA"/>
        </w:rPr>
        <w:t>тже, о</w:t>
      </w:r>
      <w:r w:rsidRPr="005F6254">
        <w:rPr>
          <w:rFonts w:ascii="Times New Roman" w:hAnsi="Times New Roman" w:cs="Times New Roman"/>
          <w:sz w:val="28"/>
          <w:szCs w:val="28"/>
          <w:lang w:val="uk-UA"/>
        </w:rPr>
        <w:t>писані морфологічні зміни в тканинах слизової оболонки ротової порожнини прийнято розглядати як запально-дистрофічні процеси з іму</w:t>
      </w:r>
      <w:r>
        <w:rPr>
          <w:rFonts w:ascii="Times New Roman" w:hAnsi="Times New Roman" w:cs="Times New Roman"/>
          <w:sz w:val="28"/>
          <w:szCs w:val="28"/>
          <w:lang w:val="uk-UA"/>
        </w:rPr>
        <w:t>нологічними і мікроциркуляторними порушеннями</w:t>
      </w:r>
      <w:r w:rsidRPr="005F6254">
        <w:rPr>
          <w:rFonts w:ascii="Times New Roman" w:hAnsi="Times New Roman" w:cs="Times New Roman"/>
          <w:sz w:val="28"/>
          <w:szCs w:val="28"/>
          <w:lang w:val="uk-UA"/>
        </w:rPr>
        <w:t xml:space="preserve"> при наявності генералізованого атопічного процесу</w:t>
      </w:r>
      <w:r w:rsidR="00EF697D" w:rsidRPr="00EF697D">
        <w:rPr>
          <w:rFonts w:ascii="Times New Roman" w:hAnsi="Times New Roman" w:cs="Times New Roman"/>
          <w:sz w:val="28"/>
          <w:szCs w:val="28"/>
          <w:lang w:val="uk-UA"/>
        </w:rPr>
        <w:t xml:space="preserve"> [</w:t>
      </w:r>
      <w:r w:rsidR="00EF697D">
        <w:rPr>
          <w:rFonts w:ascii="Times New Roman" w:hAnsi="Times New Roman" w:cs="Times New Roman"/>
          <w:sz w:val="28"/>
          <w:szCs w:val="28"/>
          <w:lang w:val="uk-UA"/>
        </w:rPr>
        <w:t>250</w:t>
      </w:r>
      <w:r w:rsidR="00EF697D" w:rsidRPr="00EF697D">
        <w:rPr>
          <w:rFonts w:ascii="Times New Roman" w:hAnsi="Times New Roman" w:cs="Times New Roman"/>
          <w:sz w:val="28"/>
          <w:szCs w:val="28"/>
          <w:lang w:val="uk-UA"/>
        </w:rPr>
        <w:t>]</w:t>
      </w:r>
      <w:r w:rsidRPr="005F6254">
        <w:rPr>
          <w:rFonts w:ascii="Times New Roman" w:hAnsi="Times New Roman" w:cs="Times New Roman"/>
          <w:sz w:val="28"/>
          <w:szCs w:val="28"/>
          <w:lang w:val="uk-UA"/>
        </w:rPr>
        <w:t>.</w:t>
      </w:r>
    </w:p>
    <w:p w14:paraId="4C24BA82" w14:textId="0103F745" w:rsidR="00544810" w:rsidRPr="000C5476" w:rsidRDefault="00544810" w:rsidP="00A448F8">
      <w:pPr>
        <w:spacing w:after="0" w:line="360" w:lineRule="auto"/>
        <w:ind w:firstLine="709"/>
        <w:jc w:val="both"/>
        <w:rPr>
          <w:rFonts w:ascii="Times New Roman" w:hAnsi="Times New Roman" w:cs="Times New Roman"/>
          <w:sz w:val="28"/>
          <w:szCs w:val="28"/>
          <w:lang w:val="uk-UA"/>
        </w:rPr>
      </w:pPr>
      <w:r w:rsidRPr="000C5476">
        <w:rPr>
          <w:rFonts w:ascii="Times New Roman" w:hAnsi="Times New Roman" w:cs="Times New Roman"/>
          <w:sz w:val="28"/>
          <w:szCs w:val="28"/>
          <w:lang w:val="uk-UA"/>
        </w:rPr>
        <w:t>Морфологічне дослідження тканин слизової оболонки ротової порожнини тварин з наявністю сформованого атопічного процесу після проведеного лікування</w:t>
      </w:r>
      <w:r w:rsidR="000C5476">
        <w:rPr>
          <w:rFonts w:ascii="Times New Roman" w:hAnsi="Times New Roman" w:cs="Times New Roman"/>
          <w:sz w:val="28"/>
          <w:szCs w:val="28"/>
          <w:lang w:val="uk-UA"/>
        </w:rPr>
        <w:t xml:space="preserve"> показало зміни певних параметрів</w:t>
      </w:r>
      <w:r w:rsidRPr="000C5476">
        <w:rPr>
          <w:rFonts w:ascii="Times New Roman" w:hAnsi="Times New Roman" w:cs="Times New Roman"/>
          <w:sz w:val="28"/>
          <w:szCs w:val="28"/>
          <w:lang w:val="uk-UA"/>
        </w:rPr>
        <w:t xml:space="preserve">. </w:t>
      </w:r>
    </w:p>
    <w:p w14:paraId="3813FD65" w14:textId="5AE2DEDC" w:rsidR="00544810" w:rsidRPr="00145EDC"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При огляді ротової порожнини групи тварин, у яких після моделювання атопії проводилися терапевтичні зах</w:t>
      </w:r>
      <w:r>
        <w:rPr>
          <w:rFonts w:ascii="Times New Roman" w:hAnsi="Times New Roman" w:cs="Times New Roman"/>
          <w:sz w:val="28"/>
          <w:szCs w:val="28"/>
          <w:lang w:val="uk-UA"/>
        </w:rPr>
        <w:t>оди за описаним раніше алгоритмом</w:t>
      </w:r>
      <w:r w:rsidR="00E74A75">
        <w:rPr>
          <w:rFonts w:ascii="Times New Roman" w:hAnsi="Times New Roman" w:cs="Times New Roman"/>
          <w:sz w:val="28"/>
          <w:szCs w:val="28"/>
          <w:lang w:val="uk-UA"/>
        </w:rPr>
        <w:t xml:space="preserve"> (процедура описана в розділі 2 даного досл</w:t>
      </w:r>
      <w:r w:rsidRPr="00145EDC">
        <w:rPr>
          <w:rFonts w:ascii="Times New Roman" w:hAnsi="Times New Roman" w:cs="Times New Roman"/>
          <w:sz w:val="28"/>
          <w:szCs w:val="28"/>
          <w:lang w:val="uk-UA"/>
        </w:rPr>
        <w:t xml:space="preserve">ідження) виявлено, що слизова </w:t>
      </w:r>
      <w:r>
        <w:rPr>
          <w:rFonts w:ascii="Times New Roman" w:hAnsi="Times New Roman" w:cs="Times New Roman"/>
          <w:sz w:val="28"/>
          <w:szCs w:val="28"/>
          <w:lang w:val="uk-UA"/>
        </w:rPr>
        <w:t xml:space="preserve">оболонка </w:t>
      </w:r>
      <w:r w:rsidRPr="00145EDC">
        <w:rPr>
          <w:rFonts w:ascii="Times New Roman" w:hAnsi="Times New Roman" w:cs="Times New Roman"/>
          <w:sz w:val="28"/>
          <w:szCs w:val="28"/>
          <w:lang w:val="uk-UA"/>
        </w:rPr>
        <w:t>блідо-р</w:t>
      </w:r>
      <w:r>
        <w:rPr>
          <w:rFonts w:ascii="Times New Roman" w:hAnsi="Times New Roman" w:cs="Times New Roman"/>
          <w:sz w:val="28"/>
          <w:szCs w:val="28"/>
          <w:lang w:val="uk-UA"/>
        </w:rPr>
        <w:t xml:space="preserve">ожева, без видимих </w:t>
      </w:r>
      <w:r w:rsidRPr="00145EDC">
        <w:rPr>
          <w:rFonts w:ascii="Times New Roman" w:hAnsi="Times New Roman" w:cs="Times New Roman"/>
          <w:sz w:val="28"/>
          <w:szCs w:val="28"/>
          <w:lang w:val="uk-UA"/>
        </w:rPr>
        <w:t>патологічних змін.</w:t>
      </w:r>
    </w:p>
    <w:p w14:paraId="71ECE24E" w14:textId="4764BCC6"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При мікроскопічному вивченні слизова ротової порожнини тварин після проведеного лікування покрита багатошаровим</w:t>
      </w:r>
      <w:r>
        <w:rPr>
          <w:rFonts w:ascii="Times New Roman" w:hAnsi="Times New Roman" w:cs="Times New Roman"/>
          <w:sz w:val="28"/>
          <w:szCs w:val="28"/>
          <w:lang w:val="uk-UA"/>
        </w:rPr>
        <w:t xml:space="preserve"> плоскоклітинний неороговіваючим</w:t>
      </w:r>
      <w:r w:rsidRPr="00145EDC">
        <w:rPr>
          <w:rFonts w:ascii="Times New Roman" w:hAnsi="Times New Roman" w:cs="Times New Roman"/>
          <w:sz w:val="28"/>
          <w:szCs w:val="28"/>
          <w:lang w:val="uk-UA"/>
        </w:rPr>
        <w:t xml:space="preserve"> епітелієм за винятком поверхні ясен, яка</w:t>
      </w:r>
      <w:r>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як в попередніх групах</w:t>
      </w:r>
      <w:r>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покрита плоскокліт</w:t>
      </w:r>
      <w:r>
        <w:rPr>
          <w:rFonts w:ascii="Times New Roman" w:hAnsi="Times New Roman" w:cs="Times New Roman"/>
          <w:sz w:val="28"/>
          <w:szCs w:val="28"/>
          <w:lang w:val="uk-UA"/>
        </w:rPr>
        <w:t>инним ороговіваючим епітелієм (р</w:t>
      </w:r>
      <w:r w:rsidRPr="00145EDC">
        <w:rPr>
          <w:rFonts w:ascii="Times New Roman" w:hAnsi="Times New Roman" w:cs="Times New Roman"/>
          <w:sz w:val="28"/>
          <w:szCs w:val="28"/>
          <w:lang w:val="uk-UA"/>
        </w:rPr>
        <w:t xml:space="preserve">ис.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145EDC">
        <w:rPr>
          <w:rFonts w:ascii="Times New Roman" w:hAnsi="Times New Roman" w:cs="Times New Roman"/>
          <w:sz w:val="28"/>
          <w:szCs w:val="28"/>
          <w:lang w:val="uk-UA"/>
        </w:rPr>
        <w:t>1</w:t>
      </w:r>
      <w:r w:rsidR="00B464E6">
        <w:rPr>
          <w:rFonts w:ascii="Times New Roman" w:hAnsi="Times New Roman" w:cs="Times New Roman"/>
          <w:sz w:val="28"/>
          <w:szCs w:val="28"/>
          <w:lang w:val="uk-UA"/>
        </w:rPr>
        <w:t>5</w:t>
      </w:r>
      <w:r w:rsidRPr="00145EDC">
        <w:rPr>
          <w:rFonts w:ascii="Times New Roman" w:hAnsi="Times New Roman" w:cs="Times New Roman"/>
          <w:sz w:val="28"/>
          <w:szCs w:val="28"/>
          <w:lang w:val="uk-UA"/>
        </w:rPr>
        <w:t>), що в цілому відповід</w:t>
      </w:r>
      <w:r w:rsidR="00E74A75">
        <w:rPr>
          <w:rFonts w:ascii="Times New Roman" w:hAnsi="Times New Roman" w:cs="Times New Roman"/>
          <w:sz w:val="28"/>
          <w:szCs w:val="28"/>
          <w:lang w:val="uk-UA"/>
        </w:rPr>
        <w:t>ає описаній раніше гістологічній</w:t>
      </w:r>
      <w:r w:rsidRPr="00145EDC">
        <w:rPr>
          <w:rFonts w:ascii="Times New Roman" w:hAnsi="Times New Roman" w:cs="Times New Roman"/>
          <w:sz w:val="28"/>
          <w:szCs w:val="28"/>
          <w:lang w:val="uk-UA"/>
        </w:rPr>
        <w:t xml:space="preserve"> картині.</w:t>
      </w:r>
      <w:r>
        <w:rPr>
          <w:rFonts w:ascii="Times New Roman" w:hAnsi="Times New Roman" w:cs="Times New Roman"/>
          <w:sz w:val="28"/>
          <w:szCs w:val="28"/>
          <w:lang w:val="uk-UA"/>
        </w:rPr>
        <w:t xml:space="preserve"> </w:t>
      </w:r>
    </w:p>
    <w:p w14:paraId="27B2C9A4" w14:textId="77777777" w:rsidR="00544810" w:rsidRPr="00326822" w:rsidRDefault="00544810" w:rsidP="00A448F8">
      <w:pPr>
        <w:spacing w:after="0" w:line="360" w:lineRule="auto"/>
        <w:ind w:firstLine="708"/>
        <w:jc w:val="both"/>
        <w:rPr>
          <w:sz w:val="28"/>
          <w:szCs w:val="28"/>
          <w:lang w:val="uk-UA"/>
        </w:rPr>
      </w:pPr>
    </w:p>
    <w:p w14:paraId="10EE636F" w14:textId="77777777" w:rsidR="00544810" w:rsidRPr="009C0573" w:rsidRDefault="00544810" w:rsidP="00544810">
      <w:pPr>
        <w:spacing w:line="360" w:lineRule="auto"/>
        <w:jc w:val="center"/>
        <w:rPr>
          <w:sz w:val="28"/>
          <w:szCs w:val="28"/>
        </w:rPr>
      </w:pPr>
      <w:r w:rsidRPr="009C0573">
        <w:rPr>
          <w:noProof/>
          <w:sz w:val="28"/>
          <w:szCs w:val="28"/>
        </w:rPr>
        <w:drawing>
          <wp:inline distT="0" distB="0" distL="0" distR="0" wp14:anchorId="6E2E29F1" wp14:editId="7C0BF843">
            <wp:extent cx="4314825" cy="3248025"/>
            <wp:effectExtent l="0" t="0" r="9525" b="9525"/>
            <wp:docPr id="138" name="Picture 138" descr="1ge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ge20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314825" cy="3248025"/>
                    </a:xfrm>
                    <a:prstGeom prst="rect">
                      <a:avLst/>
                    </a:prstGeom>
                    <a:noFill/>
                    <a:ln>
                      <a:noFill/>
                    </a:ln>
                  </pic:spPr>
                </pic:pic>
              </a:graphicData>
            </a:graphic>
          </wp:inline>
        </w:drawing>
      </w:r>
    </w:p>
    <w:p w14:paraId="24695E69" w14:textId="6371CE28"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Pr="00145EDC">
        <w:rPr>
          <w:rFonts w:ascii="Times New Roman" w:hAnsi="Times New Roman" w:cs="Times New Roman"/>
          <w:sz w:val="28"/>
          <w:szCs w:val="28"/>
          <w:lang w:val="uk-UA"/>
        </w:rPr>
        <w:t xml:space="preserve">. </w:t>
      </w:r>
      <w:r w:rsidR="00B464E6">
        <w:rPr>
          <w:rFonts w:ascii="Times New Roman" w:hAnsi="Times New Roman" w:cs="Times New Roman"/>
          <w:sz w:val="28"/>
          <w:szCs w:val="28"/>
          <w:lang w:val="uk-UA"/>
        </w:rPr>
        <w:t>3</w:t>
      </w:r>
      <w:r>
        <w:rPr>
          <w:rFonts w:ascii="Times New Roman" w:hAnsi="Times New Roman" w:cs="Times New Roman"/>
          <w:sz w:val="28"/>
          <w:szCs w:val="28"/>
          <w:lang w:val="uk-UA"/>
        </w:rPr>
        <w:t>.</w:t>
      </w:r>
      <w:r w:rsidRPr="00145EDC">
        <w:rPr>
          <w:rFonts w:ascii="Times New Roman" w:hAnsi="Times New Roman" w:cs="Times New Roman"/>
          <w:sz w:val="28"/>
          <w:szCs w:val="28"/>
          <w:lang w:val="uk-UA"/>
        </w:rPr>
        <w:t>1</w:t>
      </w:r>
      <w:r w:rsidR="00B464E6">
        <w:rPr>
          <w:rFonts w:ascii="Times New Roman" w:hAnsi="Times New Roman" w:cs="Times New Roman"/>
          <w:sz w:val="28"/>
          <w:szCs w:val="28"/>
          <w:lang w:val="uk-UA"/>
        </w:rPr>
        <w:t>5</w:t>
      </w:r>
      <w:r w:rsidRPr="00145EDC">
        <w:rPr>
          <w:rFonts w:ascii="Times New Roman" w:hAnsi="Times New Roman" w:cs="Times New Roman"/>
          <w:sz w:val="28"/>
          <w:szCs w:val="28"/>
          <w:lang w:val="uk-UA"/>
        </w:rPr>
        <w:t>. Слизова</w:t>
      </w:r>
      <w:r>
        <w:rPr>
          <w:rFonts w:ascii="Times New Roman" w:hAnsi="Times New Roman" w:cs="Times New Roman"/>
          <w:sz w:val="28"/>
          <w:szCs w:val="28"/>
          <w:lang w:val="uk-UA"/>
        </w:rPr>
        <w:t xml:space="preserve"> оболонка кроля</w:t>
      </w:r>
      <w:r w:rsidRPr="00145EDC">
        <w:rPr>
          <w:rFonts w:ascii="Times New Roman" w:hAnsi="Times New Roman" w:cs="Times New Roman"/>
          <w:sz w:val="28"/>
          <w:szCs w:val="28"/>
          <w:lang w:val="uk-UA"/>
        </w:rPr>
        <w:t xml:space="preserve"> після проведеного лікування. Поодинокі клітини запального ряду у власній пластинці слизової</w:t>
      </w:r>
      <w:r>
        <w:rPr>
          <w:rFonts w:ascii="Times New Roman" w:hAnsi="Times New Roman" w:cs="Times New Roman"/>
          <w:sz w:val="28"/>
          <w:szCs w:val="28"/>
          <w:lang w:val="uk-UA"/>
        </w:rPr>
        <w:t xml:space="preserve"> оболонки</w:t>
      </w:r>
      <w:r w:rsidRPr="00145EDC">
        <w:rPr>
          <w:rFonts w:ascii="Times New Roman" w:hAnsi="Times New Roman" w:cs="Times New Roman"/>
          <w:sz w:val="28"/>
          <w:szCs w:val="28"/>
          <w:lang w:val="uk-UA"/>
        </w:rPr>
        <w:t xml:space="preserve"> і їх відсутність в епіт</w:t>
      </w:r>
      <w:r>
        <w:rPr>
          <w:rFonts w:ascii="Times New Roman" w:hAnsi="Times New Roman" w:cs="Times New Roman"/>
          <w:sz w:val="28"/>
          <w:szCs w:val="28"/>
          <w:lang w:val="uk-UA"/>
        </w:rPr>
        <w:t>еліальному</w:t>
      </w:r>
      <w:r w:rsidRPr="00145EDC">
        <w:rPr>
          <w:rFonts w:ascii="Times New Roman" w:hAnsi="Times New Roman" w:cs="Times New Roman"/>
          <w:sz w:val="28"/>
          <w:szCs w:val="28"/>
          <w:lang w:val="uk-UA"/>
        </w:rPr>
        <w:t xml:space="preserve"> шарі. Виражений акантоз. Забарвлення гематоксиліном і еозином. Збільшення х200.</w:t>
      </w:r>
    </w:p>
    <w:p w14:paraId="7957A7C0" w14:textId="7D91E20C" w:rsidR="00544810" w:rsidRDefault="002F4783"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w:t>
      </w:r>
      <w:r w:rsidR="00544810" w:rsidRPr="00145EDC">
        <w:rPr>
          <w:rFonts w:ascii="Times New Roman" w:hAnsi="Times New Roman" w:cs="Times New Roman"/>
          <w:sz w:val="28"/>
          <w:szCs w:val="28"/>
          <w:lang w:val="uk-UA"/>
        </w:rPr>
        <w:t>, в епітелії, незважаючи на збереження його нерівномірної товщини, спостерігаєт</w:t>
      </w:r>
      <w:r w:rsidR="00B464E6">
        <w:rPr>
          <w:rFonts w:ascii="Times New Roman" w:hAnsi="Times New Roman" w:cs="Times New Roman"/>
          <w:sz w:val="28"/>
          <w:szCs w:val="28"/>
          <w:lang w:val="uk-UA"/>
        </w:rPr>
        <w:t>ься чіткий поділ на шари (рис. 3.15</w:t>
      </w:r>
      <w:r w:rsidR="00544810" w:rsidRPr="00145EDC">
        <w:rPr>
          <w:rFonts w:ascii="Times New Roman" w:hAnsi="Times New Roman" w:cs="Times New Roman"/>
          <w:sz w:val="28"/>
          <w:szCs w:val="28"/>
          <w:lang w:val="uk-UA"/>
        </w:rPr>
        <w:t>)</w:t>
      </w:r>
      <w:r>
        <w:rPr>
          <w:rFonts w:ascii="Times New Roman" w:hAnsi="Times New Roman" w:cs="Times New Roman"/>
          <w:sz w:val="28"/>
          <w:szCs w:val="28"/>
          <w:lang w:val="uk-UA"/>
        </w:rPr>
        <w:t>. Поверхневі клітини шипуватого</w:t>
      </w:r>
      <w:r w:rsidR="00544810" w:rsidRPr="00145EDC">
        <w:rPr>
          <w:rFonts w:ascii="Times New Roman" w:hAnsi="Times New Roman" w:cs="Times New Roman"/>
          <w:sz w:val="28"/>
          <w:szCs w:val="28"/>
          <w:lang w:val="uk-UA"/>
        </w:rPr>
        <w:t xml:space="preserve"> шару спл</w:t>
      </w:r>
      <w:r w:rsidR="00E74A75">
        <w:rPr>
          <w:rFonts w:ascii="Times New Roman" w:hAnsi="Times New Roman" w:cs="Times New Roman"/>
          <w:sz w:val="28"/>
          <w:szCs w:val="28"/>
          <w:lang w:val="uk-UA"/>
        </w:rPr>
        <w:t>ощені, їх форма веретиноподібна</w:t>
      </w:r>
      <w:r w:rsidR="00544810" w:rsidRPr="00145EDC">
        <w:rPr>
          <w:rFonts w:ascii="Times New Roman" w:hAnsi="Times New Roman" w:cs="Times New Roman"/>
          <w:sz w:val="28"/>
          <w:szCs w:val="28"/>
          <w:lang w:val="uk-UA"/>
        </w:rPr>
        <w:t>, явища пікнозу помірно виражені. Цитоплазма поверхнев</w:t>
      </w:r>
      <w:r w:rsidR="00544810">
        <w:rPr>
          <w:rFonts w:ascii="Times New Roman" w:hAnsi="Times New Roman" w:cs="Times New Roman"/>
          <w:sz w:val="28"/>
          <w:szCs w:val="28"/>
          <w:lang w:val="uk-UA"/>
        </w:rPr>
        <w:t xml:space="preserve">их епітеліоцитів представлена </w:t>
      </w:r>
      <w:r w:rsidR="00544810" w:rsidRPr="00145EDC">
        <w:rPr>
          <w:rFonts w:ascii="Times New Roman" w:hAnsi="Times New Roman" w:cs="Times New Roman"/>
          <w:sz w:val="28"/>
          <w:szCs w:val="28"/>
          <w:lang w:val="uk-UA"/>
        </w:rPr>
        <w:t>тонкою інтенсивно за</w:t>
      </w:r>
      <w:r w:rsidR="00E74A75">
        <w:rPr>
          <w:rFonts w:ascii="Times New Roman" w:hAnsi="Times New Roman" w:cs="Times New Roman"/>
          <w:sz w:val="28"/>
          <w:szCs w:val="28"/>
          <w:lang w:val="uk-UA"/>
        </w:rPr>
        <w:t>барвленою</w:t>
      </w:r>
      <w:r>
        <w:rPr>
          <w:rFonts w:ascii="Times New Roman" w:hAnsi="Times New Roman" w:cs="Times New Roman"/>
          <w:sz w:val="28"/>
          <w:szCs w:val="28"/>
          <w:lang w:val="uk-UA"/>
        </w:rPr>
        <w:t xml:space="preserve"> облямівкою. Є місця зтоншення</w:t>
      </w:r>
      <w:r w:rsidR="00544810" w:rsidRPr="00145EDC">
        <w:rPr>
          <w:rFonts w:ascii="Times New Roman" w:hAnsi="Times New Roman" w:cs="Times New Roman"/>
          <w:sz w:val="28"/>
          <w:szCs w:val="28"/>
          <w:lang w:val="uk-UA"/>
        </w:rPr>
        <w:t xml:space="preserve"> ш</w:t>
      </w:r>
      <w:r>
        <w:rPr>
          <w:rFonts w:ascii="Times New Roman" w:hAnsi="Times New Roman" w:cs="Times New Roman"/>
          <w:sz w:val="28"/>
          <w:szCs w:val="28"/>
          <w:lang w:val="uk-UA"/>
        </w:rPr>
        <w:t>ипу</w:t>
      </w:r>
      <w:r w:rsidR="00544810" w:rsidRPr="00145EDC">
        <w:rPr>
          <w:rFonts w:ascii="Times New Roman" w:hAnsi="Times New Roman" w:cs="Times New Roman"/>
          <w:sz w:val="28"/>
          <w:szCs w:val="28"/>
          <w:lang w:val="uk-UA"/>
        </w:rPr>
        <w:t>ватого шару до двох-трьох клітин. Сосочковий шар згладжений. Незважаючи на наявність множинних ділянок заглиблень на поверхні епітелію</w:t>
      </w:r>
      <w:r>
        <w:rPr>
          <w:rFonts w:ascii="Times New Roman" w:hAnsi="Times New Roman" w:cs="Times New Roman"/>
          <w:sz w:val="28"/>
          <w:szCs w:val="28"/>
          <w:lang w:val="uk-UA"/>
        </w:rPr>
        <w:t>,</w:t>
      </w:r>
      <w:r w:rsidR="00544810" w:rsidRPr="00145EDC">
        <w:rPr>
          <w:rFonts w:ascii="Times New Roman" w:hAnsi="Times New Roman" w:cs="Times New Roman"/>
          <w:sz w:val="28"/>
          <w:szCs w:val="28"/>
          <w:lang w:val="uk-UA"/>
        </w:rPr>
        <w:t xml:space="preserve"> ні в одному з препаратів вони не доходять до базальної мембрани. У міру наб</w:t>
      </w:r>
      <w:r w:rsidR="00E74A75">
        <w:rPr>
          <w:rFonts w:ascii="Times New Roman" w:hAnsi="Times New Roman" w:cs="Times New Roman"/>
          <w:sz w:val="28"/>
          <w:szCs w:val="28"/>
          <w:lang w:val="uk-UA"/>
        </w:rPr>
        <w:t>лиження до базальної мембрани</w:t>
      </w:r>
      <w:r>
        <w:rPr>
          <w:rFonts w:ascii="Times New Roman" w:hAnsi="Times New Roman" w:cs="Times New Roman"/>
          <w:sz w:val="28"/>
          <w:szCs w:val="28"/>
          <w:lang w:val="uk-UA"/>
        </w:rPr>
        <w:t xml:space="preserve"> клітини шипуватого</w:t>
      </w:r>
      <w:r w:rsidR="00544810" w:rsidRPr="00145EDC">
        <w:rPr>
          <w:rFonts w:ascii="Times New Roman" w:hAnsi="Times New Roman" w:cs="Times New Roman"/>
          <w:sz w:val="28"/>
          <w:szCs w:val="28"/>
          <w:lang w:val="uk-UA"/>
        </w:rPr>
        <w:t xml:space="preserve"> шару збільшуються в обсязі за рахунок збільшення як ядра, так і цитоплазми клітини.</w:t>
      </w:r>
      <w:r w:rsidR="00544810">
        <w:rPr>
          <w:rFonts w:ascii="Times New Roman" w:hAnsi="Times New Roman" w:cs="Times New Roman"/>
          <w:sz w:val="28"/>
          <w:szCs w:val="28"/>
          <w:lang w:val="uk-UA"/>
        </w:rPr>
        <w:t xml:space="preserve"> </w:t>
      </w:r>
    </w:p>
    <w:p w14:paraId="32CB6723" w14:textId="0AECD6F6"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Форма клітин при цьому змінюється з ромбовидної на багатогранну, а орієнтаці</w:t>
      </w:r>
      <w:r>
        <w:rPr>
          <w:rFonts w:ascii="Times New Roman" w:hAnsi="Times New Roman" w:cs="Times New Roman"/>
          <w:sz w:val="28"/>
          <w:szCs w:val="28"/>
          <w:lang w:val="uk-UA"/>
        </w:rPr>
        <w:t>я епітеліоцитів з горизонтальної</w:t>
      </w:r>
      <w:r w:rsidRPr="00145EDC">
        <w:rPr>
          <w:rFonts w:ascii="Times New Roman" w:hAnsi="Times New Roman" w:cs="Times New Roman"/>
          <w:sz w:val="28"/>
          <w:szCs w:val="28"/>
          <w:lang w:val="uk-UA"/>
        </w:rPr>
        <w:t xml:space="preserve"> в поверхневих шарах, на вертикальну в базальних з перпендикулярним напрямком осі базальних епі</w:t>
      </w:r>
      <w:r w:rsidR="002F4783">
        <w:rPr>
          <w:rFonts w:ascii="Times New Roman" w:hAnsi="Times New Roman" w:cs="Times New Roman"/>
          <w:sz w:val="28"/>
          <w:szCs w:val="28"/>
          <w:lang w:val="uk-UA"/>
        </w:rPr>
        <w:t>теліоцитів до базальної мембрани</w:t>
      </w:r>
      <w:r w:rsidRPr="00145EDC">
        <w:rPr>
          <w:rFonts w:ascii="Times New Roman" w:hAnsi="Times New Roman" w:cs="Times New Roman"/>
          <w:sz w:val="28"/>
          <w:szCs w:val="28"/>
          <w:lang w:val="uk-UA"/>
        </w:rPr>
        <w:t xml:space="preserve">. Ядра базальних епітеліоцитів овальної форми, однорідні, </w:t>
      </w:r>
      <w:r w:rsidR="00E74A75">
        <w:rPr>
          <w:rFonts w:ascii="Times New Roman" w:hAnsi="Times New Roman" w:cs="Times New Roman"/>
          <w:sz w:val="28"/>
          <w:szCs w:val="28"/>
          <w:lang w:val="uk-UA"/>
        </w:rPr>
        <w:t>гіперхромні; цитоплазма базофі</w:t>
      </w:r>
      <w:r w:rsidRPr="00145EDC">
        <w:rPr>
          <w:rFonts w:ascii="Times New Roman" w:hAnsi="Times New Roman" w:cs="Times New Roman"/>
          <w:sz w:val="28"/>
          <w:szCs w:val="28"/>
          <w:lang w:val="uk-UA"/>
        </w:rPr>
        <w:t>льна. У товщі епітеліального пласта зустрічаються поодинокі еозинофіли, нейтрофіли, лімфоцити.</w:t>
      </w:r>
    </w:p>
    <w:p w14:paraId="40408341" w14:textId="16A91E08" w:rsidR="00544810" w:rsidRDefault="00544810" w:rsidP="00A448F8">
      <w:pPr>
        <w:spacing w:after="0" w:line="360" w:lineRule="auto"/>
        <w:ind w:firstLine="709"/>
        <w:jc w:val="both"/>
        <w:rPr>
          <w:rFonts w:ascii="Times New Roman" w:hAnsi="Times New Roman" w:cs="Times New Roman"/>
          <w:sz w:val="28"/>
          <w:szCs w:val="28"/>
          <w:lang w:val="uk-UA"/>
        </w:rPr>
      </w:pPr>
      <w:r w:rsidRPr="00145EDC">
        <w:rPr>
          <w:rFonts w:ascii="Times New Roman" w:hAnsi="Times New Roman" w:cs="Times New Roman"/>
          <w:sz w:val="28"/>
          <w:szCs w:val="28"/>
          <w:lang w:val="uk-UA"/>
        </w:rPr>
        <w:t>Відзначаються явища епітелізації з напливом нових епітеліальних кліт</w:t>
      </w:r>
      <w:r>
        <w:rPr>
          <w:rFonts w:ascii="Times New Roman" w:hAnsi="Times New Roman" w:cs="Times New Roman"/>
          <w:sz w:val="28"/>
          <w:szCs w:val="28"/>
          <w:lang w:val="uk-UA"/>
        </w:rPr>
        <w:t xml:space="preserve">ин </w:t>
      </w:r>
      <w:r w:rsidR="00B464E6">
        <w:rPr>
          <w:rFonts w:ascii="Times New Roman" w:hAnsi="Times New Roman" w:cs="Times New Roman"/>
          <w:sz w:val="28"/>
          <w:szCs w:val="28"/>
          <w:lang w:val="uk-UA"/>
        </w:rPr>
        <w:t>на пошкоджені ділянки (рис. 3.16</w:t>
      </w:r>
      <w:r w:rsidR="002F4783">
        <w:rPr>
          <w:rFonts w:ascii="Times New Roman" w:hAnsi="Times New Roman" w:cs="Times New Roman"/>
          <w:sz w:val="28"/>
          <w:szCs w:val="28"/>
          <w:lang w:val="uk-UA"/>
        </w:rPr>
        <w:t>), які, у</w:t>
      </w:r>
      <w:r w:rsidRPr="00145EDC">
        <w:rPr>
          <w:rFonts w:ascii="Times New Roman" w:hAnsi="Times New Roman" w:cs="Times New Roman"/>
          <w:sz w:val="28"/>
          <w:szCs w:val="28"/>
          <w:lang w:val="uk-UA"/>
        </w:rPr>
        <w:t xml:space="preserve"> свою чергу, за рахунок проліферації пошкодженого епітелію відновили свою цілісн</w:t>
      </w:r>
      <w:r>
        <w:rPr>
          <w:rFonts w:ascii="Times New Roman" w:hAnsi="Times New Roman" w:cs="Times New Roman"/>
          <w:sz w:val="28"/>
          <w:szCs w:val="28"/>
          <w:lang w:val="uk-UA"/>
        </w:rPr>
        <w:t>ість, що може відповідати місцям</w:t>
      </w:r>
      <w:r w:rsidR="002F4783">
        <w:rPr>
          <w:rFonts w:ascii="Times New Roman" w:hAnsi="Times New Roman" w:cs="Times New Roman"/>
          <w:sz w:val="28"/>
          <w:szCs w:val="28"/>
          <w:lang w:val="uk-UA"/>
        </w:rPr>
        <w:t>, у</w:t>
      </w:r>
      <w:r w:rsidRPr="00145EDC">
        <w:rPr>
          <w:rFonts w:ascii="Times New Roman" w:hAnsi="Times New Roman" w:cs="Times New Roman"/>
          <w:sz w:val="28"/>
          <w:szCs w:val="28"/>
          <w:lang w:val="uk-UA"/>
        </w:rPr>
        <w:t xml:space="preserve"> яких раніше спостерігалися попередні пошкодження слизової оболонки, а саме</w:t>
      </w:r>
      <w:r w:rsidR="00E74A75">
        <w:rPr>
          <w:rFonts w:ascii="Times New Roman" w:hAnsi="Times New Roman" w:cs="Times New Roman"/>
          <w:sz w:val="28"/>
          <w:szCs w:val="28"/>
          <w:lang w:val="uk-UA"/>
        </w:rPr>
        <w:t>,</w:t>
      </w:r>
      <w:r w:rsidRPr="00145EDC">
        <w:rPr>
          <w:rFonts w:ascii="Times New Roman" w:hAnsi="Times New Roman" w:cs="Times New Roman"/>
          <w:sz w:val="28"/>
          <w:szCs w:val="28"/>
          <w:lang w:val="uk-UA"/>
        </w:rPr>
        <w:t xml:space="preserve"> </w:t>
      </w:r>
      <w:r>
        <w:rPr>
          <w:rFonts w:ascii="Times New Roman" w:hAnsi="Times New Roman" w:cs="Times New Roman"/>
          <w:sz w:val="28"/>
          <w:szCs w:val="28"/>
          <w:lang w:val="uk-UA"/>
        </w:rPr>
        <w:t>дистрофічно-некробіотичні</w:t>
      </w:r>
      <w:r w:rsidRPr="00145EDC">
        <w:rPr>
          <w:rFonts w:ascii="Times New Roman" w:hAnsi="Times New Roman" w:cs="Times New Roman"/>
          <w:sz w:val="28"/>
          <w:szCs w:val="28"/>
          <w:lang w:val="uk-UA"/>
        </w:rPr>
        <w:t xml:space="preserve"> процеси аж до сформованих ерозій, як це було описано</w:t>
      </w:r>
      <w:r w:rsidR="00E74A75">
        <w:rPr>
          <w:rFonts w:ascii="Times New Roman" w:hAnsi="Times New Roman" w:cs="Times New Roman"/>
          <w:sz w:val="28"/>
          <w:szCs w:val="28"/>
          <w:lang w:val="uk-UA"/>
        </w:rPr>
        <w:t xml:space="preserve"> у підгрупі тварин з атопією</w:t>
      </w:r>
      <w:r w:rsidRPr="00145EDC">
        <w:rPr>
          <w:rFonts w:ascii="Times New Roman" w:hAnsi="Times New Roman" w:cs="Times New Roman"/>
          <w:sz w:val="28"/>
          <w:szCs w:val="28"/>
          <w:lang w:val="uk-UA"/>
        </w:rPr>
        <w:t>, і що не с</w:t>
      </w:r>
      <w:r w:rsidR="00E74A75">
        <w:rPr>
          <w:rFonts w:ascii="Times New Roman" w:hAnsi="Times New Roman" w:cs="Times New Roman"/>
          <w:sz w:val="28"/>
          <w:szCs w:val="28"/>
          <w:lang w:val="uk-UA"/>
        </w:rPr>
        <w:t>постерігається у тварин опис</w:t>
      </w:r>
      <w:r w:rsidRPr="00145EDC">
        <w:rPr>
          <w:rFonts w:ascii="Times New Roman" w:hAnsi="Times New Roman" w:cs="Times New Roman"/>
          <w:sz w:val="28"/>
          <w:szCs w:val="28"/>
          <w:lang w:val="uk-UA"/>
        </w:rPr>
        <w:t>аної підгрупи.</w:t>
      </w:r>
      <w:r>
        <w:rPr>
          <w:rFonts w:ascii="Times New Roman" w:hAnsi="Times New Roman" w:cs="Times New Roman"/>
          <w:sz w:val="28"/>
          <w:szCs w:val="28"/>
          <w:lang w:val="uk-UA"/>
        </w:rPr>
        <w:t xml:space="preserve"> </w:t>
      </w:r>
      <w:r w:rsidRPr="00145EDC">
        <w:rPr>
          <w:rFonts w:ascii="Times New Roman" w:hAnsi="Times New Roman" w:cs="Times New Roman"/>
          <w:sz w:val="28"/>
          <w:szCs w:val="28"/>
          <w:lang w:val="uk-UA"/>
        </w:rPr>
        <w:t>Однією з ознак проліферативної активності епітеліальни</w:t>
      </w:r>
      <w:r>
        <w:rPr>
          <w:rFonts w:ascii="Times New Roman" w:hAnsi="Times New Roman" w:cs="Times New Roman"/>
          <w:sz w:val="28"/>
          <w:szCs w:val="28"/>
          <w:lang w:val="uk-UA"/>
        </w:rPr>
        <w:t>х клітин є наявність вира</w:t>
      </w:r>
      <w:r w:rsidR="00B464E6">
        <w:rPr>
          <w:rFonts w:ascii="Times New Roman" w:hAnsi="Times New Roman" w:cs="Times New Roman"/>
          <w:sz w:val="28"/>
          <w:szCs w:val="28"/>
          <w:lang w:val="uk-UA"/>
        </w:rPr>
        <w:t>жених акантотичних тяжів (рис. 3.15, 3.16</w:t>
      </w:r>
      <w:r w:rsidRPr="00145EDC">
        <w:rPr>
          <w:rFonts w:ascii="Times New Roman" w:hAnsi="Times New Roman" w:cs="Times New Roman"/>
          <w:sz w:val="28"/>
          <w:szCs w:val="28"/>
          <w:lang w:val="uk-UA"/>
        </w:rPr>
        <w:t>), вираж</w:t>
      </w:r>
      <w:r>
        <w:rPr>
          <w:rFonts w:ascii="Times New Roman" w:hAnsi="Times New Roman" w:cs="Times New Roman"/>
          <w:sz w:val="28"/>
          <w:szCs w:val="28"/>
          <w:lang w:val="uk-UA"/>
        </w:rPr>
        <w:t>ена базофілія</w:t>
      </w:r>
      <w:r w:rsidRPr="00145EDC">
        <w:rPr>
          <w:rFonts w:ascii="Times New Roman" w:hAnsi="Times New Roman" w:cs="Times New Roman"/>
          <w:sz w:val="28"/>
          <w:szCs w:val="28"/>
          <w:lang w:val="uk-UA"/>
        </w:rPr>
        <w:t xml:space="preserve"> клітин базального шару. Базальна мембрана неоднорідна, нерівномірної товщини.</w:t>
      </w:r>
    </w:p>
    <w:p w14:paraId="05F830C7" w14:textId="77777777" w:rsidR="00544810" w:rsidRPr="00544810" w:rsidRDefault="00544810" w:rsidP="00A448F8">
      <w:pPr>
        <w:spacing w:after="0" w:line="360" w:lineRule="auto"/>
        <w:ind w:firstLine="708"/>
        <w:jc w:val="both"/>
        <w:rPr>
          <w:sz w:val="28"/>
          <w:szCs w:val="28"/>
          <w:lang w:val="uk-UA"/>
        </w:rPr>
      </w:pPr>
    </w:p>
    <w:p w14:paraId="1D7405CE" w14:textId="77777777" w:rsidR="00544810" w:rsidRPr="00544810" w:rsidRDefault="00544810" w:rsidP="00A448F8">
      <w:pPr>
        <w:spacing w:after="0" w:line="360" w:lineRule="auto"/>
        <w:jc w:val="center"/>
        <w:rPr>
          <w:sz w:val="28"/>
          <w:szCs w:val="28"/>
          <w:lang w:val="uk-UA"/>
        </w:rPr>
      </w:pPr>
      <w:r w:rsidRPr="009C0573">
        <w:rPr>
          <w:noProof/>
          <w:sz w:val="28"/>
          <w:szCs w:val="28"/>
        </w:rPr>
        <w:drawing>
          <wp:inline distT="0" distB="0" distL="0" distR="0" wp14:anchorId="724009F7" wp14:editId="1DCB2AAA">
            <wp:extent cx="4314825" cy="3238500"/>
            <wp:effectExtent l="0" t="0" r="9525" b="0"/>
            <wp:docPr id="139" name="Picture 139" descr="ge73pv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73pv40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070F7C91" w14:textId="7083061F"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3.16</w:t>
      </w:r>
      <w:r w:rsidR="00544810">
        <w:rPr>
          <w:rFonts w:ascii="Times New Roman" w:hAnsi="Times New Roman" w:cs="Times New Roman"/>
          <w:sz w:val="28"/>
          <w:szCs w:val="28"/>
          <w:lang w:val="uk-UA"/>
        </w:rPr>
        <w:t>. Слизова оболонка тварини</w:t>
      </w:r>
      <w:r w:rsidR="00544810" w:rsidRPr="00145EDC">
        <w:rPr>
          <w:rFonts w:ascii="Times New Roman" w:hAnsi="Times New Roman" w:cs="Times New Roman"/>
          <w:sz w:val="28"/>
          <w:szCs w:val="28"/>
          <w:lang w:val="uk-UA"/>
        </w:rPr>
        <w:t xml:space="preserve"> після проведеного лікування. Явища епітелізації з ознаками проліферації баз</w:t>
      </w:r>
      <w:r w:rsidR="00544810">
        <w:rPr>
          <w:rFonts w:ascii="Times New Roman" w:hAnsi="Times New Roman" w:cs="Times New Roman"/>
          <w:sz w:val="28"/>
          <w:szCs w:val="28"/>
          <w:lang w:val="uk-UA"/>
        </w:rPr>
        <w:t>ального шару. Виражена базофілія</w:t>
      </w:r>
      <w:r w:rsidR="00544810" w:rsidRPr="00145EDC">
        <w:rPr>
          <w:rFonts w:ascii="Times New Roman" w:hAnsi="Times New Roman" w:cs="Times New Roman"/>
          <w:sz w:val="28"/>
          <w:szCs w:val="28"/>
          <w:lang w:val="uk-UA"/>
        </w:rPr>
        <w:t xml:space="preserve"> кліт</w:t>
      </w:r>
      <w:r w:rsidR="00544810">
        <w:rPr>
          <w:rFonts w:ascii="Times New Roman" w:hAnsi="Times New Roman" w:cs="Times New Roman"/>
          <w:sz w:val="28"/>
          <w:szCs w:val="28"/>
          <w:lang w:val="uk-UA"/>
        </w:rPr>
        <w:t>ин базального шару. Формування акантотичних</w:t>
      </w:r>
      <w:r w:rsidR="00544810" w:rsidRPr="00145EDC">
        <w:rPr>
          <w:rFonts w:ascii="Times New Roman" w:hAnsi="Times New Roman" w:cs="Times New Roman"/>
          <w:sz w:val="28"/>
          <w:szCs w:val="28"/>
          <w:lang w:val="uk-UA"/>
        </w:rPr>
        <w:t xml:space="preserve"> тяжів. Нерівномірна товщина базальної мембрани. Забарвлення гематоксиліном і еозином. Збільшення х400.</w:t>
      </w:r>
    </w:p>
    <w:p w14:paraId="782A7A26" w14:textId="1BAF49D7" w:rsidR="00544810" w:rsidRPr="003C0DE8" w:rsidRDefault="00544810" w:rsidP="00A448F8">
      <w:pPr>
        <w:spacing w:after="0" w:line="360" w:lineRule="auto"/>
        <w:ind w:firstLine="709"/>
        <w:jc w:val="both"/>
        <w:rPr>
          <w:rFonts w:ascii="Times New Roman" w:hAnsi="Times New Roman" w:cs="Times New Roman"/>
          <w:sz w:val="28"/>
          <w:szCs w:val="28"/>
          <w:lang w:val="uk-UA"/>
        </w:rPr>
      </w:pPr>
      <w:r w:rsidRPr="002B0FBC">
        <w:rPr>
          <w:rFonts w:ascii="Times New Roman" w:hAnsi="Times New Roman" w:cs="Times New Roman"/>
          <w:sz w:val="28"/>
          <w:szCs w:val="28"/>
          <w:lang w:val="uk-UA"/>
        </w:rPr>
        <w:t xml:space="preserve">У власне слизовій оболонці ясен добре виражений </w:t>
      </w:r>
      <w:r>
        <w:rPr>
          <w:rFonts w:ascii="Times New Roman" w:hAnsi="Times New Roman" w:cs="Times New Roman"/>
          <w:sz w:val="28"/>
          <w:szCs w:val="28"/>
          <w:lang w:val="uk-UA"/>
        </w:rPr>
        <w:t>розташований</w:t>
      </w:r>
      <w:r w:rsidRPr="002B0FBC">
        <w:rPr>
          <w:rFonts w:ascii="Times New Roman" w:hAnsi="Times New Roman" w:cs="Times New Roman"/>
          <w:sz w:val="28"/>
          <w:szCs w:val="28"/>
          <w:lang w:val="uk-UA"/>
        </w:rPr>
        <w:t xml:space="preserve"> під епітелієм сосочковий шар, в якому</w:t>
      </w:r>
      <w:r>
        <w:rPr>
          <w:rFonts w:ascii="Times New Roman" w:hAnsi="Times New Roman" w:cs="Times New Roman"/>
          <w:sz w:val="28"/>
          <w:szCs w:val="28"/>
          <w:lang w:val="uk-UA"/>
        </w:rPr>
        <w:t>,</w:t>
      </w:r>
      <w:r w:rsidRPr="002B0FBC">
        <w:rPr>
          <w:rFonts w:ascii="Times New Roman" w:hAnsi="Times New Roman" w:cs="Times New Roman"/>
          <w:sz w:val="28"/>
          <w:szCs w:val="28"/>
          <w:lang w:val="uk-UA"/>
        </w:rPr>
        <w:t xml:space="preserve"> крім пухкої сполучної тканини</w:t>
      </w:r>
      <w:r>
        <w:rPr>
          <w:rFonts w:ascii="Times New Roman" w:hAnsi="Times New Roman" w:cs="Times New Roman"/>
          <w:sz w:val="28"/>
          <w:szCs w:val="28"/>
          <w:lang w:val="uk-UA"/>
        </w:rPr>
        <w:t>,</w:t>
      </w:r>
      <w:r w:rsidRPr="002B0FBC">
        <w:rPr>
          <w:rFonts w:ascii="Times New Roman" w:hAnsi="Times New Roman" w:cs="Times New Roman"/>
          <w:sz w:val="28"/>
          <w:szCs w:val="28"/>
          <w:lang w:val="uk-UA"/>
        </w:rPr>
        <w:t xml:space="preserve"> відзначається </w:t>
      </w:r>
      <w:r>
        <w:rPr>
          <w:rFonts w:ascii="Times New Roman" w:hAnsi="Times New Roman" w:cs="Times New Roman"/>
          <w:sz w:val="28"/>
          <w:szCs w:val="28"/>
          <w:lang w:val="uk-UA"/>
        </w:rPr>
        <w:t>наявність колагенових волокон (р</w:t>
      </w:r>
      <w:r w:rsidRPr="002B0FBC">
        <w:rPr>
          <w:rFonts w:ascii="Times New Roman" w:hAnsi="Times New Roman" w:cs="Times New Roman"/>
          <w:sz w:val="28"/>
          <w:szCs w:val="28"/>
          <w:lang w:val="uk-UA"/>
        </w:rPr>
        <w:t>ис. 3</w:t>
      </w:r>
      <w:r w:rsidR="00B464E6">
        <w:rPr>
          <w:rFonts w:ascii="Times New Roman" w:hAnsi="Times New Roman" w:cs="Times New Roman"/>
          <w:sz w:val="28"/>
          <w:szCs w:val="28"/>
          <w:lang w:val="uk-UA"/>
        </w:rPr>
        <w:t>.17</w:t>
      </w:r>
      <w:r w:rsidRPr="002B0FBC">
        <w:rPr>
          <w:rFonts w:ascii="Times New Roman" w:hAnsi="Times New Roman" w:cs="Times New Roman"/>
          <w:sz w:val="28"/>
          <w:szCs w:val="28"/>
          <w:lang w:val="uk-UA"/>
        </w:rPr>
        <w:t>). Більш глибокий сітчастий шар, представлений більш грубими сполучнотканинними волокнами з менш вираженими змінами. У той же час слід зазначити поля вираженого склерозу власної пластинки слизової оболонки. Поверхневі тонкі, ніжні, покручені ретикулінові волокна утворюють базальну мембрану і мережу строми</w:t>
      </w:r>
      <w:r>
        <w:rPr>
          <w:rFonts w:ascii="Times New Roman" w:hAnsi="Times New Roman" w:cs="Times New Roman"/>
          <w:sz w:val="28"/>
          <w:szCs w:val="28"/>
          <w:lang w:val="uk-UA"/>
        </w:rPr>
        <w:t xml:space="preserve">. </w:t>
      </w:r>
    </w:p>
    <w:p w14:paraId="109CFBD8" w14:textId="77777777" w:rsidR="00544810" w:rsidRPr="009C0573" w:rsidRDefault="00544810" w:rsidP="00A448F8">
      <w:pPr>
        <w:spacing w:after="0" w:line="360" w:lineRule="auto"/>
        <w:jc w:val="center"/>
        <w:rPr>
          <w:sz w:val="28"/>
          <w:szCs w:val="28"/>
        </w:rPr>
      </w:pPr>
      <w:r w:rsidRPr="009C0573">
        <w:rPr>
          <w:noProof/>
          <w:sz w:val="28"/>
          <w:szCs w:val="28"/>
        </w:rPr>
        <w:drawing>
          <wp:inline distT="0" distB="0" distL="0" distR="0" wp14:anchorId="16307ED2" wp14:editId="5D7E0791">
            <wp:extent cx="4314825" cy="3238500"/>
            <wp:effectExtent l="0" t="0" r="9525" b="0"/>
            <wp:docPr id="140" name="Picture 140" descr="mal4kg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l4kg2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14825" cy="3238500"/>
                    </a:xfrm>
                    <a:prstGeom prst="rect">
                      <a:avLst/>
                    </a:prstGeom>
                    <a:noFill/>
                    <a:ln>
                      <a:noFill/>
                    </a:ln>
                  </pic:spPr>
                </pic:pic>
              </a:graphicData>
            </a:graphic>
          </wp:inline>
        </w:drawing>
      </w:r>
    </w:p>
    <w:p w14:paraId="717640A4" w14:textId="619A722B" w:rsidR="00544810" w:rsidRDefault="00B464E6"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3C0DE8">
        <w:rPr>
          <w:rFonts w:ascii="Times New Roman" w:hAnsi="Times New Roman" w:cs="Times New Roman"/>
          <w:sz w:val="28"/>
          <w:szCs w:val="28"/>
          <w:lang w:val="uk-UA"/>
        </w:rPr>
        <w:t>.</w:t>
      </w:r>
      <w:r>
        <w:rPr>
          <w:rFonts w:ascii="Times New Roman" w:hAnsi="Times New Roman" w:cs="Times New Roman"/>
          <w:sz w:val="28"/>
          <w:szCs w:val="28"/>
          <w:lang w:val="uk-UA"/>
        </w:rPr>
        <w:t>17</w:t>
      </w:r>
      <w:r w:rsidR="00544810">
        <w:rPr>
          <w:rFonts w:ascii="Times New Roman" w:hAnsi="Times New Roman" w:cs="Times New Roman"/>
          <w:sz w:val="28"/>
          <w:szCs w:val="28"/>
          <w:lang w:val="uk-UA"/>
        </w:rPr>
        <w:t>.</w:t>
      </w:r>
      <w:r w:rsidR="00544810" w:rsidRPr="003C0DE8">
        <w:rPr>
          <w:rFonts w:ascii="Times New Roman" w:hAnsi="Times New Roman" w:cs="Times New Roman"/>
          <w:sz w:val="28"/>
          <w:szCs w:val="28"/>
          <w:lang w:val="uk-UA"/>
        </w:rPr>
        <w:t xml:space="preserve"> Поява колагенових волокон в поверхневих відділах власної пластинки слизової оболонки</w:t>
      </w:r>
      <w:r w:rsidR="000C5476">
        <w:rPr>
          <w:rFonts w:ascii="Times New Roman" w:hAnsi="Times New Roman" w:cs="Times New Roman"/>
          <w:sz w:val="28"/>
          <w:szCs w:val="28"/>
          <w:lang w:val="uk-UA"/>
        </w:rPr>
        <w:t xml:space="preserve"> тварини після проведеного лікування</w:t>
      </w:r>
      <w:r w:rsidR="00544810" w:rsidRPr="003C0DE8">
        <w:rPr>
          <w:rFonts w:ascii="Times New Roman" w:hAnsi="Times New Roman" w:cs="Times New Roman"/>
          <w:sz w:val="28"/>
          <w:szCs w:val="28"/>
          <w:lang w:val="uk-UA"/>
        </w:rPr>
        <w:t>. Повнокров'я кровоносних суди</w:t>
      </w:r>
      <w:r w:rsidR="00E74A75">
        <w:rPr>
          <w:rFonts w:ascii="Times New Roman" w:hAnsi="Times New Roman" w:cs="Times New Roman"/>
          <w:sz w:val="28"/>
          <w:szCs w:val="28"/>
          <w:lang w:val="uk-UA"/>
        </w:rPr>
        <w:t>н. Модифіковане</w:t>
      </w:r>
      <w:r w:rsidR="00544810">
        <w:rPr>
          <w:rFonts w:ascii="Times New Roman" w:hAnsi="Times New Roman" w:cs="Times New Roman"/>
          <w:sz w:val="28"/>
          <w:szCs w:val="28"/>
          <w:lang w:val="uk-UA"/>
        </w:rPr>
        <w:t xml:space="preserve"> забарвлення по Ван-</w:t>
      </w:r>
      <w:r w:rsidR="00544810" w:rsidRPr="003C0DE8">
        <w:rPr>
          <w:rFonts w:ascii="Times New Roman" w:hAnsi="Times New Roman" w:cs="Times New Roman"/>
          <w:sz w:val="28"/>
          <w:szCs w:val="28"/>
          <w:lang w:val="uk-UA"/>
        </w:rPr>
        <w:t>Маллорі. Збільшення х200.</w:t>
      </w:r>
    </w:p>
    <w:p w14:paraId="609AD61A" w14:textId="3F6575BE" w:rsidR="00544810" w:rsidRPr="003C0DE8"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Акантотичні</w:t>
      </w:r>
      <w:r w:rsidR="0096095F">
        <w:rPr>
          <w:rFonts w:ascii="Times New Roman" w:hAnsi="Times New Roman" w:cs="Times New Roman"/>
          <w:sz w:val="28"/>
          <w:szCs w:val="28"/>
          <w:lang w:val="uk-UA"/>
        </w:rPr>
        <w:t xml:space="preserve"> тяжі власної пластинки</w:t>
      </w:r>
      <w:r w:rsidRPr="003C0DE8">
        <w:rPr>
          <w:rFonts w:ascii="Times New Roman" w:hAnsi="Times New Roman" w:cs="Times New Roman"/>
          <w:sz w:val="28"/>
          <w:szCs w:val="28"/>
          <w:lang w:val="uk-UA"/>
        </w:rPr>
        <w:t xml:space="preserve"> грубі, відзначається виражене склерозування п</w:t>
      </w:r>
      <w:r w:rsidR="00E74A75">
        <w:rPr>
          <w:rFonts w:ascii="Times New Roman" w:hAnsi="Times New Roman" w:cs="Times New Roman"/>
          <w:sz w:val="28"/>
          <w:szCs w:val="28"/>
          <w:lang w:val="uk-UA"/>
        </w:rPr>
        <w:t>ідлеглої</w:t>
      </w:r>
      <w:r w:rsidR="00B464E6">
        <w:rPr>
          <w:rFonts w:ascii="Times New Roman" w:hAnsi="Times New Roman" w:cs="Times New Roman"/>
          <w:sz w:val="28"/>
          <w:szCs w:val="28"/>
          <w:lang w:val="uk-UA"/>
        </w:rPr>
        <w:t xml:space="preserve"> сполучної тканини (рис. 3.17</w:t>
      </w:r>
      <w:r w:rsidRPr="003C0DE8">
        <w:rPr>
          <w:rFonts w:ascii="Times New Roman" w:hAnsi="Times New Roman" w:cs="Times New Roman"/>
          <w:sz w:val="28"/>
          <w:szCs w:val="28"/>
          <w:lang w:val="uk-UA"/>
        </w:rPr>
        <w:t>). Ретикулінові волокна випрямлені, потовщені, ущільне</w:t>
      </w:r>
      <w:r>
        <w:rPr>
          <w:rFonts w:ascii="Times New Roman" w:hAnsi="Times New Roman" w:cs="Times New Roman"/>
          <w:sz w:val="28"/>
          <w:szCs w:val="28"/>
          <w:lang w:val="uk-UA"/>
        </w:rPr>
        <w:t>ні, частина з них гомогенізована</w:t>
      </w:r>
      <w:r w:rsidRPr="003C0DE8">
        <w:rPr>
          <w:rFonts w:ascii="Times New Roman" w:hAnsi="Times New Roman" w:cs="Times New Roman"/>
          <w:sz w:val="28"/>
          <w:szCs w:val="28"/>
          <w:lang w:val="uk-UA"/>
        </w:rPr>
        <w:t>. Колагенові волокна зібрані в пучки, відзначаються ділянки їх гіалінізаціі, зони фрагментації і лізису колагенових волокон.</w:t>
      </w:r>
    </w:p>
    <w:p w14:paraId="2F148D78" w14:textId="77777777" w:rsidR="00544810" w:rsidRPr="003C0DE8" w:rsidRDefault="00544810" w:rsidP="00A448F8">
      <w:pPr>
        <w:spacing w:after="0"/>
        <w:jc w:val="right"/>
        <w:rPr>
          <w:sz w:val="28"/>
          <w:szCs w:val="28"/>
          <w:lang w:val="uk-UA"/>
        </w:rPr>
      </w:pPr>
    </w:p>
    <w:p w14:paraId="42840F42" w14:textId="77777777" w:rsidR="00544810" w:rsidRPr="009C0573" w:rsidRDefault="00544810" w:rsidP="00A448F8">
      <w:pPr>
        <w:spacing w:after="0" w:line="360" w:lineRule="auto"/>
        <w:jc w:val="center"/>
        <w:rPr>
          <w:sz w:val="28"/>
          <w:szCs w:val="28"/>
        </w:rPr>
      </w:pPr>
      <w:r w:rsidRPr="009C0573">
        <w:rPr>
          <w:noProof/>
          <w:sz w:val="28"/>
          <w:szCs w:val="28"/>
        </w:rPr>
        <w:drawing>
          <wp:inline distT="0" distB="0" distL="0" distR="0" wp14:anchorId="46F5383E" wp14:editId="487B71F2">
            <wp:extent cx="4324350" cy="3238500"/>
            <wp:effectExtent l="0" t="0" r="0" b="0"/>
            <wp:docPr id="141" name="Picture 141" descr="ge114ln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e114ln20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5F4A2892" w14:textId="1972D250" w:rsidR="00544810" w:rsidRDefault="00B464E6" w:rsidP="00A448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544810" w:rsidRPr="003C0DE8">
        <w:rPr>
          <w:rFonts w:ascii="Times New Roman" w:hAnsi="Times New Roman" w:cs="Times New Roman"/>
          <w:sz w:val="28"/>
          <w:szCs w:val="28"/>
          <w:lang w:val="uk-UA"/>
        </w:rPr>
        <w:t>.</w:t>
      </w:r>
      <w:r>
        <w:rPr>
          <w:rFonts w:ascii="Times New Roman" w:hAnsi="Times New Roman" w:cs="Times New Roman"/>
          <w:sz w:val="28"/>
          <w:szCs w:val="28"/>
          <w:lang w:val="uk-UA"/>
        </w:rPr>
        <w:t>18</w:t>
      </w:r>
      <w:r w:rsidR="00544810">
        <w:rPr>
          <w:rFonts w:ascii="Times New Roman" w:hAnsi="Times New Roman" w:cs="Times New Roman"/>
          <w:sz w:val="28"/>
          <w:szCs w:val="28"/>
          <w:lang w:val="uk-UA"/>
        </w:rPr>
        <w:t>. Грубі акантотичні</w:t>
      </w:r>
      <w:r w:rsidR="00544810" w:rsidRPr="003C0DE8">
        <w:rPr>
          <w:rFonts w:ascii="Times New Roman" w:hAnsi="Times New Roman" w:cs="Times New Roman"/>
          <w:sz w:val="28"/>
          <w:szCs w:val="28"/>
          <w:lang w:val="uk-UA"/>
        </w:rPr>
        <w:t xml:space="preserve"> тяжі власної пластинки,</w:t>
      </w:r>
      <w:r w:rsidR="00544810">
        <w:rPr>
          <w:rFonts w:ascii="Times New Roman" w:hAnsi="Times New Roman" w:cs="Times New Roman"/>
          <w:sz w:val="28"/>
          <w:szCs w:val="28"/>
          <w:lang w:val="uk-UA"/>
        </w:rPr>
        <w:t xml:space="preserve"> виражене склерозування підлеглої</w:t>
      </w:r>
      <w:r w:rsidR="00544810" w:rsidRPr="003C0DE8">
        <w:rPr>
          <w:rFonts w:ascii="Times New Roman" w:hAnsi="Times New Roman" w:cs="Times New Roman"/>
          <w:sz w:val="28"/>
          <w:szCs w:val="28"/>
          <w:lang w:val="uk-UA"/>
        </w:rPr>
        <w:t xml:space="preserve"> сполучної тканини</w:t>
      </w:r>
      <w:r w:rsidR="000C5476">
        <w:rPr>
          <w:rFonts w:ascii="Times New Roman" w:hAnsi="Times New Roman" w:cs="Times New Roman"/>
          <w:sz w:val="28"/>
          <w:szCs w:val="28"/>
          <w:lang w:val="uk-UA"/>
        </w:rPr>
        <w:t xml:space="preserve"> кроля після проведеного лікування</w:t>
      </w:r>
      <w:r w:rsidR="00544810" w:rsidRPr="003C0DE8">
        <w:rPr>
          <w:rFonts w:ascii="Times New Roman" w:hAnsi="Times New Roman" w:cs="Times New Roman"/>
          <w:sz w:val="28"/>
          <w:szCs w:val="28"/>
          <w:lang w:val="uk-UA"/>
        </w:rPr>
        <w:t>. Ретикулінові волокна випрямлені, потовщені, ущільне</w:t>
      </w:r>
      <w:r w:rsidR="00E74A75">
        <w:rPr>
          <w:rFonts w:ascii="Times New Roman" w:hAnsi="Times New Roman" w:cs="Times New Roman"/>
          <w:sz w:val="28"/>
          <w:szCs w:val="28"/>
          <w:lang w:val="uk-UA"/>
        </w:rPr>
        <w:t>ні, частина з них гомогенізо</w:t>
      </w:r>
      <w:r w:rsidR="00544810">
        <w:rPr>
          <w:rFonts w:ascii="Times New Roman" w:hAnsi="Times New Roman" w:cs="Times New Roman"/>
          <w:sz w:val="28"/>
          <w:szCs w:val="28"/>
          <w:lang w:val="uk-UA"/>
        </w:rPr>
        <w:t>вана</w:t>
      </w:r>
      <w:r w:rsidR="00544810" w:rsidRPr="003C0DE8">
        <w:rPr>
          <w:rFonts w:ascii="Times New Roman" w:hAnsi="Times New Roman" w:cs="Times New Roman"/>
          <w:sz w:val="28"/>
          <w:szCs w:val="28"/>
          <w:lang w:val="uk-UA"/>
        </w:rPr>
        <w:t>. Колагенові волокна зібрані в пучки з наявністю гіалінізаціі. Забарвлення гематоксиліном і еозином. Збільшення х200.</w:t>
      </w:r>
    </w:p>
    <w:p w14:paraId="3B0361D3" w14:textId="70F1D30C" w:rsidR="00544810" w:rsidRDefault="00544810" w:rsidP="00A448F8">
      <w:pPr>
        <w:spacing w:after="0" w:line="360" w:lineRule="auto"/>
        <w:ind w:firstLine="709"/>
        <w:jc w:val="both"/>
        <w:rPr>
          <w:rFonts w:ascii="Times New Roman" w:hAnsi="Times New Roman" w:cs="Times New Roman"/>
          <w:sz w:val="28"/>
          <w:szCs w:val="28"/>
          <w:lang w:val="uk-UA"/>
        </w:rPr>
      </w:pPr>
      <w:r w:rsidRPr="003C0DE8">
        <w:rPr>
          <w:rFonts w:ascii="Times New Roman" w:hAnsi="Times New Roman" w:cs="Times New Roman"/>
          <w:sz w:val="28"/>
          <w:szCs w:val="28"/>
          <w:lang w:val="uk-UA"/>
        </w:rPr>
        <w:t>Між волокнами розташовуються клітинні елементи (фібробласти, гістіоцити, лімфоцити, тучні клітини, макрофаги, еозинофіли, нейтрофіли). Серед фібробластів</w:t>
      </w:r>
      <w:r w:rsidR="002F4783">
        <w:rPr>
          <w:rFonts w:ascii="Times New Roman" w:hAnsi="Times New Roman" w:cs="Times New Roman"/>
          <w:sz w:val="28"/>
          <w:szCs w:val="28"/>
          <w:lang w:val="uk-UA"/>
        </w:rPr>
        <w:t>,</w:t>
      </w:r>
      <w:r w:rsidRPr="003C0DE8">
        <w:rPr>
          <w:rFonts w:ascii="Times New Roman" w:hAnsi="Times New Roman" w:cs="Times New Roman"/>
          <w:sz w:val="28"/>
          <w:szCs w:val="28"/>
          <w:lang w:val="uk-UA"/>
        </w:rPr>
        <w:t xml:space="preserve"> як в сосочковом</w:t>
      </w:r>
      <w:r w:rsidR="00E74A75">
        <w:rPr>
          <w:rFonts w:ascii="Times New Roman" w:hAnsi="Times New Roman" w:cs="Times New Roman"/>
          <w:sz w:val="28"/>
          <w:szCs w:val="28"/>
          <w:lang w:val="uk-UA"/>
        </w:rPr>
        <w:t>у</w:t>
      </w:r>
      <w:r w:rsidRPr="003C0DE8">
        <w:rPr>
          <w:rFonts w:ascii="Times New Roman" w:hAnsi="Times New Roman" w:cs="Times New Roman"/>
          <w:sz w:val="28"/>
          <w:szCs w:val="28"/>
          <w:lang w:val="uk-UA"/>
        </w:rPr>
        <w:t xml:space="preserve"> шарі, так і в сітчастому шарі</w:t>
      </w:r>
      <w:r>
        <w:rPr>
          <w:rFonts w:ascii="Times New Roman" w:hAnsi="Times New Roman" w:cs="Times New Roman"/>
          <w:sz w:val="28"/>
          <w:szCs w:val="28"/>
          <w:lang w:val="uk-UA"/>
        </w:rPr>
        <w:t>,</w:t>
      </w:r>
      <w:r w:rsidRPr="003C0DE8">
        <w:rPr>
          <w:rFonts w:ascii="Times New Roman" w:hAnsi="Times New Roman" w:cs="Times New Roman"/>
          <w:sz w:val="28"/>
          <w:szCs w:val="28"/>
          <w:lang w:val="uk-UA"/>
        </w:rPr>
        <w:t xml:space="preserve"> переважають зрілі клітини. Гладкі клітини локалізуються невеликими групами навколо судин переважно в сосочковом</w:t>
      </w:r>
      <w:r w:rsidR="00E74A75">
        <w:rPr>
          <w:rFonts w:ascii="Times New Roman" w:hAnsi="Times New Roman" w:cs="Times New Roman"/>
          <w:sz w:val="28"/>
          <w:szCs w:val="28"/>
          <w:lang w:val="uk-UA"/>
        </w:rPr>
        <w:t>у</w:t>
      </w:r>
      <w:r w:rsidRPr="003C0DE8">
        <w:rPr>
          <w:rFonts w:ascii="Times New Roman" w:hAnsi="Times New Roman" w:cs="Times New Roman"/>
          <w:sz w:val="28"/>
          <w:szCs w:val="28"/>
          <w:lang w:val="uk-UA"/>
        </w:rPr>
        <w:t xml:space="preserve"> шарі власної оболонки. Лімфоїдні елементи розсіяні між сполучнотканинними волокнами рівномірно, без формування великих вогнищевих скупчень.</w:t>
      </w:r>
    </w:p>
    <w:p w14:paraId="0BCCAE01" w14:textId="452B302A" w:rsidR="00544810" w:rsidRDefault="00544810"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 мірі</w:t>
      </w:r>
      <w:r w:rsidRPr="003C0DE8">
        <w:rPr>
          <w:rFonts w:ascii="Times New Roman" w:hAnsi="Times New Roman" w:cs="Times New Roman"/>
          <w:sz w:val="28"/>
          <w:szCs w:val="28"/>
          <w:lang w:val="uk-UA"/>
        </w:rPr>
        <w:t xml:space="preserve"> віддалення від поверхні серед сполучнотканинних волокон переважають колагенові</w:t>
      </w:r>
      <w:r>
        <w:rPr>
          <w:rFonts w:ascii="Times New Roman" w:hAnsi="Times New Roman" w:cs="Times New Roman"/>
          <w:sz w:val="28"/>
          <w:szCs w:val="28"/>
          <w:lang w:val="uk-UA"/>
        </w:rPr>
        <w:t xml:space="preserve"> волокна</w:t>
      </w:r>
      <w:r w:rsidRPr="003C0DE8">
        <w:rPr>
          <w:rFonts w:ascii="Times New Roman" w:hAnsi="Times New Roman" w:cs="Times New Roman"/>
          <w:sz w:val="28"/>
          <w:szCs w:val="28"/>
          <w:lang w:val="uk-UA"/>
        </w:rPr>
        <w:t>, розташовані як поодинці, так і невеликими пучками; межа їх переходу в періодонт нечітка. Колаге</w:t>
      </w:r>
      <w:r w:rsidR="002F4783">
        <w:rPr>
          <w:rFonts w:ascii="Times New Roman" w:hAnsi="Times New Roman" w:cs="Times New Roman"/>
          <w:sz w:val="28"/>
          <w:szCs w:val="28"/>
          <w:lang w:val="uk-UA"/>
        </w:rPr>
        <w:t>нові волокна при фарбуванні по В</w:t>
      </w:r>
      <w:r>
        <w:rPr>
          <w:rFonts w:ascii="Times New Roman" w:hAnsi="Times New Roman" w:cs="Times New Roman"/>
          <w:sz w:val="28"/>
          <w:szCs w:val="28"/>
          <w:lang w:val="uk-UA"/>
        </w:rPr>
        <w:t>ан-Гізону фуксинофільні. Періодонтальна</w:t>
      </w:r>
      <w:r w:rsidRPr="003C0DE8">
        <w:rPr>
          <w:rFonts w:ascii="Times New Roman" w:hAnsi="Times New Roman" w:cs="Times New Roman"/>
          <w:sz w:val="28"/>
          <w:szCs w:val="28"/>
          <w:lang w:val="uk-UA"/>
        </w:rPr>
        <w:t xml:space="preserve"> зв'язка представлена сполучною тка</w:t>
      </w:r>
      <w:r>
        <w:rPr>
          <w:rFonts w:ascii="Times New Roman" w:hAnsi="Times New Roman" w:cs="Times New Roman"/>
          <w:sz w:val="28"/>
          <w:szCs w:val="28"/>
          <w:lang w:val="uk-UA"/>
        </w:rPr>
        <w:t>ниною ретикулярної</w:t>
      </w:r>
      <w:r w:rsidRPr="003C0DE8">
        <w:rPr>
          <w:rFonts w:ascii="Times New Roman" w:hAnsi="Times New Roman" w:cs="Times New Roman"/>
          <w:sz w:val="28"/>
          <w:szCs w:val="28"/>
          <w:lang w:val="uk-UA"/>
        </w:rPr>
        <w:t xml:space="preserve"> будови, розташовується на всьому протязі періодонтальної щілини, при цьому серед клітинного складу переважають фібробласти, що локалізуються переважно біля кореня зуба.</w:t>
      </w:r>
    </w:p>
    <w:p w14:paraId="463C0161" w14:textId="77777777" w:rsidR="00544810" w:rsidRDefault="00544810" w:rsidP="00A448F8">
      <w:pPr>
        <w:spacing w:after="0" w:line="360" w:lineRule="auto"/>
        <w:ind w:firstLine="709"/>
        <w:jc w:val="both"/>
        <w:rPr>
          <w:rFonts w:ascii="Times New Roman" w:hAnsi="Times New Roman" w:cs="Times New Roman"/>
          <w:sz w:val="28"/>
          <w:szCs w:val="28"/>
          <w:lang w:val="uk-UA"/>
        </w:rPr>
      </w:pPr>
      <w:r w:rsidRPr="005A07B1">
        <w:rPr>
          <w:rFonts w:ascii="Times New Roman" w:hAnsi="Times New Roman" w:cs="Times New Roman"/>
          <w:sz w:val="28"/>
          <w:szCs w:val="28"/>
          <w:lang w:val="uk-UA"/>
        </w:rPr>
        <w:t>Судини мікроциркуляторного русла помірно повнокровні, в залежності від напрямку зрізу округлої, овальної або витягнутої форми. Базальні мембрани судин тонкі. Ендотелій судин соковитий з великими світлими ядрами.</w:t>
      </w:r>
    </w:p>
    <w:p w14:paraId="070DB5BE" w14:textId="6BAB5D6D" w:rsidR="00544810" w:rsidRPr="00B411CE" w:rsidRDefault="00544810" w:rsidP="00A448F8">
      <w:pPr>
        <w:spacing w:after="0" w:line="360" w:lineRule="auto"/>
        <w:ind w:firstLine="709"/>
        <w:jc w:val="both"/>
        <w:rPr>
          <w:rFonts w:ascii="Times New Roman" w:hAnsi="Times New Roman" w:cs="Times New Roman"/>
          <w:sz w:val="28"/>
          <w:szCs w:val="28"/>
          <w:lang w:val="ru-RU"/>
        </w:rPr>
      </w:pPr>
      <w:r w:rsidRPr="005A07B1">
        <w:rPr>
          <w:rFonts w:ascii="Times New Roman" w:hAnsi="Times New Roman" w:cs="Times New Roman"/>
          <w:sz w:val="28"/>
          <w:szCs w:val="28"/>
          <w:lang w:val="uk-UA"/>
        </w:rPr>
        <w:t>Експресія ендотеліальної NO-синтази в даній підгрупі кро</w:t>
      </w:r>
      <w:r>
        <w:rPr>
          <w:rFonts w:ascii="Times New Roman" w:hAnsi="Times New Roman" w:cs="Times New Roman"/>
          <w:sz w:val="28"/>
          <w:szCs w:val="28"/>
          <w:lang w:val="uk-UA"/>
        </w:rPr>
        <w:t>лів при постановці пероксидазної</w:t>
      </w:r>
      <w:r w:rsidRPr="005A07B1">
        <w:rPr>
          <w:rFonts w:ascii="Times New Roman" w:hAnsi="Times New Roman" w:cs="Times New Roman"/>
          <w:sz w:val="28"/>
          <w:szCs w:val="28"/>
          <w:lang w:val="uk-UA"/>
        </w:rPr>
        <w:t xml:space="preserve"> реакції спостерігається переважно в судинних структурах з чітк</w:t>
      </w:r>
      <w:r>
        <w:rPr>
          <w:rFonts w:ascii="Times New Roman" w:hAnsi="Times New Roman" w:cs="Times New Roman"/>
          <w:sz w:val="28"/>
          <w:szCs w:val="28"/>
          <w:lang w:val="uk-UA"/>
        </w:rPr>
        <w:t xml:space="preserve">им </w:t>
      </w:r>
      <w:r w:rsidR="00B464E6">
        <w:rPr>
          <w:rFonts w:ascii="Times New Roman" w:hAnsi="Times New Roman" w:cs="Times New Roman"/>
          <w:sz w:val="28"/>
          <w:szCs w:val="28"/>
          <w:lang w:val="uk-UA"/>
        </w:rPr>
        <w:t>фарбуванням ендотелію (рис. 3.19</w:t>
      </w:r>
      <w:r w:rsidRPr="005A07B1">
        <w:rPr>
          <w:rFonts w:ascii="Times New Roman" w:hAnsi="Times New Roman" w:cs="Times New Roman"/>
          <w:sz w:val="28"/>
          <w:szCs w:val="28"/>
          <w:lang w:val="uk-UA"/>
        </w:rPr>
        <w:t>). Одночасно, зустрічається наявність позитивно забарвлених структур в периваскулярном</w:t>
      </w:r>
      <w:r>
        <w:rPr>
          <w:rFonts w:ascii="Times New Roman" w:hAnsi="Times New Roman" w:cs="Times New Roman"/>
          <w:sz w:val="28"/>
          <w:szCs w:val="28"/>
          <w:lang w:val="uk-UA"/>
        </w:rPr>
        <w:t>у</w:t>
      </w:r>
      <w:r w:rsidRPr="005A07B1">
        <w:rPr>
          <w:rFonts w:ascii="Times New Roman" w:hAnsi="Times New Roman" w:cs="Times New Roman"/>
          <w:sz w:val="28"/>
          <w:szCs w:val="28"/>
          <w:lang w:val="uk-UA"/>
        </w:rPr>
        <w:t xml:space="preserve"> просторі зі зменшенням ступеня інтенсивності в міру віддалення від судини. Проведення цитофотометрії вказує показники накопичення ендотеліальної NO-синта</w:t>
      </w:r>
      <w:r>
        <w:rPr>
          <w:rFonts w:ascii="Times New Roman" w:hAnsi="Times New Roman" w:cs="Times New Roman"/>
          <w:sz w:val="28"/>
          <w:szCs w:val="28"/>
          <w:lang w:val="uk-UA"/>
        </w:rPr>
        <w:t>зи в стінці судин на рівні 0,79</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0,09 ум.од.</w:t>
      </w:r>
      <w:r w:rsidRPr="005A07B1">
        <w:rPr>
          <w:rFonts w:ascii="Times New Roman" w:hAnsi="Times New Roman" w:cs="Times New Roman"/>
          <w:sz w:val="28"/>
          <w:szCs w:val="28"/>
          <w:lang w:val="uk-UA"/>
        </w:rPr>
        <w:t xml:space="preserve">, </w:t>
      </w:r>
      <w:r>
        <w:rPr>
          <w:rFonts w:ascii="Times New Roman" w:hAnsi="Times New Roman" w:cs="Times New Roman"/>
          <w:sz w:val="28"/>
          <w:szCs w:val="28"/>
          <w:lang w:val="uk-UA"/>
        </w:rPr>
        <w:t>в периваскулярному просторі 0,21</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F697D">
        <w:rPr>
          <w:rFonts w:ascii="Times New Roman" w:hAnsi="Times New Roman" w:cs="Times New Roman"/>
          <w:sz w:val="28"/>
          <w:szCs w:val="28"/>
          <w:lang w:val="uk-UA"/>
        </w:rPr>
        <w:t xml:space="preserve"> </w:t>
      </w:r>
      <w:r>
        <w:rPr>
          <w:rFonts w:ascii="Times New Roman" w:hAnsi="Times New Roman" w:cs="Times New Roman"/>
          <w:sz w:val="28"/>
          <w:szCs w:val="28"/>
          <w:lang w:val="uk-UA"/>
        </w:rPr>
        <w:t>0,03 ум.од.</w:t>
      </w:r>
    </w:p>
    <w:p w14:paraId="0E5FD574" w14:textId="77777777" w:rsidR="00E45A7E" w:rsidRPr="00B411CE" w:rsidRDefault="00E45A7E" w:rsidP="00A448F8">
      <w:pPr>
        <w:spacing w:after="0" w:line="360" w:lineRule="auto"/>
        <w:ind w:firstLine="709"/>
        <w:jc w:val="both"/>
        <w:rPr>
          <w:rFonts w:ascii="Times New Roman" w:hAnsi="Times New Roman" w:cs="Times New Roman"/>
          <w:sz w:val="28"/>
          <w:szCs w:val="28"/>
          <w:lang w:val="ru-RU"/>
        </w:rPr>
      </w:pPr>
    </w:p>
    <w:p w14:paraId="0D8C89BA" w14:textId="77777777" w:rsidR="00E45A7E" w:rsidRPr="00B411CE" w:rsidRDefault="00E45A7E" w:rsidP="00A448F8">
      <w:pPr>
        <w:spacing w:after="0" w:line="360" w:lineRule="auto"/>
        <w:ind w:firstLine="709"/>
        <w:jc w:val="both"/>
        <w:rPr>
          <w:rFonts w:ascii="Times New Roman" w:hAnsi="Times New Roman" w:cs="Times New Roman"/>
          <w:sz w:val="28"/>
          <w:szCs w:val="28"/>
          <w:lang w:val="ru-RU"/>
        </w:rPr>
      </w:pPr>
    </w:p>
    <w:p w14:paraId="3401E2C9" w14:textId="77777777" w:rsidR="00544810" w:rsidRPr="009C0573" w:rsidRDefault="00544810" w:rsidP="00A448F8">
      <w:pPr>
        <w:spacing w:after="0" w:line="360" w:lineRule="auto"/>
        <w:jc w:val="center"/>
        <w:rPr>
          <w:bCs/>
          <w:sz w:val="28"/>
          <w:szCs w:val="28"/>
        </w:rPr>
      </w:pPr>
      <w:r w:rsidRPr="009C0573">
        <w:rPr>
          <w:bCs/>
          <w:noProof/>
          <w:sz w:val="28"/>
          <w:szCs w:val="28"/>
        </w:rPr>
        <w:drawing>
          <wp:inline distT="0" distB="0" distL="0" distR="0" wp14:anchorId="42CF3F6F" wp14:editId="23C15C18">
            <wp:extent cx="4324350" cy="3238500"/>
            <wp:effectExtent l="0" t="0" r="0" b="0"/>
            <wp:docPr id="142" name="Picture 142" descr="eNOs_CD3_400_34ln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NOs_CD3_400_34ln1_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24350" cy="3238500"/>
                    </a:xfrm>
                    <a:prstGeom prst="rect">
                      <a:avLst/>
                    </a:prstGeom>
                    <a:noFill/>
                    <a:ln>
                      <a:noFill/>
                    </a:ln>
                  </pic:spPr>
                </pic:pic>
              </a:graphicData>
            </a:graphic>
          </wp:inline>
        </w:drawing>
      </w:r>
    </w:p>
    <w:p w14:paraId="47660BAA" w14:textId="7A7F040D" w:rsidR="00544810" w:rsidRDefault="00B464E6"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3.19</w:t>
      </w:r>
      <w:r w:rsidR="00544810" w:rsidRPr="005A07B1">
        <w:rPr>
          <w:rFonts w:ascii="Times New Roman" w:hAnsi="Times New Roman" w:cs="Times New Roman"/>
          <w:sz w:val="28"/>
          <w:szCs w:val="28"/>
          <w:lang w:val="uk-UA"/>
        </w:rPr>
        <w:t xml:space="preserve"> Більш виражена активність ендотеліальної NO-синтази судинах мікроциркуляторного русла. Пероксидазна реакція з МКА до ендотеліальної NO-синтази. Збільшення х400.</w:t>
      </w:r>
    </w:p>
    <w:p w14:paraId="1AED943E" w14:textId="7AC3B69B" w:rsidR="00E45A7E" w:rsidRPr="00EF697D" w:rsidRDefault="00544810" w:rsidP="00A448F8">
      <w:pPr>
        <w:spacing w:after="0" w:line="360" w:lineRule="auto"/>
        <w:ind w:firstLine="709"/>
        <w:jc w:val="both"/>
        <w:rPr>
          <w:rFonts w:ascii="Times New Roman" w:hAnsi="Times New Roman" w:cs="Times New Roman"/>
          <w:sz w:val="28"/>
          <w:szCs w:val="28"/>
          <w:lang w:val="uk-UA"/>
        </w:rPr>
      </w:pPr>
      <w:r w:rsidRPr="005A07B1">
        <w:rPr>
          <w:rFonts w:ascii="Times New Roman" w:hAnsi="Times New Roman" w:cs="Times New Roman"/>
          <w:sz w:val="28"/>
          <w:szCs w:val="28"/>
          <w:lang w:val="uk-UA"/>
        </w:rPr>
        <w:t>Результат</w:t>
      </w:r>
      <w:r>
        <w:rPr>
          <w:rFonts w:ascii="Times New Roman" w:hAnsi="Times New Roman" w:cs="Times New Roman"/>
          <w:sz w:val="28"/>
          <w:szCs w:val="28"/>
          <w:lang w:val="uk-UA"/>
        </w:rPr>
        <w:t>и пероксидазної реакції з індуцибельною</w:t>
      </w:r>
      <w:r w:rsidRPr="005A07B1">
        <w:rPr>
          <w:rFonts w:ascii="Times New Roman" w:hAnsi="Times New Roman" w:cs="Times New Roman"/>
          <w:sz w:val="28"/>
          <w:szCs w:val="28"/>
          <w:lang w:val="uk-UA"/>
        </w:rPr>
        <w:t xml:space="preserve"> фракцією NO-синтази в даній групі кролів виявляють незначне забарвлення з наявністю зон помі</w:t>
      </w:r>
      <w:r>
        <w:rPr>
          <w:rFonts w:ascii="Times New Roman" w:hAnsi="Times New Roman" w:cs="Times New Roman"/>
          <w:sz w:val="28"/>
          <w:szCs w:val="28"/>
          <w:lang w:val="uk-UA"/>
        </w:rPr>
        <w:t>рної і слабкої інтенсивності. Цитофотометрічне</w:t>
      </w:r>
      <w:r w:rsidRPr="005A07B1">
        <w:rPr>
          <w:rFonts w:ascii="Times New Roman" w:hAnsi="Times New Roman" w:cs="Times New Roman"/>
          <w:sz w:val="28"/>
          <w:szCs w:val="28"/>
          <w:lang w:val="uk-UA"/>
        </w:rPr>
        <w:t xml:space="preserve"> дослідження показує інтенсивн</w:t>
      </w:r>
      <w:r>
        <w:rPr>
          <w:rFonts w:ascii="Times New Roman" w:hAnsi="Times New Roman" w:cs="Times New Roman"/>
          <w:sz w:val="28"/>
          <w:szCs w:val="28"/>
          <w:lang w:val="uk-UA"/>
        </w:rPr>
        <w:t xml:space="preserve">ість реакції на iNOs </w:t>
      </w:r>
      <w:r w:rsidR="002F4783">
        <w:rPr>
          <w:rFonts w:ascii="Times New Roman" w:hAnsi="Times New Roman" w:cs="Times New Roman"/>
          <w:sz w:val="28"/>
          <w:szCs w:val="28"/>
          <w:lang w:val="uk-UA"/>
        </w:rPr>
        <w:t>на рівні</w:t>
      </w:r>
      <w:r>
        <w:rPr>
          <w:rFonts w:ascii="Times New Roman" w:hAnsi="Times New Roman" w:cs="Times New Roman"/>
          <w:sz w:val="28"/>
          <w:szCs w:val="28"/>
          <w:lang w:val="uk-UA"/>
        </w:rPr>
        <w:t xml:space="preserve"> 0,25±0,07 ум.о</w:t>
      </w:r>
      <w:r w:rsidRPr="005A07B1">
        <w:rPr>
          <w:rFonts w:ascii="Times New Roman" w:hAnsi="Times New Roman" w:cs="Times New Roman"/>
          <w:sz w:val="28"/>
          <w:szCs w:val="28"/>
          <w:lang w:val="uk-UA"/>
        </w:rPr>
        <w:t>д.</w:t>
      </w:r>
      <w:r w:rsidR="00EF697D" w:rsidRPr="00EF697D">
        <w:rPr>
          <w:rFonts w:ascii="Times New Roman" w:hAnsi="Times New Roman" w:cs="Times New Roman"/>
          <w:sz w:val="28"/>
          <w:szCs w:val="28"/>
          <w:lang w:val="uk-UA"/>
        </w:rPr>
        <w:t xml:space="preserve"> [</w:t>
      </w:r>
      <w:r w:rsidR="00EF697D">
        <w:rPr>
          <w:rFonts w:ascii="Times New Roman" w:hAnsi="Times New Roman" w:cs="Times New Roman"/>
          <w:sz w:val="28"/>
          <w:szCs w:val="28"/>
          <w:lang w:val="uk-UA"/>
        </w:rPr>
        <w:t>250</w:t>
      </w:r>
      <w:r w:rsidR="00EF697D" w:rsidRPr="00EF697D">
        <w:rPr>
          <w:rFonts w:ascii="Times New Roman" w:hAnsi="Times New Roman" w:cs="Times New Roman"/>
          <w:sz w:val="28"/>
          <w:szCs w:val="28"/>
          <w:lang w:val="uk-UA"/>
        </w:rPr>
        <w:t>].</w:t>
      </w:r>
    </w:p>
    <w:p w14:paraId="44A2121B" w14:textId="1899F404" w:rsidR="00544810" w:rsidRPr="00666B51" w:rsidRDefault="00544810" w:rsidP="00A448F8">
      <w:pPr>
        <w:pStyle w:val="BodyText"/>
        <w:spacing w:after="0"/>
        <w:ind w:firstLine="720"/>
        <w:jc w:val="right"/>
        <w:rPr>
          <w:rFonts w:ascii="Times New Roman" w:hAnsi="Times New Roman" w:cs="Times New Roman"/>
          <w:sz w:val="28"/>
          <w:szCs w:val="28"/>
          <w:lang w:val="uk-UA"/>
        </w:rPr>
      </w:pPr>
      <w:r w:rsidRPr="00666B51">
        <w:rPr>
          <w:rFonts w:ascii="Times New Roman" w:hAnsi="Times New Roman" w:cs="Times New Roman"/>
          <w:sz w:val="28"/>
          <w:szCs w:val="28"/>
          <w:lang w:val="uk-UA"/>
        </w:rPr>
        <w:t xml:space="preserve">Таблиця </w:t>
      </w:r>
      <w:r w:rsidR="00B464E6">
        <w:rPr>
          <w:rFonts w:ascii="Times New Roman" w:hAnsi="Times New Roman" w:cs="Times New Roman"/>
          <w:sz w:val="28"/>
          <w:szCs w:val="28"/>
          <w:lang w:val="uk-UA"/>
        </w:rPr>
        <w:t>3</w:t>
      </w:r>
      <w:r>
        <w:rPr>
          <w:rFonts w:ascii="Times New Roman" w:hAnsi="Times New Roman" w:cs="Times New Roman"/>
          <w:sz w:val="28"/>
          <w:szCs w:val="28"/>
          <w:lang w:val="uk-UA"/>
        </w:rPr>
        <w:t>.2</w:t>
      </w:r>
    </w:p>
    <w:p w14:paraId="189D666F" w14:textId="77777777" w:rsidR="00544810" w:rsidRDefault="00544810" w:rsidP="00A448F8">
      <w:pPr>
        <w:pStyle w:val="BodyText2"/>
        <w:widowControl/>
        <w:jc w:val="center"/>
        <w:rPr>
          <w:b/>
          <w:bCs/>
          <w:szCs w:val="24"/>
          <w:lang w:val="uk-UA"/>
        </w:rPr>
      </w:pPr>
      <w:r>
        <w:rPr>
          <w:b/>
          <w:bCs/>
          <w:szCs w:val="24"/>
          <w:lang w:val="uk-UA"/>
        </w:rPr>
        <w:t>Кількісні показники типованих клітин у полі зору х200</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1194"/>
        <w:gridCol w:w="2090"/>
        <w:gridCol w:w="2090"/>
        <w:gridCol w:w="2090"/>
      </w:tblGrid>
      <w:tr w:rsidR="00544810" w:rsidRPr="00852E54" w14:paraId="39B56D2A" w14:textId="77777777" w:rsidTr="00B11C46">
        <w:trPr>
          <w:trHeight w:val="1688"/>
          <w:jc w:val="center"/>
        </w:trPr>
        <w:tc>
          <w:tcPr>
            <w:tcW w:w="1194" w:type="dxa"/>
            <w:tcBorders>
              <w:top w:val="single" w:sz="4" w:space="0" w:color="auto"/>
              <w:left w:val="single" w:sz="4" w:space="0" w:color="auto"/>
              <w:bottom w:val="single" w:sz="4" w:space="0" w:color="auto"/>
              <w:right w:val="single" w:sz="4" w:space="0" w:color="auto"/>
              <w:tl2br w:val="single" w:sz="4" w:space="0" w:color="auto"/>
            </w:tcBorders>
            <w:noWrap/>
            <w:tcMar>
              <w:top w:w="13" w:type="dxa"/>
              <w:left w:w="13" w:type="dxa"/>
              <w:bottom w:w="0" w:type="dxa"/>
              <w:right w:w="13" w:type="dxa"/>
            </w:tcMar>
            <w:vAlign w:val="center"/>
          </w:tcPr>
          <w:p w14:paraId="696F74E2"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Група</w:t>
            </w:r>
          </w:p>
          <w:p w14:paraId="73E3E3A8"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08A190E8"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3940C4E9"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p>
          <w:p w14:paraId="04CEF411"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МКА</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1275E65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eastAsia="ru-RU"/>
              </w:rPr>
            </w:pPr>
            <w:r w:rsidRPr="00C23A80">
              <w:rPr>
                <w:rFonts w:ascii="Times New Roman" w:eastAsia="Times New Roman" w:hAnsi="Times New Roman" w:cs="Times New Roman"/>
                <w:spacing w:val="-2"/>
                <w:sz w:val="28"/>
                <w:szCs w:val="28"/>
                <w:lang w:val="ru-RU" w:eastAsia="ru-RU"/>
              </w:rPr>
              <w:t>Інтактні тварини</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012CAAF" w14:textId="34AF9CEC" w:rsidR="00544810" w:rsidRPr="00C23A80" w:rsidRDefault="00E74A75" w:rsidP="00A448F8">
            <w:pPr>
              <w:spacing w:after="0" w:line="240" w:lineRule="auto"/>
              <w:jc w:val="center"/>
              <w:rPr>
                <w:rFonts w:ascii="Times New Roman" w:eastAsia="Times New Roman" w:hAnsi="Times New Roman" w:cs="Times New Roman"/>
                <w:sz w:val="28"/>
                <w:szCs w:val="20"/>
                <w:lang w:val="uk-UA" w:eastAsia="ru-RU"/>
              </w:rPr>
            </w:pPr>
            <w:r>
              <w:rPr>
                <w:rFonts w:ascii="Times New Roman" w:eastAsia="Times New Roman" w:hAnsi="Times New Roman" w:cs="Times New Roman"/>
                <w:spacing w:val="-2"/>
                <w:sz w:val="28"/>
                <w:szCs w:val="28"/>
                <w:lang w:val="ru-RU" w:eastAsia="ru-RU"/>
              </w:rPr>
              <w:t>Тварини з моде</w:t>
            </w:r>
            <w:r w:rsidR="00544810" w:rsidRPr="00C23A80">
              <w:rPr>
                <w:rFonts w:ascii="Times New Roman" w:eastAsia="Times New Roman" w:hAnsi="Times New Roman" w:cs="Times New Roman"/>
                <w:spacing w:val="-2"/>
                <w:sz w:val="28"/>
                <w:szCs w:val="28"/>
                <w:lang w:val="ru-RU" w:eastAsia="ru-RU"/>
              </w:rPr>
              <w:t>льованою атопією</w:t>
            </w:r>
          </w:p>
        </w:tc>
        <w:tc>
          <w:tcPr>
            <w:tcW w:w="2090" w:type="dxa"/>
            <w:tcBorders>
              <w:top w:val="single" w:sz="4" w:space="0" w:color="auto"/>
              <w:left w:val="single" w:sz="4" w:space="0" w:color="auto"/>
              <w:bottom w:val="single" w:sz="4" w:space="0" w:color="auto"/>
              <w:right w:val="single" w:sz="4" w:space="0" w:color="auto"/>
            </w:tcBorders>
            <w:vAlign w:val="center"/>
          </w:tcPr>
          <w:p w14:paraId="7BF67A0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ru-RU" w:eastAsia="ru-RU"/>
              </w:rPr>
            </w:pPr>
            <w:r w:rsidRPr="00C23A80">
              <w:rPr>
                <w:rFonts w:ascii="Times New Roman" w:eastAsia="Times New Roman" w:hAnsi="Times New Roman" w:cs="Times New Roman"/>
                <w:sz w:val="28"/>
                <w:szCs w:val="20"/>
                <w:lang w:val="ru-RU" w:eastAsia="ru-RU"/>
              </w:rPr>
              <w:t>Тварини з атопією після лікування</w:t>
            </w:r>
          </w:p>
        </w:tc>
      </w:tr>
      <w:tr w:rsidR="00544810" w:rsidRPr="00C23A80" w14:paraId="4F8B1058" w14:textId="77777777" w:rsidTr="00B11C46">
        <w:trPr>
          <w:trHeight w:val="1049"/>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029A453"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sz w:val="28"/>
                <w:szCs w:val="28"/>
                <w:lang w:val="uk-UA" w:eastAsia="ru-RU"/>
              </w:rPr>
              <w:t>CD3</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891C33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7,98±0,15</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AFBF91D"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15,9</w:t>
            </w:r>
            <w:r w:rsidRPr="00C23A80">
              <w:rPr>
                <w:rFonts w:ascii="Times New Roman" w:eastAsia="Times New Roman" w:hAnsi="Times New Roman" w:cs="Times New Roman"/>
                <w:sz w:val="28"/>
                <w:szCs w:val="24"/>
                <w:lang w:val="uk-UA" w:eastAsia="ru-RU"/>
              </w:rPr>
              <w:t>±1,02*</w:t>
            </w:r>
          </w:p>
        </w:tc>
        <w:tc>
          <w:tcPr>
            <w:tcW w:w="2090" w:type="dxa"/>
            <w:tcBorders>
              <w:top w:val="single" w:sz="4" w:space="0" w:color="auto"/>
              <w:left w:val="single" w:sz="4" w:space="0" w:color="auto"/>
              <w:bottom w:val="single" w:sz="4" w:space="0" w:color="auto"/>
              <w:right w:val="single" w:sz="4" w:space="0" w:color="auto"/>
            </w:tcBorders>
            <w:vAlign w:val="center"/>
          </w:tcPr>
          <w:p w14:paraId="5F90C2B9"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5,7±0,09*</w:t>
            </w:r>
          </w:p>
        </w:tc>
      </w:tr>
      <w:tr w:rsidR="00544810" w:rsidRPr="00C23A80" w14:paraId="7A6758FF" w14:textId="77777777" w:rsidTr="00B11C46">
        <w:trPr>
          <w:trHeight w:val="1054"/>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24FED158"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eastAsia="ru-RU"/>
              </w:rPr>
              <w:t>CD</w:t>
            </w:r>
            <w:r w:rsidRPr="00C23A80">
              <w:rPr>
                <w:rFonts w:ascii="Times New Roman" w:eastAsia="Times New Roman" w:hAnsi="Times New Roman" w:cs="Times New Roman"/>
                <w:iCs/>
                <w:sz w:val="28"/>
                <w:szCs w:val="28"/>
                <w:lang w:val="ru-RU" w:eastAsia="ru-RU"/>
              </w:rPr>
              <w:t>20</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EB1DA7C"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2,39±0,12</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817A5C1"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4"/>
                <w:lang w:val="uk-UA" w:eastAsia="ru-RU"/>
              </w:rPr>
              <w:t>21,3±0,52*</w:t>
            </w:r>
          </w:p>
        </w:tc>
        <w:tc>
          <w:tcPr>
            <w:tcW w:w="2090" w:type="dxa"/>
            <w:tcBorders>
              <w:top w:val="single" w:sz="4" w:space="0" w:color="auto"/>
              <w:left w:val="single" w:sz="4" w:space="0" w:color="auto"/>
              <w:bottom w:val="single" w:sz="4" w:space="0" w:color="auto"/>
              <w:right w:val="single" w:sz="4" w:space="0" w:color="auto"/>
            </w:tcBorders>
            <w:vAlign w:val="center"/>
          </w:tcPr>
          <w:p w14:paraId="6E3ECDB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3,1±0,06*</w:t>
            </w:r>
          </w:p>
        </w:tc>
      </w:tr>
      <w:tr w:rsidR="00544810" w:rsidRPr="00C23A80" w14:paraId="1A8F53F9" w14:textId="77777777" w:rsidTr="00B11C46">
        <w:trPr>
          <w:trHeight w:val="1057"/>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69CE155C"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eastAsia="ru-RU"/>
              </w:rPr>
              <w:t>CD</w:t>
            </w:r>
            <w:r w:rsidRPr="00C23A80">
              <w:rPr>
                <w:rFonts w:ascii="Times New Roman" w:eastAsia="Times New Roman" w:hAnsi="Times New Roman" w:cs="Times New Roman"/>
                <w:iCs/>
                <w:sz w:val="28"/>
                <w:szCs w:val="28"/>
                <w:lang w:val="ru-RU" w:eastAsia="ru-RU"/>
              </w:rPr>
              <w:t>23</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22166BD3"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3,03±0,14</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51334BBA"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23,4</w:t>
            </w:r>
            <w:r w:rsidRPr="00C23A80">
              <w:rPr>
                <w:rFonts w:ascii="Times New Roman" w:eastAsia="Times New Roman" w:hAnsi="Times New Roman" w:cs="Times New Roman"/>
                <w:sz w:val="28"/>
                <w:szCs w:val="24"/>
                <w:lang w:val="uk-UA" w:eastAsia="ru-RU"/>
              </w:rPr>
              <w:t>±1,28*</w:t>
            </w:r>
          </w:p>
        </w:tc>
        <w:tc>
          <w:tcPr>
            <w:tcW w:w="2090" w:type="dxa"/>
            <w:tcBorders>
              <w:top w:val="single" w:sz="4" w:space="0" w:color="auto"/>
              <w:left w:val="single" w:sz="4" w:space="0" w:color="auto"/>
              <w:bottom w:val="single" w:sz="4" w:space="0" w:color="auto"/>
              <w:right w:val="single" w:sz="4" w:space="0" w:color="auto"/>
            </w:tcBorders>
            <w:vAlign w:val="center"/>
          </w:tcPr>
          <w:p w14:paraId="37ED02C0"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2,1±0,09*</w:t>
            </w:r>
          </w:p>
        </w:tc>
      </w:tr>
      <w:tr w:rsidR="00544810" w:rsidRPr="00C23A80" w14:paraId="3F893B47" w14:textId="77777777" w:rsidTr="00B11C46">
        <w:trPr>
          <w:trHeight w:val="1047"/>
          <w:jc w:val="center"/>
        </w:trPr>
        <w:tc>
          <w:tcPr>
            <w:tcW w:w="119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795313B" w14:textId="77777777" w:rsidR="00544810" w:rsidRPr="00C23A80" w:rsidRDefault="00544810" w:rsidP="00A448F8">
            <w:pPr>
              <w:spacing w:after="0" w:line="240" w:lineRule="auto"/>
              <w:jc w:val="center"/>
              <w:rPr>
                <w:rFonts w:ascii="Times New Roman" w:eastAsia="Times New Roman" w:hAnsi="Times New Roman" w:cs="Times New Roman"/>
                <w:sz w:val="28"/>
                <w:szCs w:val="28"/>
                <w:lang w:val="uk-UA" w:eastAsia="ru-RU"/>
              </w:rPr>
            </w:pPr>
            <w:r w:rsidRPr="00C23A80">
              <w:rPr>
                <w:rFonts w:ascii="Times New Roman" w:eastAsia="Times New Roman" w:hAnsi="Times New Roman" w:cs="Times New Roman"/>
                <w:iCs/>
                <w:sz w:val="28"/>
                <w:szCs w:val="28"/>
                <w:lang w:val="ru-RU" w:eastAsia="ru-RU"/>
              </w:rPr>
              <w:t>CD30</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018E59A3"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1,7±0,02</w:t>
            </w:r>
          </w:p>
        </w:tc>
        <w:tc>
          <w:tcPr>
            <w:tcW w:w="209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14:paraId="4D117457"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32,1</w:t>
            </w:r>
            <w:r w:rsidRPr="00C23A80">
              <w:rPr>
                <w:rFonts w:ascii="Times New Roman" w:eastAsia="Times New Roman" w:hAnsi="Times New Roman" w:cs="Times New Roman"/>
                <w:sz w:val="28"/>
                <w:szCs w:val="24"/>
                <w:lang w:val="uk-UA" w:eastAsia="ru-RU"/>
              </w:rPr>
              <w:t>±2,03*</w:t>
            </w:r>
          </w:p>
        </w:tc>
        <w:tc>
          <w:tcPr>
            <w:tcW w:w="2090" w:type="dxa"/>
            <w:tcBorders>
              <w:top w:val="single" w:sz="4" w:space="0" w:color="auto"/>
              <w:left w:val="single" w:sz="4" w:space="0" w:color="auto"/>
              <w:bottom w:val="single" w:sz="4" w:space="0" w:color="auto"/>
              <w:right w:val="single" w:sz="4" w:space="0" w:color="auto"/>
            </w:tcBorders>
            <w:vAlign w:val="center"/>
          </w:tcPr>
          <w:p w14:paraId="31A91B4E" w14:textId="77777777" w:rsidR="00544810" w:rsidRPr="00C23A80" w:rsidRDefault="00544810" w:rsidP="00A448F8">
            <w:pPr>
              <w:spacing w:after="0" w:line="240" w:lineRule="auto"/>
              <w:jc w:val="center"/>
              <w:rPr>
                <w:rFonts w:ascii="Times New Roman" w:eastAsia="Times New Roman" w:hAnsi="Times New Roman" w:cs="Times New Roman"/>
                <w:sz w:val="28"/>
                <w:szCs w:val="20"/>
                <w:lang w:val="uk-UA" w:eastAsia="ru-RU"/>
              </w:rPr>
            </w:pPr>
            <w:r w:rsidRPr="00C23A80">
              <w:rPr>
                <w:rFonts w:ascii="Times New Roman" w:eastAsia="Times New Roman" w:hAnsi="Times New Roman" w:cs="Times New Roman"/>
                <w:sz w:val="28"/>
                <w:szCs w:val="20"/>
                <w:lang w:val="uk-UA" w:eastAsia="ru-RU"/>
              </w:rPr>
              <w:t>1,9±0,11*</w:t>
            </w:r>
          </w:p>
        </w:tc>
      </w:tr>
    </w:tbl>
    <w:p w14:paraId="0EB3F8A0" w14:textId="77777777" w:rsidR="00544810" w:rsidRPr="009C3C5E" w:rsidRDefault="00544810" w:rsidP="00A448F8">
      <w:pPr>
        <w:spacing w:after="0" w:line="360" w:lineRule="auto"/>
        <w:ind w:firstLine="709"/>
        <w:jc w:val="both"/>
        <w:rPr>
          <w:rFonts w:ascii="Times New Roman" w:hAnsi="Times New Roman" w:cs="Times New Roman"/>
          <w:sz w:val="28"/>
          <w:szCs w:val="28"/>
          <w:lang w:val="uk-UA"/>
        </w:rPr>
      </w:pPr>
      <w:r w:rsidRPr="009C3C5E">
        <w:rPr>
          <w:rFonts w:ascii="Times New Roman" w:hAnsi="Times New Roman" w:cs="Times New Roman"/>
          <w:sz w:val="28"/>
          <w:szCs w:val="28"/>
          <w:lang w:val="uk-UA"/>
        </w:rPr>
        <w:t>Примітки: *p&lt;0,05</w:t>
      </w:r>
    </w:p>
    <w:p w14:paraId="2955BFD5" w14:textId="2F704108" w:rsidR="00544810" w:rsidRDefault="00544810" w:rsidP="00A448F8">
      <w:pPr>
        <w:spacing w:after="0" w:line="360" w:lineRule="auto"/>
        <w:ind w:firstLine="709"/>
        <w:jc w:val="both"/>
        <w:rPr>
          <w:rFonts w:ascii="Times New Roman" w:hAnsi="Times New Roman" w:cs="Times New Roman"/>
          <w:sz w:val="28"/>
          <w:szCs w:val="28"/>
          <w:lang w:val="uk-UA"/>
        </w:rPr>
      </w:pPr>
      <w:r w:rsidRPr="009C3C5E">
        <w:rPr>
          <w:rFonts w:ascii="Times New Roman" w:hAnsi="Times New Roman" w:cs="Times New Roman"/>
          <w:sz w:val="28"/>
          <w:szCs w:val="28"/>
          <w:lang w:val="uk-UA"/>
        </w:rPr>
        <w:t xml:space="preserve">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 процесів, метаболічних розладів, в розвитку яких бере активну участь порушення обміну оксиду азоту, що може служити </w:t>
      </w:r>
      <w:r w:rsidR="00E74A75" w:rsidRPr="009C3C5E">
        <w:rPr>
          <w:rFonts w:ascii="Times New Roman" w:hAnsi="Times New Roman" w:cs="Times New Roman"/>
          <w:sz w:val="28"/>
          <w:szCs w:val="28"/>
          <w:lang w:val="uk-UA"/>
        </w:rPr>
        <w:t>обґрунтуванням</w:t>
      </w:r>
      <w:r w:rsidRPr="009C3C5E">
        <w:rPr>
          <w:rFonts w:ascii="Times New Roman" w:hAnsi="Times New Roman" w:cs="Times New Roman"/>
          <w:sz w:val="28"/>
          <w:szCs w:val="28"/>
          <w:lang w:val="uk-UA"/>
        </w:rPr>
        <w:t xml:space="preserve"> для подальшого ретельного вивчення антиоксидантного статусу та розробки профілактичн</w:t>
      </w:r>
      <w:r w:rsidR="00E74A75">
        <w:rPr>
          <w:rFonts w:ascii="Times New Roman" w:hAnsi="Times New Roman" w:cs="Times New Roman"/>
          <w:sz w:val="28"/>
          <w:szCs w:val="28"/>
          <w:lang w:val="uk-UA"/>
        </w:rPr>
        <w:t>их заходів у хворих на атопічні захворювання</w:t>
      </w:r>
      <w:r w:rsidRPr="009C3C5E">
        <w:rPr>
          <w:rFonts w:ascii="Times New Roman" w:hAnsi="Times New Roman" w:cs="Times New Roman"/>
          <w:sz w:val="28"/>
          <w:szCs w:val="28"/>
          <w:lang w:val="uk-UA"/>
        </w:rPr>
        <w:t>, заснованими на корекції антиоксидантного дисбалансу.</w:t>
      </w:r>
    </w:p>
    <w:p w14:paraId="64EBA2FE" w14:textId="7FB19094" w:rsidR="001A43BC" w:rsidRDefault="002F4783"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в</w:t>
      </w:r>
      <w:r w:rsidR="001A43BC">
        <w:rPr>
          <w:rFonts w:ascii="Times New Roman" w:hAnsi="Times New Roman"/>
          <w:sz w:val="28"/>
          <w:szCs w:val="28"/>
          <w:lang w:val="uk-UA"/>
        </w:rPr>
        <w:t xml:space="preserve"> наступних публікаціях:</w:t>
      </w:r>
    </w:p>
    <w:p w14:paraId="272A09B5" w14:textId="40667E51" w:rsidR="00974C00" w:rsidRPr="00974C00" w:rsidRDefault="00EF697D" w:rsidP="00974C00">
      <w:pPr>
        <w:pStyle w:val="ListParagraph"/>
        <w:numPr>
          <w:ilvl w:val="0"/>
          <w:numId w:val="10"/>
        </w:numPr>
        <w:spacing w:after="0" w:line="360" w:lineRule="auto"/>
        <w:jc w:val="both"/>
        <w:rPr>
          <w:rFonts w:ascii="Times New Roman" w:hAnsi="Times New Roman" w:cs="Times New Roman"/>
          <w:sz w:val="28"/>
          <w:szCs w:val="28"/>
          <w:lang w:val="uk-UA"/>
        </w:rPr>
      </w:pPr>
      <w:r>
        <w:rPr>
          <w:rFonts w:ascii="Times New Roman" w:eastAsia="Times New Roman" w:hAnsi="Times New Roman"/>
          <w:sz w:val="28"/>
          <w:szCs w:val="28"/>
          <w:lang w:eastAsia="ar-SA"/>
        </w:rPr>
        <w:t>Nazaryan R.</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role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of</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nitric</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oxide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synthase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modulation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of</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immune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response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in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atopic</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disease</w:t>
      </w:r>
      <w:r w:rsidR="00974C00"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L</w:t>
      </w:r>
      <w:r>
        <w:rPr>
          <w:rFonts w:ascii="Times New Roman" w:eastAsia="Times New Roman" w:hAnsi="Times New Roman"/>
          <w:sz w:val="28"/>
          <w:szCs w:val="28"/>
          <w:lang w:val="uk-UA"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Kryvenko</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V</w:t>
      </w:r>
      <w:r>
        <w:rPr>
          <w:rFonts w:ascii="Times New Roman" w:eastAsia="Times New Roman" w:hAnsi="Times New Roman"/>
          <w:sz w:val="28"/>
          <w:szCs w:val="28"/>
          <w:lang w:val="uk-UA" w:eastAsia="ar-SA"/>
        </w:rPr>
        <w:t>.</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Gargin</w:t>
      </w:r>
      <w:r>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The</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New</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Armenian</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Medical</w:t>
      </w:r>
      <w:r w:rsidR="00974C00" w:rsidRPr="00DD39D0">
        <w:rPr>
          <w:rFonts w:ascii="Times New Roman" w:eastAsia="Times New Roman" w:hAnsi="Times New Roman"/>
          <w:sz w:val="28"/>
          <w:szCs w:val="28"/>
          <w:lang w:val="uk-UA" w:eastAsia="ar-SA"/>
        </w:rPr>
        <w:t xml:space="preserve"> </w:t>
      </w:r>
      <w:r w:rsidR="00974C00" w:rsidRPr="00DD39D0">
        <w:rPr>
          <w:rFonts w:ascii="Times New Roman" w:eastAsia="Times New Roman" w:hAnsi="Times New Roman"/>
          <w:sz w:val="28"/>
          <w:szCs w:val="28"/>
          <w:lang w:eastAsia="ar-SA"/>
        </w:rPr>
        <w:t>Journal</w:t>
      </w:r>
      <w:r w:rsidR="00974C00" w:rsidRPr="00DD39D0">
        <w:rPr>
          <w:rFonts w:ascii="Times New Roman" w:eastAsia="Times New Roman" w:hAnsi="Times New Roman"/>
          <w:sz w:val="28"/>
          <w:szCs w:val="28"/>
          <w:lang w:val="uk-UA" w:eastAsia="ar-SA"/>
        </w:rPr>
        <w:t xml:space="preserve">. – 2017. – </w:t>
      </w:r>
      <w:r w:rsidR="00974C00" w:rsidRPr="00DD39D0">
        <w:rPr>
          <w:rFonts w:ascii="Times New Roman" w:eastAsia="Times New Roman" w:hAnsi="Times New Roman"/>
          <w:sz w:val="28"/>
          <w:szCs w:val="28"/>
          <w:lang w:eastAsia="ar-SA"/>
        </w:rPr>
        <w:t>Vol</w:t>
      </w:r>
      <w:r w:rsidR="00974C00" w:rsidRPr="00DD39D0">
        <w:rPr>
          <w:rFonts w:ascii="Times New Roman" w:eastAsia="Times New Roman" w:hAnsi="Times New Roman"/>
          <w:sz w:val="28"/>
          <w:szCs w:val="28"/>
          <w:lang w:val="uk-UA" w:eastAsia="ar-SA"/>
        </w:rPr>
        <w:t xml:space="preserve">.11. – № 2. – </w:t>
      </w:r>
      <w:r w:rsidR="00974C00" w:rsidRPr="00DD39D0">
        <w:rPr>
          <w:rFonts w:ascii="Times New Roman" w:eastAsia="Times New Roman" w:hAnsi="Times New Roman"/>
          <w:sz w:val="28"/>
          <w:szCs w:val="28"/>
          <w:lang w:eastAsia="ar-SA"/>
        </w:rPr>
        <w:t>P</w:t>
      </w:r>
      <w:r w:rsidR="00974C00" w:rsidRPr="00DD39D0">
        <w:rPr>
          <w:rFonts w:ascii="Times New Roman" w:eastAsia="Times New Roman" w:hAnsi="Times New Roman"/>
          <w:sz w:val="28"/>
          <w:szCs w:val="28"/>
          <w:lang w:val="uk-UA" w:eastAsia="ar-SA"/>
        </w:rPr>
        <w:t>. 52-57</w:t>
      </w:r>
      <w:r>
        <w:rPr>
          <w:rFonts w:ascii="Times New Roman" w:eastAsia="Times New Roman" w:hAnsi="Times New Roman"/>
          <w:sz w:val="28"/>
          <w:szCs w:val="28"/>
          <w:lang w:eastAsia="ar-SA"/>
        </w:rPr>
        <w:t>.</w:t>
      </w:r>
    </w:p>
    <w:p w14:paraId="1825A957" w14:textId="7E474C22" w:rsidR="00974C00" w:rsidRPr="00974C00" w:rsidRDefault="00974C00" w:rsidP="00974C00">
      <w:pPr>
        <w:pStyle w:val="ListParagraph"/>
        <w:numPr>
          <w:ilvl w:val="0"/>
          <w:numId w:val="10"/>
        </w:numPr>
        <w:spacing w:after="0" w:line="360" w:lineRule="auto"/>
        <w:jc w:val="both"/>
        <w:rPr>
          <w:rFonts w:ascii="Times New Roman" w:hAnsi="Times New Roman" w:cs="Times New Roman"/>
          <w:sz w:val="28"/>
          <w:szCs w:val="28"/>
          <w:lang w:val="uk-U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1040B3E2" w14:textId="675AF7B0" w:rsidR="00974C00" w:rsidRPr="00974C00" w:rsidRDefault="00EF697D" w:rsidP="00EF697D">
      <w:pPr>
        <w:pStyle w:val="ListParagraph"/>
        <w:numPr>
          <w:ilvl w:val="0"/>
          <w:numId w:val="10"/>
        </w:numPr>
        <w:spacing w:after="0" w:line="360" w:lineRule="auto"/>
        <w:jc w:val="both"/>
        <w:rPr>
          <w:rFonts w:ascii="Times New Roman" w:hAnsi="Times New Roman" w:cs="Times New Roman"/>
          <w:sz w:val="28"/>
          <w:szCs w:val="28"/>
          <w:lang w:val="uk-UA"/>
        </w:rPr>
      </w:pPr>
      <w:r w:rsidRPr="00EF697D">
        <w:rPr>
          <w:rFonts w:ascii="Times New Roman" w:eastAsia="Times New Roman" w:hAnsi="Times New Roman"/>
          <w:sz w:val="28"/>
          <w:szCs w:val="28"/>
          <w:lang w:val="uk-UA" w:eastAsia="ar-SA"/>
        </w:rPr>
        <w:t>Назарян Р. С. Тканевая активность синтазы оксида азота в ротовой полости при атопической патологии / Р. С. Назарян, Л. С. Кривенко, В. В. Гаргин // Morphologia. - 2016. - Т. 10, № 3. - С. 212-216</w:t>
      </w:r>
      <w:r w:rsidRPr="00EF697D">
        <w:rPr>
          <w:rFonts w:ascii="Times New Roman" w:eastAsia="Times New Roman" w:hAnsi="Times New Roman"/>
          <w:sz w:val="28"/>
          <w:szCs w:val="28"/>
          <w:lang w:val="ru-RU" w:eastAsia="ar-SA"/>
        </w:rPr>
        <w:t>.</w:t>
      </w:r>
    </w:p>
    <w:p w14:paraId="1F806056" w14:textId="321E426F" w:rsidR="001A43BC" w:rsidRPr="00974C00" w:rsidRDefault="00EF697D" w:rsidP="00974C00">
      <w:pPr>
        <w:pStyle w:val="ListParagraph"/>
        <w:numPr>
          <w:ilvl w:val="0"/>
          <w:numId w:val="10"/>
        </w:numPr>
        <w:spacing w:after="0" w:line="360" w:lineRule="auto"/>
        <w:jc w:val="both"/>
        <w:rPr>
          <w:rFonts w:ascii="Times New Roman" w:hAnsi="Times New Roman" w:cs="Times New Roman"/>
          <w:sz w:val="28"/>
          <w:szCs w:val="28"/>
          <w:lang w:val="uk-UA"/>
        </w:rPr>
      </w:pPr>
      <w:r>
        <w:rPr>
          <w:rFonts w:ascii="Times New Roman" w:eastAsia="Times New Roman" w:hAnsi="Times New Roman"/>
          <w:sz w:val="28"/>
          <w:szCs w:val="28"/>
          <w:lang w:eastAsia="ar-SA"/>
        </w:rPr>
        <w:t>Kri</w:t>
      </w:r>
      <w:r w:rsidR="00974C00" w:rsidRPr="00974C00">
        <w:rPr>
          <w:rFonts w:ascii="Times New Roman" w:eastAsia="Times New Roman" w:hAnsi="Times New Roman"/>
          <w:sz w:val="28"/>
          <w:szCs w:val="28"/>
          <w:lang w:eastAsia="ar-SA"/>
        </w:rPr>
        <w:t>venko</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Influence</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of</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maternal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pathology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and</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atopic</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diseases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on</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development</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of</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oral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cavity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pathology</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in</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children</w:t>
      </w:r>
      <w:r w:rsidR="00974C00" w:rsidRPr="00974C00">
        <w:rPr>
          <w:rFonts w:ascii="Times New Roman" w:eastAsia="Times New Roman" w:hAnsi="Times New Roman"/>
          <w:sz w:val="28"/>
          <w:szCs w:val="28"/>
          <w:lang w:val="uk-UA" w:eastAsia="ar-SA"/>
        </w:rPr>
        <w:t xml:space="preserve"> / </w:t>
      </w:r>
      <w:r w:rsidR="00974C00" w:rsidRPr="00974C00">
        <w:rPr>
          <w:rFonts w:ascii="Times New Roman" w:eastAsia="Times New Roman" w:hAnsi="Times New Roman"/>
          <w:sz w:val="28"/>
          <w:szCs w:val="28"/>
          <w:lang w:eastAsia="ar-SA"/>
        </w:rPr>
        <w:t>L</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00974C00" w:rsidRPr="00974C00">
        <w:rPr>
          <w:rFonts w:ascii="Times New Roman" w:eastAsia="Times New Roman" w:hAnsi="Times New Roman"/>
          <w:sz w:val="28"/>
          <w:szCs w:val="28"/>
          <w:lang w:eastAsia="ar-SA"/>
        </w:rPr>
        <w:t>venko</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val="uk-UA" w:eastAsia="ar-SA"/>
        </w:rPr>
        <w:br/>
      </w:r>
      <w:r w:rsidR="00974C00" w:rsidRPr="00974C00">
        <w:rPr>
          <w:rFonts w:ascii="Times New Roman" w:eastAsia="Times New Roman" w:hAnsi="Times New Roman"/>
          <w:sz w:val="28"/>
          <w:szCs w:val="28"/>
          <w:lang w:eastAsia="ar-SA"/>
        </w:rPr>
        <w:t>R</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S</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Nazaryan</w:t>
      </w:r>
      <w:r w:rsidR="00974C00" w:rsidRPr="00974C00">
        <w:rPr>
          <w:rFonts w:ascii="Times New Roman" w:eastAsia="Times New Roman" w:hAnsi="Times New Roman"/>
          <w:sz w:val="28"/>
          <w:szCs w:val="28"/>
          <w:lang w:val="uk-UA" w:eastAsia="ar-SA"/>
        </w:rPr>
        <w:t xml:space="preserve"> // </w:t>
      </w:r>
      <w:r w:rsidR="00974C00" w:rsidRPr="00974C00">
        <w:rPr>
          <w:rFonts w:ascii="Times New Roman" w:eastAsia="Times New Roman" w:hAnsi="Times New Roman"/>
          <w:sz w:val="28"/>
          <w:szCs w:val="28"/>
          <w:lang w:eastAsia="ar-SA"/>
        </w:rPr>
        <w:t>Inter</w:t>
      </w:r>
      <w:r w:rsidR="00974C00" w:rsidRPr="00974C00">
        <w:rPr>
          <w:rFonts w:ascii="Times New Roman" w:eastAsia="Times New Roman" w:hAnsi="Times New Roman"/>
          <w:sz w:val="28"/>
          <w:szCs w:val="28"/>
          <w:lang w:val="uk-UA" w:eastAsia="ar-SA"/>
        </w:rPr>
        <w:t xml:space="preserve"> </w:t>
      </w:r>
      <w:r w:rsidR="00974C00" w:rsidRPr="00974C00">
        <w:rPr>
          <w:rFonts w:ascii="Times New Roman" w:eastAsia="Times New Roman" w:hAnsi="Times New Roman"/>
          <w:sz w:val="28"/>
          <w:szCs w:val="28"/>
          <w:lang w:eastAsia="ar-SA"/>
        </w:rPr>
        <w:t>collegas</w:t>
      </w:r>
      <w:r w:rsidR="00974C00" w:rsidRPr="00974C00">
        <w:rPr>
          <w:rFonts w:ascii="Times New Roman" w:eastAsia="Times New Roman" w:hAnsi="Times New Roman"/>
          <w:sz w:val="28"/>
          <w:szCs w:val="28"/>
          <w:lang w:val="uk-UA" w:eastAsia="ar-SA"/>
        </w:rPr>
        <w:t xml:space="preserve">. – 2015. – 3 (4). – </w:t>
      </w:r>
      <w:r w:rsidR="00974C00" w:rsidRPr="00974C00">
        <w:rPr>
          <w:rFonts w:ascii="Times New Roman" w:eastAsia="Times New Roman" w:hAnsi="Times New Roman"/>
          <w:sz w:val="28"/>
          <w:szCs w:val="28"/>
          <w:lang w:eastAsia="ar-SA"/>
        </w:rPr>
        <w:t>p</w:t>
      </w:r>
      <w:r w:rsidR="00974C00" w:rsidRPr="00974C00">
        <w:rPr>
          <w:rFonts w:ascii="Times New Roman" w:eastAsia="Times New Roman" w:hAnsi="Times New Roman"/>
          <w:sz w:val="28"/>
          <w:szCs w:val="28"/>
          <w:lang w:val="uk-UA" w:eastAsia="ar-SA"/>
        </w:rPr>
        <w:t>.386-391.</w:t>
      </w:r>
    </w:p>
    <w:p w14:paraId="7B208696" w14:textId="77777777" w:rsidR="001A43BC" w:rsidRPr="009C3C5E" w:rsidRDefault="001A43BC" w:rsidP="00A448F8">
      <w:pPr>
        <w:spacing w:after="0" w:line="360" w:lineRule="auto"/>
        <w:ind w:firstLine="709"/>
        <w:jc w:val="both"/>
        <w:rPr>
          <w:rFonts w:ascii="Times New Roman" w:hAnsi="Times New Roman" w:cs="Times New Roman"/>
          <w:sz w:val="28"/>
          <w:szCs w:val="28"/>
          <w:lang w:val="uk-UA"/>
        </w:rPr>
      </w:pPr>
    </w:p>
    <w:p w14:paraId="7BAA53D8" w14:textId="0459B07C" w:rsidR="00E6538B" w:rsidRPr="00376DF7" w:rsidRDefault="00E6538B" w:rsidP="00A448F8">
      <w:pPr>
        <w:spacing w:after="0"/>
        <w:rPr>
          <w:rFonts w:ascii="Times New Roman" w:hAnsi="Times New Roman"/>
          <w:sz w:val="28"/>
          <w:szCs w:val="28"/>
          <w:lang w:val="uk-UA"/>
        </w:rPr>
      </w:pPr>
      <w:r w:rsidRPr="00376DF7">
        <w:rPr>
          <w:rFonts w:ascii="Times New Roman" w:hAnsi="Times New Roman"/>
          <w:sz w:val="28"/>
          <w:szCs w:val="28"/>
          <w:lang w:val="uk-UA"/>
        </w:rPr>
        <w:br w:type="page"/>
      </w:r>
    </w:p>
    <w:p w14:paraId="5BBCEF8A" w14:textId="27D2E518" w:rsidR="00376DF7" w:rsidRPr="00376DF7" w:rsidRDefault="00376DF7" w:rsidP="00376DF7">
      <w:pPr>
        <w:pStyle w:val="Heading1"/>
        <w:spacing w:before="0" w:line="360" w:lineRule="auto"/>
        <w:jc w:val="center"/>
        <w:rPr>
          <w:rFonts w:ascii="Times New Roman" w:hAnsi="Times New Roman" w:cs="Times New Roman"/>
          <w:color w:val="auto"/>
          <w:sz w:val="28"/>
          <w:szCs w:val="28"/>
          <w:lang w:val="uk-UA"/>
        </w:rPr>
      </w:pPr>
      <w:bookmarkStart w:id="18" w:name="_Toc507575311"/>
      <w:r w:rsidRPr="00376DF7">
        <w:rPr>
          <w:rFonts w:ascii="Times New Roman" w:hAnsi="Times New Roman" w:cs="Times New Roman"/>
          <w:color w:val="auto"/>
          <w:sz w:val="28"/>
          <w:szCs w:val="28"/>
          <w:lang w:val="uk-UA"/>
        </w:rPr>
        <w:t>РОЗДІЛ 4</w:t>
      </w:r>
      <w:bookmarkEnd w:id="18"/>
    </w:p>
    <w:p w14:paraId="202BE3AD" w14:textId="77777777" w:rsidR="00376DF7" w:rsidRPr="00376DF7" w:rsidRDefault="00376DF7" w:rsidP="00376DF7">
      <w:pPr>
        <w:rPr>
          <w:lang w:val="uk-UA"/>
        </w:rPr>
      </w:pPr>
    </w:p>
    <w:p w14:paraId="6D7EFB2A" w14:textId="6A4BAB23" w:rsidR="005D33AD" w:rsidRPr="00376DF7" w:rsidRDefault="00376DF7" w:rsidP="00376DF7">
      <w:pPr>
        <w:pStyle w:val="Heading1"/>
        <w:spacing w:before="0" w:line="360" w:lineRule="auto"/>
        <w:jc w:val="center"/>
        <w:rPr>
          <w:rFonts w:ascii="Times New Roman" w:hAnsi="Times New Roman" w:cs="Times New Roman"/>
          <w:color w:val="auto"/>
          <w:sz w:val="28"/>
          <w:szCs w:val="28"/>
          <w:lang w:val="uk-UA"/>
        </w:rPr>
      </w:pPr>
      <w:bookmarkStart w:id="19" w:name="_Toc507575312"/>
      <w:r w:rsidRPr="00376DF7">
        <w:rPr>
          <w:rFonts w:ascii="Times New Roman" w:hAnsi="Times New Roman" w:cs="Times New Roman"/>
          <w:color w:val="auto"/>
          <w:sz w:val="28"/>
          <w:szCs w:val="28"/>
          <w:lang w:val="uk-UA"/>
        </w:rPr>
        <w:t>РЕЗУЛЬТАТИ КОМПЛЕКСНОГО ДОСЛІДЖЕННЯ СТОМАТОЛОГІЧНОГО СТАТУСУ ПАЦІЄНТІВ З АТОПІЧНИМИ ЗАХВОРЮВАННЯМИ</w:t>
      </w:r>
      <w:bookmarkEnd w:id="19"/>
    </w:p>
    <w:p w14:paraId="4ECA3A3D" w14:textId="77777777" w:rsidR="00376DF7" w:rsidRPr="00376DF7" w:rsidRDefault="00376DF7" w:rsidP="00376DF7">
      <w:pPr>
        <w:rPr>
          <w:lang w:val="uk-UA"/>
        </w:rPr>
      </w:pPr>
    </w:p>
    <w:p w14:paraId="30224C4F" w14:textId="1F19E604" w:rsidR="002F05B4" w:rsidRPr="002F05B4" w:rsidRDefault="002F05B4" w:rsidP="002F05B4">
      <w:pPr>
        <w:spacing w:line="360" w:lineRule="auto"/>
        <w:ind w:firstLine="709"/>
        <w:jc w:val="both"/>
        <w:rPr>
          <w:rFonts w:ascii="Times New Roman" w:hAnsi="Times New Roman" w:cs="Times New Roman"/>
          <w:sz w:val="28"/>
          <w:szCs w:val="28"/>
          <w:lang w:val="uk-UA"/>
        </w:rPr>
      </w:pPr>
      <w:r w:rsidRPr="00376DF7">
        <w:rPr>
          <w:rFonts w:ascii="Times New Roman" w:hAnsi="Times New Roman" w:cs="Times New Roman"/>
          <w:sz w:val="28"/>
          <w:szCs w:val="28"/>
          <w:lang w:val="uk-UA"/>
        </w:rPr>
        <w:t>Стоматологічний статус пацієнтів</w:t>
      </w:r>
      <w:r>
        <w:rPr>
          <w:rFonts w:ascii="Times New Roman" w:hAnsi="Times New Roman" w:cs="Times New Roman"/>
          <w:sz w:val="28"/>
          <w:szCs w:val="28"/>
          <w:lang w:val="uk-UA"/>
        </w:rPr>
        <w:t xml:space="preserve">, хворих на атопічні захворювання, був оцінений комплексно, за допомогою набору клінічних індексів, які повністю відображають стан тканин пародонту, інтенсивність карієсу, стан гігієни, кислотність ротової порожнини. На основі використаних методів клінічного дослідження ми отримали характеристику усіх параметрів, які у повній мірі відображають стан здоров’я ротової порожнини. Для об’єктивізації дослідження нами були використані декілька індексів, які характеризують стан тканин пародонту, а саме індекси </w:t>
      </w:r>
      <w:r>
        <w:rPr>
          <w:rFonts w:ascii="Times New Roman" w:hAnsi="Times New Roman" w:cs="Times New Roman"/>
          <w:sz w:val="28"/>
          <w:szCs w:val="28"/>
        </w:rPr>
        <w:t>SBI</w:t>
      </w:r>
      <w:r w:rsidRPr="002F05B4">
        <w:rPr>
          <w:rFonts w:ascii="Times New Roman" w:hAnsi="Times New Roman" w:cs="Times New Roman"/>
          <w:sz w:val="28"/>
          <w:szCs w:val="28"/>
          <w:lang w:val="uk-UA"/>
        </w:rPr>
        <w:t xml:space="preserve">, </w:t>
      </w:r>
      <w:r>
        <w:rPr>
          <w:rFonts w:ascii="Times New Roman" w:hAnsi="Times New Roman" w:cs="Times New Roman"/>
          <w:sz w:val="28"/>
          <w:szCs w:val="28"/>
        </w:rPr>
        <w:t>PMA</w:t>
      </w:r>
      <w:r>
        <w:rPr>
          <w:rFonts w:ascii="Times New Roman" w:hAnsi="Times New Roman" w:cs="Times New Roman"/>
          <w:sz w:val="28"/>
          <w:szCs w:val="28"/>
          <w:lang w:val="uk-UA"/>
        </w:rPr>
        <w:t>. Для відображення рівня інтенсивності карієсу ми використали індекс кп+КПУ та КПУ. З метою оцінювання гігієнічного стану ротової порожнини</w:t>
      </w:r>
      <w:r w:rsidR="001F257B">
        <w:rPr>
          <w:rFonts w:ascii="Times New Roman" w:hAnsi="Times New Roman" w:cs="Times New Roman"/>
          <w:sz w:val="28"/>
          <w:szCs w:val="28"/>
          <w:lang w:val="uk-UA"/>
        </w:rPr>
        <w:t xml:space="preserve"> та вивчення його впливу на ступінь запалення ясен</w:t>
      </w:r>
      <w:r>
        <w:rPr>
          <w:rFonts w:ascii="Times New Roman" w:hAnsi="Times New Roman" w:cs="Times New Roman"/>
          <w:sz w:val="28"/>
          <w:szCs w:val="28"/>
          <w:lang w:val="uk-UA"/>
        </w:rPr>
        <w:t xml:space="preserve"> </w:t>
      </w:r>
      <w:r w:rsidR="001F257B">
        <w:rPr>
          <w:rFonts w:ascii="Times New Roman" w:hAnsi="Times New Roman" w:cs="Times New Roman"/>
          <w:sz w:val="28"/>
          <w:szCs w:val="28"/>
          <w:lang w:val="uk-UA"/>
        </w:rPr>
        <w:t>був використаний індекс Грін-Вермільйона. Для оцінювання рівня кислотності була проведена рН-метрія ротової рідини.</w:t>
      </w:r>
    </w:p>
    <w:p w14:paraId="51E7BFEA" w14:textId="7141047E" w:rsidR="002C3D20" w:rsidRPr="00376DF7" w:rsidRDefault="00B464E6" w:rsidP="00376DF7">
      <w:pPr>
        <w:pStyle w:val="Heading3"/>
        <w:spacing w:line="360" w:lineRule="auto"/>
        <w:ind w:firstLine="709"/>
        <w:rPr>
          <w:rFonts w:ascii="Times New Roman" w:hAnsi="Times New Roman" w:cs="Times New Roman"/>
          <w:color w:val="auto"/>
          <w:sz w:val="28"/>
          <w:szCs w:val="28"/>
          <w:lang w:val="uk-UA"/>
        </w:rPr>
      </w:pPr>
      <w:bookmarkStart w:id="20" w:name="_Toc507575313"/>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.1 </w:t>
      </w:r>
      <w:r w:rsidR="000F6B89" w:rsidRPr="00376DF7">
        <w:rPr>
          <w:rFonts w:ascii="Times New Roman" w:hAnsi="Times New Roman" w:cs="Times New Roman"/>
          <w:color w:val="auto"/>
          <w:sz w:val="28"/>
          <w:szCs w:val="28"/>
          <w:lang w:val="uk-UA"/>
        </w:rPr>
        <w:t>Дослідження пародонтального статусу пацієнтів з атопічними захворюваннями</w:t>
      </w:r>
      <w:bookmarkEnd w:id="20"/>
    </w:p>
    <w:p w14:paraId="6CE686C6" w14:textId="63D3A345" w:rsidR="001F257B" w:rsidRDefault="001F257B" w:rsidP="00376DF7">
      <w:pPr>
        <w:spacing w:after="0" w:line="360" w:lineRule="auto"/>
        <w:ind w:firstLine="709"/>
        <w:jc w:val="both"/>
        <w:rPr>
          <w:rFonts w:ascii="Times New Roman" w:hAnsi="Times New Roman"/>
          <w:sz w:val="28"/>
          <w:szCs w:val="28"/>
          <w:lang w:val="uk-UA"/>
        </w:rPr>
      </w:pPr>
      <w:r w:rsidRPr="00376DF7">
        <w:rPr>
          <w:rFonts w:ascii="Times New Roman" w:hAnsi="Times New Roman" w:cs="Times New Roman"/>
          <w:sz w:val="28"/>
          <w:szCs w:val="28"/>
          <w:lang w:val="uk-UA"/>
        </w:rPr>
        <w:t>Як відомо,</w:t>
      </w:r>
      <w:r w:rsidRPr="00376DF7">
        <w:rPr>
          <w:rFonts w:ascii="Times New Roman" w:hAnsi="Times New Roman"/>
          <w:sz w:val="28"/>
          <w:szCs w:val="28"/>
          <w:lang w:val="uk-UA"/>
        </w:rPr>
        <w:t xml:space="preserve"> </w:t>
      </w:r>
      <w:r>
        <w:rPr>
          <w:rFonts w:ascii="Times New Roman" w:hAnsi="Times New Roman"/>
          <w:sz w:val="28"/>
          <w:szCs w:val="28"/>
          <w:lang w:val="uk-UA"/>
        </w:rPr>
        <w:t>кровоточивість є однією з найбільш виражених ознак гінгівіту</w:t>
      </w:r>
      <w:r w:rsidR="00E318DC">
        <w:rPr>
          <w:rFonts w:ascii="Times New Roman" w:hAnsi="Times New Roman"/>
          <w:sz w:val="28"/>
          <w:szCs w:val="28"/>
          <w:lang w:val="uk-UA"/>
        </w:rPr>
        <w:t xml:space="preserve"> та визначення ступеню запалення тканин пародонту за індексом </w:t>
      </w:r>
      <w:r w:rsidR="00E318DC">
        <w:rPr>
          <w:rFonts w:ascii="Times New Roman" w:hAnsi="Times New Roman"/>
          <w:sz w:val="28"/>
          <w:szCs w:val="28"/>
        </w:rPr>
        <w:t>SBI</w:t>
      </w:r>
      <w:r w:rsidR="00E318DC" w:rsidRPr="00E318DC">
        <w:rPr>
          <w:rFonts w:ascii="Times New Roman" w:hAnsi="Times New Roman"/>
          <w:sz w:val="28"/>
          <w:szCs w:val="28"/>
          <w:lang w:val="uk-UA"/>
        </w:rPr>
        <w:t xml:space="preserve"> </w:t>
      </w:r>
      <w:r w:rsidR="00E318DC">
        <w:rPr>
          <w:rFonts w:ascii="Times New Roman" w:hAnsi="Times New Roman"/>
          <w:sz w:val="28"/>
          <w:szCs w:val="28"/>
          <w:lang w:val="uk-UA"/>
        </w:rPr>
        <w:t>є одним з найбільш інформативних методів</w:t>
      </w:r>
      <w:r>
        <w:rPr>
          <w:rFonts w:ascii="Times New Roman" w:hAnsi="Times New Roman"/>
          <w:sz w:val="28"/>
          <w:szCs w:val="28"/>
          <w:lang w:val="uk-UA"/>
        </w:rPr>
        <w:t xml:space="preserve">. </w:t>
      </w:r>
      <w:r w:rsidR="00E318DC">
        <w:rPr>
          <w:rFonts w:ascii="Times New Roman" w:hAnsi="Times New Roman"/>
          <w:sz w:val="28"/>
          <w:szCs w:val="28"/>
          <w:lang w:val="uk-UA"/>
        </w:rPr>
        <w:t xml:space="preserve">Під час </w:t>
      </w:r>
      <w:r>
        <w:rPr>
          <w:rFonts w:ascii="Times New Roman" w:hAnsi="Times New Roman"/>
          <w:sz w:val="28"/>
          <w:szCs w:val="28"/>
          <w:lang w:val="uk-UA"/>
        </w:rPr>
        <w:t>обстеження пацієнтів</w:t>
      </w:r>
      <w:r w:rsidR="00E318DC">
        <w:rPr>
          <w:rFonts w:ascii="Times New Roman" w:hAnsi="Times New Roman"/>
          <w:sz w:val="28"/>
          <w:szCs w:val="28"/>
          <w:lang w:val="uk-UA"/>
        </w:rPr>
        <w:t xml:space="preserve"> усіх груп нами було визначено</w:t>
      </w:r>
      <w:r>
        <w:rPr>
          <w:rFonts w:ascii="Times New Roman" w:hAnsi="Times New Roman"/>
          <w:sz w:val="28"/>
          <w:szCs w:val="28"/>
          <w:lang w:val="uk-UA"/>
        </w:rPr>
        <w:t xml:space="preserve"> ступінь запалення ясен за індексом </w:t>
      </w:r>
      <w:r>
        <w:rPr>
          <w:rFonts w:ascii="Times New Roman" w:hAnsi="Times New Roman"/>
          <w:sz w:val="28"/>
          <w:szCs w:val="28"/>
        </w:rPr>
        <w:t>SBI</w:t>
      </w:r>
      <w:r>
        <w:rPr>
          <w:rFonts w:ascii="Times New Roman" w:hAnsi="Times New Roman"/>
          <w:sz w:val="28"/>
          <w:szCs w:val="28"/>
          <w:lang w:val="uk-UA"/>
        </w:rPr>
        <w:t>. Отримані дані ми аналізували до призначення лікування у першій та третій групах та призначення програми профілактики у другій та четвертій групах, через 1, 3, 6 місяців та через 1 рік. Дослідж</w:t>
      </w:r>
      <w:r w:rsidR="00E318DC">
        <w:rPr>
          <w:rFonts w:ascii="Times New Roman" w:hAnsi="Times New Roman"/>
          <w:sz w:val="28"/>
          <w:szCs w:val="28"/>
          <w:lang w:val="uk-UA"/>
        </w:rPr>
        <w:t xml:space="preserve">ення </w:t>
      </w:r>
      <w:r w:rsidR="001D0630">
        <w:rPr>
          <w:rFonts w:ascii="Times New Roman" w:hAnsi="Times New Roman"/>
          <w:sz w:val="28"/>
          <w:szCs w:val="28"/>
          <w:lang w:val="uk-UA"/>
        </w:rPr>
        <w:t>індексу кровоточивості так само</w:t>
      </w:r>
      <w:r>
        <w:rPr>
          <w:rFonts w:ascii="Times New Roman" w:hAnsi="Times New Roman"/>
          <w:sz w:val="28"/>
          <w:szCs w:val="28"/>
          <w:lang w:val="uk-UA"/>
        </w:rPr>
        <w:t xml:space="preserve"> було проведене у групі порівняння також (5 група).</w:t>
      </w:r>
    </w:p>
    <w:p w14:paraId="4A3C2FF0" w14:textId="514E53E0" w:rsidR="001624CF" w:rsidRDefault="00E71471" w:rsidP="001624CF">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Як показали результати дослідження, середній рівень запалення тканин пародонту згідно з індексом </w:t>
      </w:r>
      <w:r>
        <w:rPr>
          <w:rFonts w:ascii="Times New Roman" w:hAnsi="Times New Roman"/>
          <w:sz w:val="28"/>
          <w:szCs w:val="28"/>
        </w:rPr>
        <w:t>SBI</w:t>
      </w:r>
      <w:r w:rsidRPr="00E71471">
        <w:rPr>
          <w:rFonts w:ascii="Times New Roman" w:hAnsi="Times New Roman"/>
          <w:sz w:val="28"/>
          <w:szCs w:val="28"/>
          <w:lang w:val="uk-UA"/>
        </w:rPr>
        <w:t xml:space="preserve"> </w:t>
      </w:r>
      <w:r>
        <w:rPr>
          <w:rFonts w:ascii="Times New Roman" w:hAnsi="Times New Roman"/>
          <w:sz w:val="28"/>
          <w:szCs w:val="28"/>
          <w:lang w:val="uk-UA"/>
        </w:rPr>
        <w:t xml:space="preserve">у групах дітей з атопічними захворюваннями та без таких достовірно відрізнявся та склав </w:t>
      </w:r>
      <w:r>
        <w:rPr>
          <w:rFonts w:ascii="Times New Roman" w:hAnsi="Times New Roman" w:cs="Times New Roman"/>
          <w:sz w:val="28"/>
          <w:szCs w:val="28"/>
          <w:lang w:val="uk-UA"/>
        </w:rPr>
        <w:t xml:space="preserve">2.11 ± 0.22 бали та 0.48 ± 0.21 бали відповідно. </w:t>
      </w:r>
      <w:r w:rsidR="00440411">
        <w:rPr>
          <w:rFonts w:ascii="Times New Roman" w:hAnsi="Times New Roman"/>
          <w:sz w:val="28"/>
          <w:szCs w:val="28"/>
          <w:lang w:val="uk-UA"/>
        </w:rPr>
        <w:t xml:space="preserve">Аналіз отриманих у результаті досліджень даних виявив певні закономірності розвитку гінгівіту у дітей </w:t>
      </w:r>
      <w:r w:rsidR="00303EA7">
        <w:rPr>
          <w:rFonts w:ascii="Times New Roman" w:hAnsi="Times New Roman"/>
          <w:sz w:val="28"/>
          <w:szCs w:val="28"/>
          <w:lang w:val="uk-UA"/>
        </w:rPr>
        <w:t>на тлі</w:t>
      </w:r>
      <w:r w:rsidR="00440411">
        <w:rPr>
          <w:rFonts w:ascii="Times New Roman" w:hAnsi="Times New Roman"/>
          <w:sz w:val="28"/>
          <w:szCs w:val="28"/>
          <w:lang w:val="uk-UA"/>
        </w:rPr>
        <w:t xml:space="preserve"> атопічних захворювань та без соматичної патології, з гінгівітом та без проявів запалення тканин пародонту </w:t>
      </w:r>
      <w:r w:rsidR="001624CF" w:rsidRPr="002804DE">
        <w:rPr>
          <w:rFonts w:ascii="Times New Roman" w:hAnsi="Times New Roman"/>
          <w:sz w:val="28"/>
          <w:szCs w:val="28"/>
          <w:lang w:val="uk-UA"/>
        </w:rPr>
        <w:t>(табл.</w:t>
      </w:r>
      <w:r w:rsidR="0096095F">
        <w:rPr>
          <w:rFonts w:ascii="Times New Roman" w:hAnsi="Times New Roman"/>
          <w:sz w:val="28"/>
          <w:szCs w:val="28"/>
          <w:lang w:val="uk-UA"/>
        </w:rPr>
        <w:t xml:space="preserve"> 4</w:t>
      </w:r>
      <w:r w:rsidR="0044210C">
        <w:rPr>
          <w:rFonts w:ascii="Times New Roman" w:hAnsi="Times New Roman"/>
          <w:sz w:val="28"/>
          <w:szCs w:val="28"/>
          <w:lang w:val="uk-UA"/>
        </w:rPr>
        <w:t>.</w:t>
      </w:r>
      <w:r w:rsidR="001624CF" w:rsidRPr="002804DE">
        <w:rPr>
          <w:rFonts w:ascii="Times New Roman" w:hAnsi="Times New Roman"/>
          <w:sz w:val="28"/>
          <w:szCs w:val="28"/>
          <w:lang w:val="uk-UA"/>
        </w:rPr>
        <w:t>1).</w:t>
      </w:r>
      <w:r w:rsidR="00440411">
        <w:rPr>
          <w:rFonts w:ascii="Times New Roman" w:hAnsi="Times New Roman"/>
          <w:sz w:val="28"/>
          <w:szCs w:val="28"/>
          <w:lang w:val="uk-UA"/>
        </w:rPr>
        <w:t xml:space="preserve"> Так, у дітей першої групи, хворих на атопічні захворювання, ми спостерігали усі прояви запальних захворювань пародонту, а саме кровоточивість, гіперемію, набряк, зміну кольору та структури ясен. Середній рівень індексу </w:t>
      </w:r>
      <w:r w:rsidR="00440411">
        <w:rPr>
          <w:rFonts w:ascii="Times New Roman" w:hAnsi="Times New Roman"/>
          <w:sz w:val="28"/>
          <w:szCs w:val="28"/>
        </w:rPr>
        <w:t>SBI</w:t>
      </w:r>
      <w:r w:rsidR="00440411" w:rsidRPr="00440411">
        <w:rPr>
          <w:rFonts w:ascii="Times New Roman" w:hAnsi="Times New Roman"/>
          <w:sz w:val="28"/>
          <w:szCs w:val="28"/>
          <w:lang w:val="ru-RU"/>
        </w:rPr>
        <w:t xml:space="preserve"> </w:t>
      </w:r>
      <w:r w:rsidR="00440411">
        <w:rPr>
          <w:rFonts w:ascii="Times New Roman" w:hAnsi="Times New Roman"/>
          <w:sz w:val="28"/>
          <w:szCs w:val="28"/>
          <w:lang w:val="uk-UA"/>
        </w:rPr>
        <w:t>у даній групі дітей складав 3,42</w:t>
      </w:r>
      <w:r w:rsidR="00281A7C">
        <w:rPr>
          <w:rFonts w:ascii="Times New Roman" w:hAnsi="Times New Roman"/>
          <w:sz w:val="28"/>
          <w:szCs w:val="28"/>
          <w:lang w:val="uk-UA"/>
        </w:rPr>
        <w:t xml:space="preserve"> </w:t>
      </w:r>
      <w:r w:rsidR="00440411">
        <w:rPr>
          <w:rFonts w:ascii="Times New Roman" w:hAnsi="Times New Roman"/>
          <w:sz w:val="28"/>
          <w:szCs w:val="28"/>
          <w:lang w:val="uk-UA"/>
        </w:rPr>
        <w:t>±</w:t>
      </w:r>
      <w:r w:rsidR="00281A7C">
        <w:rPr>
          <w:rFonts w:ascii="Times New Roman" w:hAnsi="Times New Roman"/>
          <w:sz w:val="28"/>
          <w:szCs w:val="28"/>
          <w:lang w:val="uk-UA"/>
        </w:rPr>
        <w:t xml:space="preserve"> </w:t>
      </w:r>
      <w:r w:rsidR="00440411">
        <w:rPr>
          <w:rFonts w:ascii="Times New Roman" w:hAnsi="Times New Roman"/>
          <w:sz w:val="28"/>
          <w:szCs w:val="28"/>
          <w:lang w:val="uk-UA"/>
        </w:rPr>
        <w:t>0,42 бали. Після діагностич</w:t>
      </w:r>
      <w:r w:rsidR="00E318DC">
        <w:rPr>
          <w:rFonts w:ascii="Times New Roman" w:hAnsi="Times New Roman"/>
          <w:sz w:val="28"/>
          <w:szCs w:val="28"/>
          <w:lang w:val="uk-UA"/>
        </w:rPr>
        <w:t>них заходів, нами були здійснена концептуально нова програма лікування та профілактики гінгівіту у дітей на тлі атопії, яка полягала у корекції імунометаболічного статусу та індивідуальної гігієни порожнини рота.</w:t>
      </w:r>
      <w:r w:rsidR="00440411">
        <w:rPr>
          <w:rFonts w:ascii="Times New Roman" w:hAnsi="Times New Roman"/>
          <w:sz w:val="28"/>
          <w:szCs w:val="28"/>
          <w:lang w:val="uk-UA"/>
        </w:rPr>
        <w:t xml:space="preserve"> Аналіз показників у динаміці, через 1 місяць показав покращення стану тканин пародонту, що проявлялося у ліквідації ознак запалення, при цьому індекс </w:t>
      </w:r>
      <w:r w:rsidR="00440411">
        <w:rPr>
          <w:rFonts w:ascii="Times New Roman" w:hAnsi="Times New Roman"/>
          <w:sz w:val="28"/>
          <w:szCs w:val="28"/>
        </w:rPr>
        <w:t>SBI</w:t>
      </w:r>
      <w:r w:rsidR="00440411" w:rsidRPr="00440411">
        <w:rPr>
          <w:rFonts w:ascii="Times New Roman" w:hAnsi="Times New Roman"/>
          <w:sz w:val="28"/>
          <w:szCs w:val="28"/>
          <w:lang w:val="uk-UA"/>
        </w:rPr>
        <w:t xml:space="preserve"> </w:t>
      </w:r>
      <w:r w:rsidR="00440411">
        <w:rPr>
          <w:rFonts w:ascii="Times New Roman" w:hAnsi="Times New Roman"/>
          <w:sz w:val="28"/>
          <w:szCs w:val="28"/>
          <w:lang w:val="uk-UA"/>
        </w:rPr>
        <w:t>дорівнював 0,11</w:t>
      </w:r>
      <w:r w:rsidR="00281A7C">
        <w:rPr>
          <w:rFonts w:ascii="Times New Roman" w:hAnsi="Times New Roman"/>
          <w:sz w:val="28"/>
          <w:szCs w:val="28"/>
          <w:lang w:val="uk-UA"/>
        </w:rPr>
        <w:t xml:space="preserve"> </w:t>
      </w:r>
      <w:r w:rsidR="00440411"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440411" w:rsidRPr="002804DE">
        <w:rPr>
          <w:rFonts w:ascii="Times New Roman" w:hAnsi="Times New Roman"/>
          <w:sz w:val="28"/>
          <w:szCs w:val="28"/>
          <w:lang w:val="uk-UA"/>
        </w:rPr>
        <w:t>0,35</w:t>
      </w:r>
      <w:r w:rsidR="00440411">
        <w:rPr>
          <w:rFonts w:ascii="Times New Roman" w:hAnsi="Times New Roman"/>
          <w:sz w:val="28"/>
          <w:szCs w:val="28"/>
          <w:lang w:val="uk-UA"/>
        </w:rPr>
        <w:t xml:space="preserve"> бали, що склало статистично значиму різницю із початковими показниками. Зниження рівню індексу </w:t>
      </w:r>
      <w:r w:rsidR="00440411">
        <w:rPr>
          <w:rFonts w:ascii="Times New Roman" w:hAnsi="Times New Roman"/>
          <w:sz w:val="28"/>
          <w:szCs w:val="28"/>
        </w:rPr>
        <w:t>SBI</w:t>
      </w:r>
      <w:r w:rsidR="00440411" w:rsidRPr="00CB6B2B">
        <w:rPr>
          <w:rFonts w:ascii="Times New Roman" w:hAnsi="Times New Roman"/>
          <w:sz w:val="28"/>
          <w:szCs w:val="28"/>
          <w:lang w:val="uk-UA"/>
        </w:rPr>
        <w:t xml:space="preserve"> </w:t>
      </w:r>
      <w:r w:rsidR="00440411">
        <w:rPr>
          <w:rFonts w:ascii="Times New Roman" w:hAnsi="Times New Roman"/>
          <w:sz w:val="28"/>
          <w:szCs w:val="28"/>
          <w:lang w:val="uk-UA"/>
        </w:rPr>
        <w:t xml:space="preserve">та відсутність клінічних ознак </w:t>
      </w:r>
      <w:r w:rsidR="00CB6B2B">
        <w:rPr>
          <w:rFonts w:ascii="Times New Roman" w:hAnsi="Times New Roman"/>
          <w:sz w:val="28"/>
          <w:szCs w:val="28"/>
          <w:lang w:val="uk-UA"/>
        </w:rPr>
        <w:t xml:space="preserve">хронічного гінгівіту свідчить про ефективність запропонованої методики. Динаміку показників індексу </w:t>
      </w:r>
      <w:r w:rsidR="00CB6B2B">
        <w:rPr>
          <w:rFonts w:ascii="Times New Roman" w:hAnsi="Times New Roman"/>
          <w:sz w:val="28"/>
          <w:szCs w:val="28"/>
        </w:rPr>
        <w:t>SBI</w:t>
      </w:r>
      <w:r w:rsidR="00CB6B2B" w:rsidRPr="00CB6B2B">
        <w:rPr>
          <w:rFonts w:ascii="Times New Roman" w:hAnsi="Times New Roman"/>
          <w:sz w:val="28"/>
          <w:szCs w:val="28"/>
          <w:lang w:val="uk-UA"/>
        </w:rPr>
        <w:t xml:space="preserve"> </w:t>
      </w:r>
      <w:r w:rsidR="00CB6B2B">
        <w:rPr>
          <w:rFonts w:ascii="Times New Roman" w:hAnsi="Times New Roman"/>
          <w:sz w:val="28"/>
          <w:szCs w:val="28"/>
          <w:lang w:val="uk-UA"/>
        </w:rPr>
        <w:t>ми спостерігали протягом року, через три місяці індекс дорівнював 0,16</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0,21</w:t>
      </w:r>
      <w:r w:rsidR="00CB6B2B">
        <w:rPr>
          <w:rFonts w:ascii="Times New Roman" w:hAnsi="Times New Roman"/>
          <w:sz w:val="28"/>
          <w:szCs w:val="28"/>
          <w:lang w:val="uk-UA"/>
        </w:rPr>
        <w:t xml:space="preserve"> балам, через шість місяців 0,19</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w:t>
      </w:r>
      <w:r w:rsidR="00281A7C">
        <w:rPr>
          <w:rFonts w:ascii="Times New Roman" w:hAnsi="Times New Roman"/>
          <w:sz w:val="28"/>
          <w:szCs w:val="28"/>
          <w:lang w:val="uk-UA"/>
        </w:rPr>
        <w:t xml:space="preserve"> </w:t>
      </w:r>
      <w:r w:rsidR="00CB6B2B" w:rsidRPr="002804DE">
        <w:rPr>
          <w:rFonts w:ascii="Times New Roman" w:hAnsi="Times New Roman"/>
          <w:sz w:val="28"/>
          <w:szCs w:val="28"/>
          <w:lang w:val="uk-UA"/>
        </w:rPr>
        <w:t>0,28</w:t>
      </w:r>
      <w:r w:rsidR="00CB6B2B">
        <w:rPr>
          <w:rFonts w:ascii="Times New Roman" w:hAnsi="Times New Roman"/>
          <w:sz w:val="28"/>
          <w:szCs w:val="28"/>
          <w:lang w:val="uk-UA"/>
        </w:rPr>
        <w:t xml:space="preserve"> балам, через дванадцять місяців </w:t>
      </w:r>
      <w:r w:rsidR="00CB6B2B" w:rsidRPr="00CB6B2B">
        <w:rPr>
          <w:rFonts w:ascii="Times New Roman" w:hAnsi="Times New Roman"/>
          <w:sz w:val="28"/>
          <w:szCs w:val="28"/>
          <w:lang w:val="uk-UA"/>
        </w:rPr>
        <w:t>0,17</w:t>
      </w:r>
      <w:r w:rsidR="00281A7C">
        <w:rPr>
          <w:rFonts w:ascii="Times New Roman" w:hAnsi="Times New Roman"/>
          <w:sz w:val="28"/>
          <w:szCs w:val="28"/>
          <w:lang w:val="uk-UA"/>
        </w:rPr>
        <w:t xml:space="preserve"> </w:t>
      </w:r>
      <w:r w:rsidR="00CB6B2B" w:rsidRPr="00CB6B2B">
        <w:rPr>
          <w:rFonts w:ascii="Times New Roman" w:hAnsi="Times New Roman" w:cs="Times New Roman"/>
          <w:sz w:val="28"/>
          <w:szCs w:val="28"/>
          <w:lang w:val="uk-UA"/>
        </w:rPr>
        <w:t>±</w:t>
      </w:r>
      <w:r w:rsidR="00281A7C">
        <w:rPr>
          <w:rFonts w:ascii="Times New Roman" w:hAnsi="Times New Roman" w:cs="Times New Roman"/>
          <w:sz w:val="28"/>
          <w:szCs w:val="28"/>
          <w:lang w:val="uk-UA"/>
        </w:rPr>
        <w:t xml:space="preserve"> </w:t>
      </w:r>
      <w:r w:rsidR="00CB6B2B" w:rsidRPr="00CB6B2B">
        <w:rPr>
          <w:rFonts w:ascii="Times New Roman" w:hAnsi="Times New Roman" w:cs="Times New Roman"/>
          <w:sz w:val="28"/>
          <w:szCs w:val="28"/>
          <w:lang w:val="uk-UA"/>
        </w:rPr>
        <w:t>0,14</w:t>
      </w:r>
      <w:r w:rsidR="00CB6B2B">
        <w:rPr>
          <w:rFonts w:ascii="Times New Roman" w:hAnsi="Times New Roman" w:cs="Times New Roman"/>
          <w:sz w:val="28"/>
          <w:szCs w:val="28"/>
          <w:lang w:val="uk-UA"/>
        </w:rPr>
        <w:t xml:space="preserve"> балам. Згідно з отриманими даними, статистично значимої різниці між показниками індексу </w:t>
      </w:r>
      <w:r w:rsidR="00CB6B2B">
        <w:rPr>
          <w:rFonts w:ascii="Times New Roman" w:hAnsi="Times New Roman" w:cs="Times New Roman"/>
          <w:sz w:val="28"/>
          <w:szCs w:val="28"/>
        </w:rPr>
        <w:t>SBI</w:t>
      </w:r>
      <w:r w:rsidR="00CB6B2B" w:rsidRPr="00CB6B2B">
        <w:rPr>
          <w:rFonts w:ascii="Times New Roman" w:hAnsi="Times New Roman" w:cs="Times New Roman"/>
          <w:sz w:val="28"/>
          <w:szCs w:val="28"/>
          <w:lang w:val="ru-RU"/>
        </w:rPr>
        <w:t xml:space="preserve"> </w:t>
      </w:r>
      <w:r w:rsidR="00CB6B2B">
        <w:rPr>
          <w:rFonts w:ascii="Times New Roman" w:hAnsi="Times New Roman" w:cs="Times New Roman"/>
          <w:sz w:val="28"/>
          <w:szCs w:val="28"/>
          <w:lang w:val="uk-UA"/>
        </w:rPr>
        <w:t>у через один, три, шість та дванадцять місяців не спостерігалось, що говорить про довготривалий ефект запропонованої методики лікування хронічного гінгівіту</w:t>
      </w:r>
      <w:r w:rsidR="002E1F26">
        <w:rPr>
          <w:rFonts w:ascii="Times New Roman" w:hAnsi="Times New Roman" w:cs="Times New Roman"/>
          <w:sz w:val="28"/>
          <w:szCs w:val="28"/>
          <w:lang w:val="uk-UA"/>
        </w:rPr>
        <w:t xml:space="preserve"> </w:t>
      </w:r>
      <w:r w:rsidR="002E1F26" w:rsidRPr="002E1F26">
        <w:rPr>
          <w:rFonts w:ascii="Times New Roman" w:hAnsi="Times New Roman" w:cs="Times New Roman"/>
          <w:sz w:val="28"/>
          <w:szCs w:val="28"/>
          <w:lang w:val="ru-RU"/>
        </w:rPr>
        <w:t>[</w:t>
      </w:r>
      <w:r w:rsidR="002E1F26">
        <w:rPr>
          <w:rFonts w:ascii="Times New Roman" w:hAnsi="Times New Roman" w:cs="Times New Roman"/>
          <w:sz w:val="28"/>
          <w:szCs w:val="28"/>
          <w:lang w:val="ru-RU"/>
        </w:rPr>
        <w:t>253-255</w:t>
      </w:r>
      <w:r w:rsidR="002E1F26" w:rsidRPr="002E1F26">
        <w:rPr>
          <w:rFonts w:ascii="Times New Roman" w:hAnsi="Times New Roman" w:cs="Times New Roman"/>
          <w:sz w:val="28"/>
          <w:szCs w:val="28"/>
          <w:lang w:val="ru-RU"/>
        </w:rPr>
        <w:t>]</w:t>
      </w:r>
      <w:r w:rsidR="00CB6B2B">
        <w:rPr>
          <w:rFonts w:ascii="Times New Roman" w:hAnsi="Times New Roman" w:cs="Times New Roman"/>
          <w:sz w:val="28"/>
          <w:szCs w:val="28"/>
          <w:lang w:val="uk-UA"/>
        </w:rPr>
        <w:t>.</w:t>
      </w:r>
    </w:p>
    <w:p w14:paraId="79C44D59" w14:textId="2981F41C" w:rsidR="00E318DC" w:rsidRPr="00CB6B2B" w:rsidRDefault="00E318DC" w:rsidP="00E318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другій групі дітей без виражених ознак гінгівіту на тлі атопічних захворювань початковий рівень індексу </w:t>
      </w:r>
      <w:r>
        <w:rPr>
          <w:rFonts w:ascii="Times New Roman" w:hAnsi="Times New Roman"/>
          <w:sz w:val="28"/>
          <w:szCs w:val="28"/>
        </w:rPr>
        <w:t>SBI</w:t>
      </w:r>
      <w:r w:rsidRPr="00303EA7">
        <w:rPr>
          <w:rFonts w:ascii="Times New Roman" w:hAnsi="Times New Roman"/>
          <w:sz w:val="28"/>
          <w:szCs w:val="28"/>
          <w:lang w:val="uk-UA"/>
        </w:rPr>
        <w:t xml:space="preserve"> </w:t>
      </w:r>
      <w:r>
        <w:rPr>
          <w:rFonts w:ascii="Times New Roman" w:hAnsi="Times New Roman"/>
          <w:sz w:val="28"/>
          <w:szCs w:val="28"/>
          <w:lang w:val="uk-UA"/>
        </w:rPr>
        <w:t xml:space="preserve">дорівнював 0,49 ± 0,22 балам. Здійснення запропонованих нами концептуально нових профілактичних заходів призвело до статистично значимого зниження рівню індексу </w:t>
      </w:r>
      <w:r>
        <w:rPr>
          <w:rFonts w:ascii="Times New Roman" w:hAnsi="Times New Roman"/>
          <w:sz w:val="28"/>
          <w:szCs w:val="28"/>
        </w:rPr>
        <w:t>SBI</w:t>
      </w:r>
      <w:r w:rsidRPr="00303EA7">
        <w:rPr>
          <w:rFonts w:ascii="Times New Roman" w:hAnsi="Times New Roman"/>
          <w:sz w:val="28"/>
          <w:szCs w:val="28"/>
          <w:lang w:val="uk-UA"/>
        </w:rPr>
        <w:t xml:space="preserve"> </w:t>
      </w:r>
      <w:r>
        <w:rPr>
          <w:rFonts w:ascii="Times New Roman" w:hAnsi="Times New Roman"/>
          <w:sz w:val="28"/>
          <w:szCs w:val="28"/>
          <w:lang w:val="uk-UA"/>
        </w:rPr>
        <w:t xml:space="preserve">до рівня 0,08 ± 0,1 балів через 1 місяць, 0,11 ± 0,12 балів через три місяці, 0,13 ± 0,14 балів через 6 місяців та 0,13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0,13 через 12 місяців. При аналізі отриманих клінічних даних після здійснення заходів профілактики, спостерігається чітка тенденція до покращення стану тканин пародонту та збереження стабільності досягнутого результату. </w:t>
      </w:r>
    </w:p>
    <w:p w14:paraId="0207DABD" w14:textId="77FE331E" w:rsidR="001624CF" w:rsidRPr="00C23A80" w:rsidRDefault="001624CF" w:rsidP="001624CF">
      <w:pPr>
        <w:spacing w:after="0" w:line="360" w:lineRule="auto"/>
        <w:ind w:firstLine="709"/>
        <w:jc w:val="right"/>
        <w:rPr>
          <w:rFonts w:ascii="Times New Roman" w:hAnsi="Times New Roman"/>
          <w:sz w:val="28"/>
          <w:szCs w:val="28"/>
          <w:lang w:val="uk-UA"/>
        </w:rPr>
      </w:pPr>
      <w:r w:rsidRPr="00C23A80">
        <w:rPr>
          <w:rFonts w:ascii="Times New Roman" w:hAnsi="Times New Roman"/>
          <w:sz w:val="28"/>
          <w:szCs w:val="28"/>
          <w:lang w:val="uk-UA"/>
        </w:rPr>
        <w:t xml:space="preserve">Таблиця </w:t>
      </w:r>
      <w:r w:rsidR="00FB72F7">
        <w:rPr>
          <w:rFonts w:ascii="Times New Roman" w:hAnsi="Times New Roman"/>
          <w:sz w:val="28"/>
          <w:szCs w:val="28"/>
          <w:lang w:val="uk-UA"/>
        </w:rPr>
        <w:t>4</w:t>
      </w:r>
      <w:r w:rsidR="0044210C" w:rsidRPr="00C23A80">
        <w:rPr>
          <w:rFonts w:ascii="Times New Roman" w:hAnsi="Times New Roman"/>
          <w:sz w:val="28"/>
          <w:szCs w:val="28"/>
          <w:lang w:val="uk-UA"/>
        </w:rPr>
        <w:t>.</w:t>
      </w:r>
      <w:r w:rsidRPr="00C23A80">
        <w:rPr>
          <w:rFonts w:ascii="Times New Roman" w:hAnsi="Times New Roman"/>
          <w:sz w:val="28"/>
          <w:szCs w:val="28"/>
          <w:lang w:val="uk-UA"/>
        </w:rPr>
        <w:t>1</w:t>
      </w:r>
    </w:p>
    <w:p w14:paraId="025F4241" w14:textId="77777777" w:rsidR="001624CF" w:rsidRPr="00FB72F7" w:rsidRDefault="001624CF" w:rsidP="00E45A7E">
      <w:pPr>
        <w:spacing w:line="360" w:lineRule="auto"/>
        <w:ind w:firstLine="709"/>
        <w:jc w:val="center"/>
        <w:rPr>
          <w:rFonts w:ascii="Times New Roman" w:hAnsi="Times New Roman"/>
          <w:sz w:val="28"/>
          <w:szCs w:val="28"/>
          <w:lang w:val="uk-UA"/>
        </w:rPr>
      </w:pPr>
      <w:r w:rsidRPr="00FB72F7">
        <w:rPr>
          <w:rFonts w:ascii="Times New Roman" w:hAnsi="Times New Roman"/>
          <w:sz w:val="28"/>
          <w:szCs w:val="28"/>
          <w:lang w:val="uk-UA"/>
        </w:rPr>
        <w:t xml:space="preserve">Показники індексу </w:t>
      </w:r>
      <w:r w:rsidRPr="00FB72F7">
        <w:rPr>
          <w:rFonts w:ascii="Times New Roman" w:hAnsi="Times New Roman"/>
          <w:sz w:val="28"/>
          <w:szCs w:val="28"/>
        </w:rPr>
        <w:t>SBI</w:t>
      </w:r>
      <w:r w:rsidRPr="00FB72F7">
        <w:rPr>
          <w:rFonts w:ascii="Times New Roman" w:hAnsi="Times New Roman"/>
          <w:sz w:val="28"/>
          <w:szCs w:val="28"/>
          <w:lang w:val="ru-RU"/>
        </w:rPr>
        <w:t xml:space="preserve"> </w:t>
      </w:r>
      <w:r w:rsidRPr="00FB72F7">
        <w:rPr>
          <w:rFonts w:ascii="Times New Roman" w:hAnsi="Times New Roman"/>
          <w:sz w:val="28"/>
          <w:szCs w:val="28"/>
          <w:lang w:val="uk-UA"/>
        </w:rPr>
        <w:t>у динаміці</w:t>
      </w:r>
    </w:p>
    <w:tbl>
      <w:tblPr>
        <w:tblW w:w="8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418"/>
        <w:gridCol w:w="1417"/>
        <w:gridCol w:w="1483"/>
      </w:tblGrid>
      <w:tr w:rsidR="001624CF" w:rsidRPr="002804DE" w14:paraId="6F6E41F2" w14:textId="77777777" w:rsidTr="00043875">
        <w:trPr>
          <w:trHeight w:val="471"/>
          <w:jc w:val="center"/>
        </w:trPr>
        <w:tc>
          <w:tcPr>
            <w:tcW w:w="1838" w:type="dxa"/>
            <w:vMerge w:val="restart"/>
            <w:shd w:val="clear" w:color="auto" w:fill="auto"/>
          </w:tcPr>
          <w:p w14:paraId="1B7D76EF" w14:textId="650C11F4" w:rsidR="001624CF" w:rsidRPr="002804DE" w:rsidRDefault="00043875" w:rsidP="00043875">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153" w:type="dxa"/>
            <w:gridSpan w:val="5"/>
            <w:shd w:val="clear" w:color="auto" w:fill="auto"/>
          </w:tcPr>
          <w:p w14:paraId="37486598" w14:textId="77777777" w:rsidR="001624CF" w:rsidRPr="002804DE" w:rsidRDefault="001624CF" w:rsidP="00043875">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sidRPr="002804DE">
              <w:rPr>
                <w:rFonts w:ascii="Times New Roman" w:hAnsi="Times New Roman"/>
                <w:sz w:val="28"/>
                <w:szCs w:val="28"/>
              </w:rPr>
              <w:t>SBI</w:t>
            </w:r>
            <w:r w:rsidRPr="002804DE">
              <w:rPr>
                <w:rFonts w:ascii="Times New Roman" w:hAnsi="Times New Roman"/>
                <w:sz w:val="28"/>
                <w:szCs w:val="28"/>
                <w:lang w:val="uk-UA"/>
              </w:rPr>
              <w:t xml:space="preserve"> (бали)</w:t>
            </w:r>
          </w:p>
        </w:tc>
      </w:tr>
      <w:tr w:rsidR="00043875" w:rsidRPr="00043875" w14:paraId="43A37A1A" w14:textId="6D6E403D" w:rsidTr="00217982">
        <w:trPr>
          <w:trHeight w:val="486"/>
          <w:jc w:val="center"/>
        </w:trPr>
        <w:tc>
          <w:tcPr>
            <w:tcW w:w="1838" w:type="dxa"/>
            <w:vMerge/>
            <w:shd w:val="clear" w:color="auto" w:fill="auto"/>
          </w:tcPr>
          <w:p w14:paraId="73E4D6EC" w14:textId="77777777" w:rsidR="00043875" w:rsidRPr="002804DE" w:rsidRDefault="00043875" w:rsidP="00043875">
            <w:pPr>
              <w:spacing w:after="0" w:line="360" w:lineRule="auto"/>
              <w:ind w:hanging="5"/>
              <w:jc w:val="center"/>
              <w:rPr>
                <w:rFonts w:ascii="Times New Roman" w:hAnsi="Times New Roman"/>
                <w:sz w:val="28"/>
                <w:szCs w:val="28"/>
                <w:lang w:val="uk-UA"/>
              </w:rPr>
            </w:pPr>
          </w:p>
        </w:tc>
        <w:tc>
          <w:tcPr>
            <w:tcW w:w="1418" w:type="dxa"/>
            <w:shd w:val="clear" w:color="auto" w:fill="auto"/>
          </w:tcPr>
          <w:p w14:paraId="2D161F3C" w14:textId="361363E5" w:rsidR="00043875" w:rsidRPr="002804DE" w:rsidRDefault="00043875" w:rsidP="00043875">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4B9123E" w14:textId="1A3668DF" w:rsidR="00043875" w:rsidRPr="002804DE" w:rsidRDefault="00043875" w:rsidP="00043875">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418" w:type="dxa"/>
            <w:shd w:val="clear" w:color="auto" w:fill="auto"/>
          </w:tcPr>
          <w:p w14:paraId="0AFDBF60" w14:textId="77777777" w:rsidR="00043875" w:rsidRPr="002804DE" w:rsidRDefault="00043875" w:rsidP="00043875">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417" w:type="dxa"/>
            <w:shd w:val="clear" w:color="auto" w:fill="auto"/>
          </w:tcPr>
          <w:p w14:paraId="4F93155F" w14:textId="48C256E7" w:rsidR="00043875" w:rsidRPr="002804DE" w:rsidRDefault="00043875"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39A3529B" w14:textId="25789872" w:rsidR="00043875" w:rsidRPr="002804DE" w:rsidRDefault="00043875"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043875" w:rsidRPr="00043875" w14:paraId="20426C48" w14:textId="121FE905" w:rsidTr="00303EA7">
        <w:trPr>
          <w:trHeight w:val="429"/>
          <w:jc w:val="center"/>
        </w:trPr>
        <w:tc>
          <w:tcPr>
            <w:tcW w:w="1838" w:type="dxa"/>
            <w:shd w:val="clear" w:color="auto" w:fill="auto"/>
          </w:tcPr>
          <w:p w14:paraId="71900212"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3CAC6972" w14:textId="5E578184" w:rsidR="00043875" w:rsidRPr="002804DE" w:rsidRDefault="00043875" w:rsidP="00043875">
            <w:pPr>
              <w:spacing w:after="0" w:line="360" w:lineRule="auto"/>
              <w:rPr>
                <w:rFonts w:ascii="Times New Roman" w:hAnsi="Times New Roman"/>
                <w:sz w:val="28"/>
                <w:szCs w:val="28"/>
                <w:lang w:val="uk-UA"/>
              </w:rPr>
            </w:pPr>
            <w:r>
              <w:rPr>
                <w:rFonts w:ascii="Times New Roman" w:hAnsi="Times New Roman"/>
                <w:sz w:val="28"/>
                <w:szCs w:val="28"/>
                <w:lang w:val="uk-UA"/>
              </w:rPr>
              <w:t>3,42±0,42</w:t>
            </w:r>
          </w:p>
        </w:tc>
        <w:tc>
          <w:tcPr>
            <w:tcW w:w="1417" w:type="dxa"/>
            <w:shd w:val="clear" w:color="auto" w:fill="auto"/>
          </w:tcPr>
          <w:p w14:paraId="3D560C76" w14:textId="5C3AD298" w:rsidR="00043875" w:rsidRPr="002804DE" w:rsidRDefault="009B26FC"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0,49±0,22</w:t>
            </w:r>
          </w:p>
        </w:tc>
        <w:tc>
          <w:tcPr>
            <w:tcW w:w="1418" w:type="dxa"/>
            <w:shd w:val="clear" w:color="auto" w:fill="auto"/>
          </w:tcPr>
          <w:p w14:paraId="2928E0BD" w14:textId="3EFAA4A9" w:rsidR="00043875" w:rsidRPr="002804DE" w:rsidRDefault="00EC6D0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3,33±0,43</w:t>
            </w:r>
          </w:p>
        </w:tc>
        <w:tc>
          <w:tcPr>
            <w:tcW w:w="1417" w:type="dxa"/>
            <w:shd w:val="clear" w:color="auto" w:fill="auto"/>
          </w:tcPr>
          <w:p w14:paraId="1FDEC78C" w14:textId="15831C9C" w:rsidR="00043875" w:rsidRPr="002804DE" w:rsidRDefault="009B26FC"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0,47</w:t>
            </w:r>
            <w:r>
              <w:rPr>
                <w:rFonts w:ascii="Times New Roman" w:hAnsi="Times New Roman" w:cs="Times New Roman"/>
                <w:sz w:val="28"/>
                <w:szCs w:val="28"/>
                <w:lang w:val="uk-UA"/>
              </w:rPr>
              <w:t>±</w:t>
            </w:r>
            <w:r>
              <w:rPr>
                <w:rFonts w:ascii="Times New Roman" w:hAnsi="Times New Roman"/>
                <w:sz w:val="28"/>
                <w:szCs w:val="28"/>
                <w:lang w:val="uk-UA"/>
              </w:rPr>
              <w:t>0,23</w:t>
            </w:r>
          </w:p>
        </w:tc>
        <w:tc>
          <w:tcPr>
            <w:tcW w:w="1483" w:type="dxa"/>
            <w:shd w:val="clear" w:color="auto" w:fill="auto"/>
          </w:tcPr>
          <w:p w14:paraId="6D3B14EB" w14:textId="52460F38" w:rsidR="00043875" w:rsidRPr="00B3009F" w:rsidRDefault="009B26FC" w:rsidP="00043875">
            <w:pPr>
              <w:spacing w:after="0" w:line="360" w:lineRule="auto"/>
              <w:jc w:val="center"/>
              <w:rPr>
                <w:rFonts w:ascii="Times New Roman" w:hAnsi="Times New Roman"/>
                <w:sz w:val="28"/>
                <w:szCs w:val="28"/>
              </w:rPr>
            </w:pPr>
            <w:r>
              <w:rPr>
                <w:rFonts w:ascii="Times New Roman" w:hAnsi="Times New Roman"/>
                <w:sz w:val="28"/>
                <w:szCs w:val="28"/>
                <w:lang w:val="uk-UA"/>
              </w:rPr>
              <w:t>0,48</w:t>
            </w:r>
            <w:r>
              <w:rPr>
                <w:rFonts w:ascii="Times New Roman" w:hAnsi="Times New Roman" w:cs="Times New Roman"/>
                <w:sz w:val="28"/>
                <w:szCs w:val="28"/>
                <w:lang w:val="uk-UA"/>
              </w:rPr>
              <w:t>±</w:t>
            </w:r>
            <w:r>
              <w:rPr>
                <w:rFonts w:ascii="Times New Roman" w:hAnsi="Times New Roman"/>
                <w:sz w:val="28"/>
                <w:szCs w:val="28"/>
                <w:lang w:val="uk-UA"/>
              </w:rPr>
              <w:t>0,21</w:t>
            </w:r>
          </w:p>
        </w:tc>
      </w:tr>
      <w:tr w:rsidR="00043875" w:rsidRPr="00043875" w14:paraId="7D61A5BB" w14:textId="3A3513DA" w:rsidTr="00217982">
        <w:trPr>
          <w:trHeight w:val="427"/>
          <w:jc w:val="center"/>
        </w:trPr>
        <w:tc>
          <w:tcPr>
            <w:tcW w:w="1838" w:type="dxa"/>
            <w:shd w:val="clear" w:color="auto" w:fill="auto"/>
          </w:tcPr>
          <w:p w14:paraId="2F40D3C9"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 xml:space="preserve">Через 1 місяць </w:t>
            </w:r>
          </w:p>
        </w:tc>
        <w:tc>
          <w:tcPr>
            <w:tcW w:w="1418" w:type="dxa"/>
            <w:shd w:val="clear" w:color="auto" w:fill="auto"/>
          </w:tcPr>
          <w:p w14:paraId="65098063" w14:textId="20EEC765"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0,11</w:t>
            </w:r>
            <w:r w:rsidR="00043875" w:rsidRPr="002804DE">
              <w:rPr>
                <w:rFonts w:ascii="Times New Roman" w:hAnsi="Times New Roman"/>
                <w:sz w:val="28"/>
                <w:szCs w:val="28"/>
                <w:lang w:val="uk-UA"/>
              </w:rPr>
              <w:t>±0,35*</w:t>
            </w:r>
          </w:p>
        </w:tc>
        <w:tc>
          <w:tcPr>
            <w:tcW w:w="1417" w:type="dxa"/>
            <w:shd w:val="clear" w:color="auto" w:fill="auto"/>
          </w:tcPr>
          <w:p w14:paraId="388F42E9" w14:textId="3D9AF151"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0,08±0,1</w:t>
            </w:r>
            <w:r w:rsidR="00043875" w:rsidRPr="002804DE">
              <w:rPr>
                <w:rFonts w:ascii="Times New Roman" w:hAnsi="Times New Roman"/>
                <w:sz w:val="28"/>
                <w:szCs w:val="28"/>
                <w:lang w:val="uk-UA"/>
              </w:rPr>
              <w:t>*</w:t>
            </w:r>
          </w:p>
        </w:tc>
        <w:tc>
          <w:tcPr>
            <w:tcW w:w="1418" w:type="dxa"/>
            <w:shd w:val="clear" w:color="auto" w:fill="auto"/>
          </w:tcPr>
          <w:p w14:paraId="6B06C287" w14:textId="236DEE59"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0,19±0,13</w:t>
            </w:r>
            <w:r w:rsidRPr="002804DE">
              <w:rPr>
                <w:rFonts w:ascii="Times New Roman" w:hAnsi="Times New Roman"/>
                <w:sz w:val="28"/>
                <w:szCs w:val="28"/>
                <w:lang w:val="uk-UA"/>
              </w:rPr>
              <w:t>*</w:t>
            </w:r>
          </w:p>
        </w:tc>
        <w:tc>
          <w:tcPr>
            <w:tcW w:w="1417" w:type="dxa"/>
            <w:shd w:val="clear" w:color="auto" w:fill="auto"/>
          </w:tcPr>
          <w:p w14:paraId="783222BD" w14:textId="73BF0F0A"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0,24</w:t>
            </w:r>
            <w:r>
              <w:rPr>
                <w:rFonts w:ascii="Times New Roman" w:hAnsi="Times New Roman" w:cs="Times New Roman"/>
                <w:sz w:val="28"/>
                <w:szCs w:val="28"/>
                <w:lang w:val="uk-UA"/>
              </w:rPr>
              <w:t>±</w:t>
            </w:r>
            <w:r>
              <w:rPr>
                <w:rFonts w:ascii="Times New Roman" w:hAnsi="Times New Roman"/>
                <w:sz w:val="28"/>
                <w:szCs w:val="28"/>
                <w:lang w:val="uk-UA"/>
              </w:rPr>
              <w:t>0,09</w:t>
            </w:r>
            <w:r w:rsidR="0099116B">
              <w:rPr>
                <w:rFonts w:ascii="Times New Roman" w:hAnsi="Times New Roman"/>
                <w:sz w:val="28"/>
                <w:szCs w:val="28"/>
                <w:lang w:val="uk-UA"/>
              </w:rPr>
              <w:t>*</w:t>
            </w:r>
          </w:p>
        </w:tc>
        <w:tc>
          <w:tcPr>
            <w:tcW w:w="1483" w:type="dxa"/>
            <w:shd w:val="clear" w:color="auto" w:fill="auto"/>
          </w:tcPr>
          <w:p w14:paraId="214767FE" w14:textId="5E4B0E19"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0,41</w:t>
            </w:r>
            <w:r>
              <w:rPr>
                <w:rFonts w:ascii="Times New Roman" w:hAnsi="Times New Roman" w:cs="Times New Roman"/>
                <w:sz w:val="28"/>
                <w:szCs w:val="28"/>
                <w:lang w:val="uk-UA"/>
              </w:rPr>
              <w:t>±</w:t>
            </w:r>
            <w:r>
              <w:rPr>
                <w:rFonts w:ascii="Times New Roman" w:hAnsi="Times New Roman"/>
                <w:sz w:val="28"/>
                <w:szCs w:val="28"/>
                <w:lang w:val="uk-UA"/>
              </w:rPr>
              <w:t>0,17</w:t>
            </w:r>
          </w:p>
        </w:tc>
      </w:tr>
      <w:tr w:rsidR="00043875" w:rsidRPr="002804DE" w14:paraId="5A593AE6" w14:textId="115D7864" w:rsidTr="00217982">
        <w:trPr>
          <w:trHeight w:val="442"/>
          <w:jc w:val="center"/>
        </w:trPr>
        <w:tc>
          <w:tcPr>
            <w:tcW w:w="1838" w:type="dxa"/>
            <w:shd w:val="clear" w:color="auto" w:fill="auto"/>
          </w:tcPr>
          <w:p w14:paraId="261FFE55"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Через 3 місяці</w:t>
            </w:r>
          </w:p>
        </w:tc>
        <w:tc>
          <w:tcPr>
            <w:tcW w:w="1418" w:type="dxa"/>
            <w:shd w:val="clear" w:color="auto" w:fill="auto"/>
          </w:tcPr>
          <w:p w14:paraId="346CBF0C" w14:textId="376411BD"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0,16</w:t>
            </w:r>
            <w:r w:rsidR="00043875" w:rsidRPr="002804DE">
              <w:rPr>
                <w:rFonts w:ascii="Times New Roman" w:hAnsi="Times New Roman"/>
                <w:sz w:val="28"/>
                <w:szCs w:val="28"/>
                <w:lang w:val="uk-UA"/>
              </w:rPr>
              <w:t>±0,21*</w:t>
            </w:r>
          </w:p>
        </w:tc>
        <w:tc>
          <w:tcPr>
            <w:tcW w:w="1417" w:type="dxa"/>
            <w:shd w:val="clear" w:color="auto" w:fill="auto"/>
          </w:tcPr>
          <w:p w14:paraId="4AEA03BA" w14:textId="5F5932CF"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0,11±0,12</w:t>
            </w:r>
            <w:r w:rsidR="00F42F7A" w:rsidRPr="00AE1C43">
              <w:rPr>
                <w:rFonts w:ascii="Times New Roman" w:hAnsi="Times New Roman"/>
                <w:sz w:val="28"/>
                <w:szCs w:val="28"/>
                <w:vertAlign w:val="superscript"/>
                <w:lang w:val="uk-UA"/>
              </w:rPr>
              <w:t>2</w:t>
            </w:r>
            <w:r w:rsidR="00043875" w:rsidRPr="002804DE">
              <w:rPr>
                <w:rFonts w:ascii="Times New Roman" w:hAnsi="Times New Roman"/>
                <w:sz w:val="28"/>
                <w:szCs w:val="28"/>
                <w:lang w:val="uk-UA"/>
              </w:rPr>
              <w:t>*</w:t>
            </w:r>
          </w:p>
        </w:tc>
        <w:tc>
          <w:tcPr>
            <w:tcW w:w="1418" w:type="dxa"/>
            <w:shd w:val="clear" w:color="auto" w:fill="auto"/>
          </w:tcPr>
          <w:p w14:paraId="0E9DE4A5" w14:textId="3C29499A" w:rsidR="00043875" w:rsidRPr="002804DE" w:rsidRDefault="00043875" w:rsidP="00043875">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0,</w:t>
            </w:r>
            <w:r w:rsidR="00217982">
              <w:rPr>
                <w:rFonts w:ascii="Times New Roman" w:hAnsi="Times New Roman"/>
                <w:sz w:val="28"/>
                <w:szCs w:val="28"/>
                <w:lang w:val="uk-UA"/>
              </w:rPr>
              <w:t>83±0,19</w:t>
            </w:r>
            <w:r w:rsidR="00217982" w:rsidRPr="002804DE">
              <w:rPr>
                <w:rFonts w:ascii="Times New Roman" w:hAnsi="Times New Roman"/>
                <w:sz w:val="28"/>
                <w:szCs w:val="28"/>
                <w:lang w:val="uk-UA"/>
              </w:rPr>
              <w:t>*</w:t>
            </w:r>
          </w:p>
        </w:tc>
        <w:tc>
          <w:tcPr>
            <w:tcW w:w="1417" w:type="dxa"/>
            <w:shd w:val="clear" w:color="auto" w:fill="auto"/>
          </w:tcPr>
          <w:p w14:paraId="542084E6" w14:textId="152B9725"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w:t>
            </w:r>
            <w:r>
              <w:rPr>
                <w:rFonts w:ascii="Times New Roman" w:hAnsi="Times New Roman" w:cs="Times New Roman"/>
                <w:sz w:val="28"/>
                <w:szCs w:val="28"/>
                <w:lang w:val="uk-UA"/>
              </w:rPr>
              <w:t>±</w:t>
            </w:r>
            <w:r>
              <w:rPr>
                <w:rFonts w:ascii="Times New Roman" w:hAnsi="Times New Roman"/>
                <w:sz w:val="28"/>
                <w:szCs w:val="28"/>
                <w:lang w:val="uk-UA"/>
              </w:rPr>
              <w:t>0,2</w:t>
            </w:r>
          </w:p>
        </w:tc>
        <w:tc>
          <w:tcPr>
            <w:tcW w:w="1483" w:type="dxa"/>
            <w:shd w:val="clear" w:color="auto" w:fill="auto"/>
          </w:tcPr>
          <w:p w14:paraId="49E05CC9" w14:textId="4245C439"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0,47</w:t>
            </w:r>
            <w:r>
              <w:rPr>
                <w:rFonts w:ascii="Times New Roman" w:hAnsi="Times New Roman" w:cs="Times New Roman"/>
                <w:sz w:val="28"/>
                <w:szCs w:val="28"/>
                <w:lang w:val="uk-UA"/>
              </w:rPr>
              <w:t>±</w:t>
            </w:r>
            <w:r>
              <w:rPr>
                <w:rFonts w:ascii="Times New Roman" w:hAnsi="Times New Roman"/>
                <w:sz w:val="28"/>
                <w:szCs w:val="28"/>
                <w:lang w:val="uk-UA"/>
              </w:rPr>
              <w:t>0,16</w:t>
            </w:r>
          </w:p>
        </w:tc>
      </w:tr>
      <w:tr w:rsidR="00043875" w:rsidRPr="002804DE" w14:paraId="15015C35" w14:textId="4296E498" w:rsidTr="0099116B">
        <w:trPr>
          <w:trHeight w:val="577"/>
          <w:jc w:val="center"/>
        </w:trPr>
        <w:tc>
          <w:tcPr>
            <w:tcW w:w="1838" w:type="dxa"/>
            <w:shd w:val="clear" w:color="auto" w:fill="auto"/>
          </w:tcPr>
          <w:p w14:paraId="2C3562CC" w14:textId="77777777" w:rsidR="00043875" w:rsidRPr="002804DE" w:rsidRDefault="00043875" w:rsidP="00043875">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171BEC67" w14:textId="4A1B7436" w:rsidR="00043875" w:rsidRPr="002804DE" w:rsidRDefault="00B3009F" w:rsidP="00043875">
            <w:pPr>
              <w:spacing w:after="0" w:line="360" w:lineRule="auto"/>
              <w:rPr>
                <w:rFonts w:ascii="Times New Roman" w:hAnsi="Times New Roman"/>
                <w:sz w:val="28"/>
                <w:szCs w:val="28"/>
                <w:lang w:val="uk-UA"/>
              </w:rPr>
            </w:pPr>
            <w:r>
              <w:rPr>
                <w:rFonts w:ascii="Times New Roman" w:hAnsi="Times New Roman"/>
                <w:sz w:val="28"/>
                <w:szCs w:val="28"/>
                <w:lang w:val="uk-UA"/>
              </w:rPr>
              <w:t>0,19</w:t>
            </w:r>
            <w:r w:rsidR="00043875" w:rsidRPr="002804DE">
              <w:rPr>
                <w:rFonts w:ascii="Times New Roman" w:hAnsi="Times New Roman"/>
                <w:sz w:val="28"/>
                <w:szCs w:val="28"/>
                <w:lang w:val="uk-UA"/>
              </w:rPr>
              <w:t>±0,28</w:t>
            </w:r>
            <w:r w:rsidR="00F42F7A" w:rsidRPr="00AE1C43">
              <w:rPr>
                <w:rFonts w:ascii="Times New Roman" w:hAnsi="Times New Roman"/>
                <w:sz w:val="28"/>
                <w:szCs w:val="28"/>
                <w:vertAlign w:val="superscript"/>
                <w:lang w:val="uk-UA"/>
              </w:rPr>
              <w:t>1</w:t>
            </w:r>
            <w:r w:rsidR="00043875" w:rsidRPr="002804DE">
              <w:rPr>
                <w:rFonts w:ascii="Times New Roman" w:hAnsi="Times New Roman"/>
                <w:sz w:val="28"/>
                <w:szCs w:val="28"/>
                <w:lang w:val="uk-UA"/>
              </w:rPr>
              <w:t>*</w:t>
            </w:r>
          </w:p>
        </w:tc>
        <w:tc>
          <w:tcPr>
            <w:tcW w:w="1417" w:type="dxa"/>
            <w:shd w:val="clear" w:color="auto" w:fill="auto"/>
          </w:tcPr>
          <w:p w14:paraId="2548D90D" w14:textId="276F0528" w:rsidR="00043875" w:rsidRPr="002804DE"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0,13±0,14</w:t>
            </w:r>
            <w:r w:rsidR="00F42F7A" w:rsidRPr="00AE1C43">
              <w:rPr>
                <w:rFonts w:ascii="Times New Roman" w:hAnsi="Times New Roman"/>
                <w:sz w:val="28"/>
                <w:szCs w:val="28"/>
                <w:vertAlign w:val="superscript"/>
                <w:lang w:val="uk-UA"/>
              </w:rPr>
              <w:t>2</w:t>
            </w:r>
            <w:r w:rsidR="00043875" w:rsidRPr="002804DE">
              <w:rPr>
                <w:rFonts w:ascii="Times New Roman" w:hAnsi="Times New Roman"/>
                <w:sz w:val="28"/>
                <w:szCs w:val="28"/>
                <w:lang w:val="uk-UA"/>
              </w:rPr>
              <w:t>*</w:t>
            </w:r>
          </w:p>
        </w:tc>
        <w:tc>
          <w:tcPr>
            <w:tcW w:w="1418" w:type="dxa"/>
            <w:shd w:val="clear" w:color="auto" w:fill="auto"/>
          </w:tcPr>
          <w:p w14:paraId="76BB92F3" w14:textId="16F97C74"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1,81±0,48</w:t>
            </w:r>
            <w:r w:rsidRPr="002804DE">
              <w:rPr>
                <w:rFonts w:ascii="Times New Roman" w:hAnsi="Times New Roman"/>
                <w:sz w:val="28"/>
                <w:szCs w:val="28"/>
                <w:lang w:val="uk-UA"/>
              </w:rPr>
              <w:t>*</w:t>
            </w:r>
          </w:p>
        </w:tc>
        <w:tc>
          <w:tcPr>
            <w:tcW w:w="1417" w:type="dxa"/>
            <w:shd w:val="clear" w:color="auto" w:fill="auto"/>
          </w:tcPr>
          <w:p w14:paraId="786924F2" w14:textId="49C1D9C2"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0,74</w:t>
            </w:r>
            <w:r>
              <w:rPr>
                <w:rFonts w:ascii="Times New Roman" w:hAnsi="Times New Roman" w:cs="Times New Roman"/>
                <w:sz w:val="28"/>
                <w:szCs w:val="28"/>
                <w:lang w:val="uk-UA"/>
              </w:rPr>
              <w:t>±</w:t>
            </w:r>
            <w:r>
              <w:rPr>
                <w:rFonts w:ascii="Times New Roman" w:hAnsi="Times New Roman"/>
                <w:sz w:val="28"/>
                <w:szCs w:val="28"/>
                <w:lang w:val="uk-UA"/>
              </w:rPr>
              <w:t>0,29</w:t>
            </w:r>
          </w:p>
        </w:tc>
        <w:tc>
          <w:tcPr>
            <w:tcW w:w="1483" w:type="dxa"/>
            <w:shd w:val="clear" w:color="auto" w:fill="auto"/>
          </w:tcPr>
          <w:p w14:paraId="31CC767C" w14:textId="58F08AB3"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0,4</w:t>
            </w:r>
            <w:r>
              <w:rPr>
                <w:rFonts w:ascii="Times New Roman" w:hAnsi="Times New Roman" w:cs="Times New Roman"/>
                <w:sz w:val="28"/>
                <w:szCs w:val="28"/>
                <w:lang w:val="uk-UA"/>
              </w:rPr>
              <w:t>±</w:t>
            </w:r>
            <w:r>
              <w:rPr>
                <w:rFonts w:ascii="Times New Roman" w:hAnsi="Times New Roman"/>
                <w:sz w:val="28"/>
                <w:szCs w:val="28"/>
                <w:lang w:val="uk-UA"/>
              </w:rPr>
              <w:t>0,17</w:t>
            </w:r>
          </w:p>
        </w:tc>
      </w:tr>
      <w:tr w:rsidR="00043875" w:rsidRPr="00B3009F" w14:paraId="74D1CC65" w14:textId="5C644F43" w:rsidTr="00217982">
        <w:trPr>
          <w:trHeight w:val="727"/>
          <w:jc w:val="center"/>
        </w:trPr>
        <w:tc>
          <w:tcPr>
            <w:tcW w:w="1838" w:type="dxa"/>
            <w:shd w:val="clear" w:color="auto" w:fill="auto"/>
          </w:tcPr>
          <w:p w14:paraId="689ED0B1" w14:textId="0D128CC3" w:rsidR="00043875" w:rsidRPr="002804DE" w:rsidRDefault="00043875" w:rsidP="00043875">
            <w:pPr>
              <w:spacing w:after="0"/>
              <w:ind w:hanging="5"/>
              <w:rPr>
                <w:rFonts w:ascii="Times New Roman" w:hAnsi="Times New Roman"/>
                <w:sz w:val="28"/>
                <w:szCs w:val="28"/>
                <w:lang w:val="uk-UA"/>
              </w:rPr>
            </w:pPr>
            <w:r>
              <w:rPr>
                <w:rFonts w:ascii="Times New Roman" w:hAnsi="Times New Roman"/>
                <w:sz w:val="28"/>
                <w:szCs w:val="28"/>
                <w:lang w:val="uk-UA"/>
              </w:rPr>
              <w:t>Через 1 рік</w:t>
            </w:r>
          </w:p>
        </w:tc>
        <w:tc>
          <w:tcPr>
            <w:tcW w:w="1418" w:type="dxa"/>
            <w:shd w:val="clear" w:color="auto" w:fill="auto"/>
          </w:tcPr>
          <w:p w14:paraId="2FB90DBD" w14:textId="1A4611DD" w:rsidR="00043875" w:rsidRPr="00B3009F" w:rsidRDefault="00B3009F" w:rsidP="00043875">
            <w:pPr>
              <w:spacing w:after="0" w:line="360" w:lineRule="auto"/>
              <w:rPr>
                <w:rFonts w:ascii="Times New Roman" w:hAnsi="Times New Roman"/>
                <w:sz w:val="28"/>
                <w:szCs w:val="28"/>
              </w:rPr>
            </w:pPr>
            <w:r>
              <w:rPr>
                <w:rFonts w:ascii="Times New Roman" w:hAnsi="Times New Roman"/>
                <w:sz w:val="28"/>
                <w:szCs w:val="28"/>
                <w:lang w:val="ru-RU"/>
              </w:rPr>
              <w:t>0,17</w:t>
            </w:r>
            <w:r>
              <w:rPr>
                <w:rFonts w:ascii="Times New Roman" w:hAnsi="Times New Roman" w:cs="Times New Roman"/>
                <w:sz w:val="28"/>
                <w:szCs w:val="28"/>
                <w:lang w:val="ru-RU"/>
              </w:rPr>
              <w:t>±0,14</w:t>
            </w:r>
            <w:r w:rsidR="00F42F7A" w:rsidRPr="00AE1C43">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6950D3AA" w14:textId="69258481" w:rsidR="00043875" w:rsidRPr="00B3009F" w:rsidRDefault="00B3009F"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0,13</w:t>
            </w:r>
            <w:r>
              <w:rPr>
                <w:rFonts w:ascii="Times New Roman" w:hAnsi="Times New Roman" w:cs="Times New Roman"/>
                <w:sz w:val="28"/>
                <w:szCs w:val="28"/>
                <w:lang w:val="uk-UA"/>
              </w:rPr>
              <w:t>±</w:t>
            </w:r>
            <w:r>
              <w:rPr>
                <w:rFonts w:ascii="Times New Roman" w:hAnsi="Times New Roman"/>
                <w:sz w:val="28"/>
                <w:szCs w:val="28"/>
                <w:lang w:val="uk-UA"/>
              </w:rPr>
              <w:t>0,13</w:t>
            </w:r>
            <w:r w:rsidR="00F42F7A" w:rsidRPr="00AE1C43">
              <w:rPr>
                <w:rFonts w:ascii="Times New Roman" w:hAnsi="Times New Roman"/>
                <w:sz w:val="28"/>
                <w:szCs w:val="28"/>
                <w:vertAlign w:val="superscript"/>
                <w:lang w:val="uk-UA"/>
              </w:rPr>
              <w:t>2</w:t>
            </w:r>
            <w:r w:rsidRPr="002804DE">
              <w:rPr>
                <w:rFonts w:ascii="Times New Roman" w:hAnsi="Times New Roman"/>
                <w:sz w:val="28"/>
                <w:szCs w:val="28"/>
                <w:lang w:val="uk-UA"/>
              </w:rPr>
              <w:t>*</w:t>
            </w:r>
          </w:p>
        </w:tc>
        <w:tc>
          <w:tcPr>
            <w:tcW w:w="1418" w:type="dxa"/>
            <w:shd w:val="clear" w:color="auto" w:fill="auto"/>
          </w:tcPr>
          <w:p w14:paraId="5CD50FF3" w14:textId="7042DEA4" w:rsidR="00043875" w:rsidRPr="002804DE" w:rsidRDefault="00217982"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3,15</w:t>
            </w:r>
            <w:r>
              <w:rPr>
                <w:rFonts w:ascii="Times New Roman" w:hAnsi="Times New Roman" w:cs="Times New Roman"/>
                <w:sz w:val="28"/>
                <w:szCs w:val="28"/>
                <w:lang w:val="uk-UA"/>
              </w:rPr>
              <w:t>±</w:t>
            </w:r>
            <w:r>
              <w:rPr>
                <w:rFonts w:ascii="Times New Roman" w:hAnsi="Times New Roman"/>
                <w:sz w:val="28"/>
                <w:szCs w:val="28"/>
                <w:lang w:val="uk-UA"/>
              </w:rPr>
              <w:t>0,34</w:t>
            </w:r>
          </w:p>
        </w:tc>
        <w:tc>
          <w:tcPr>
            <w:tcW w:w="1417" w:type="dxa"/>
            <w:shd w:val="clear" w:color="auto" w:fill="auto"/>
          </w:tcPr>
          <w:p w14:paraId="2B400CDF" w14:textId="34F69DC9" w:rsidR="00043875" w:rsidRPr="002804DE" w:rsidRDefault="005D5E57"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1,35</w:t>
            </w:r>
            <w:r>
              <w:rPr>
                <w:rFonts w:ascii="Times New Roman" w:hAnsi="Times New Roman" w:cs="Times New Roman"/>
                <w:sz w:val="28"/>
                <w:szCs w:val="28"/>
                <w:lang w:val="uk-UA"/>
              </w:rPr>
              <w:t>±</w:t>
            </w:r>
            <w:r>
              <w:rPr>
                <w:rFonts w:ascii="Times New Roman" w:hAnsi="Times New Roman"/>
                <w:sz w:val="28"/>
                <w:szCs w:val="28"/>
                <w:lang w:val="uk-UA"/>
              </w:rPr>
              <w:t>0,31</w:t>
            </w:r>
            <w:r w:rsidR="0099116B">
              <w:rPr>
                <w:rFonts w:ascii="Times New Roman" w:hAnsi="Times New Roman"/>
                <w:sz w:val="28"/>
                <w:szCs w:val="28"/>
                <w:lang w:val="uk-UA"/>
              </w:rPr>
              <w:t>*</w:t>
            </w:r>
          </w:p>
        </w:tc>
        <w:tc>
          <w:tcPr>
            <w:tcW w:w="1483" w:type="dxa"/>
            <w:shd w:val="clear" w:color="auto" w:fill="auto"/>
          </w:tcPr>
          <w:p w14:paraId="0F41A964" w14:textId="0365CEE6" w:rsidR="00043875" w:rsidRPr="002804DE" w:rsidRDefault="0099116B" w:rsidP="00043875">
            <w:pPr>
              <w:spacing w:after="0" w:line="360" w:lineRule="auto"/>
              <w:jc w:val="center"/>
              <w:rPr>
                <w:rFonts w:ascii="Times New Roman" w:hAnsi="Times New Roman"/>
                <w:sz w:val="28"/>
                <w:szCs w:val="28"/>
                <w:lang w:val="uk-UA"/>
              </w:rPr>
            </w:pPr>
            <w:r>
              <w:rPr>
                <w:rFonts w:ascii="Times New Roman" w:hAnsi="Times New Roman"/>
                <w:sz w:val="28"/>
                <w:szCs w:val="28"/>
                <w:lang w:val="uk-UA"/>
              </w:rPr>
              <w:t>0,39</w:t>
            </w:r>
            <w:r>
              <w:rPr>
                <w:rFonts w:ascii="Times New Roman" w:hAnsi="Times New Roman" w:cs="Times New Roman"/>
                <w:sz w:val="28"/>
                <w:szCs w:val="28"/>
                <w:lang w:val="uk-UA"/>
              </w:rPr>
              <w:t>±</w:t>
            </w:r>
            <w:r>
              <w:rPr>
                <w:rFonts w:ascii="Times New Roman" w:hAnsi="Times New Roman"/>
                <w:sz w:val="28"/>
                <w:szCs w:val="28"/>
                <w:lang w:val="uk-UA"/>
              </w:rPr>
              <w:t>0,17</w:t>
            </w:r>
          </w:p>
        </w:tc>
      </w:tr>
    </w:tbl>
    <w:p w14:paraId="703B0E54" w14:textId="71C4C4A9" w:rsidR="001624CF" w:rsidRDefault="001624CF" w:rsidP="00E318DC">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sidR="001F257B">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6F0C0BD" w14:textId="77777777" w:rsidR="00F42F7A" w:rsidRDefault="00F42F7A" w:rsidP="00E318DC">
      <w:pPr>
        <w:spacing w:after="0" w:line="36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1</w:t>
      </w:r>
      <w:r>
        <w:rPr>
          <w:rFonts w:ascii="Times New Roman" w:hAnsi="Times New Roman"/>
          <w:sz w:val="28"/>
          <w:szCs w:val="28"/>
          <w:lang w:val="uk-UA"/>
        </w:rPr>
        <w:t xml:space="preserve"> - статистично значима різниця у порівнянні з третьою групою пацієнтів, </w:t>
      </w:r>
      <w:r w:rsidRPr="00DD39D0">
        <w:rPr>
          <w:rFonts w:ascii="Times New Roman" w:hAnsi="Times New Roman"/>
          <w:sz w:val="28"/>
          <w:szCs w:val="28"/>
          <w:lang w:val="uk-UA"/>
        </w:rPr>
        <w:t>р˂0,05</w:t>
      </w:r>
    </w:p>
    <w:p w14:paraId="064B044D" w14:textId="797E8FCA" w:rsidR="00F42F7A" w:rsidRDefault="00F42F7A" w:rsidP="00E318DC">
      <w:pPr>
        <w:spacing w:after="0" w:line="36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статистично значима різниця у порівнянні з четвертою групою пацієнтів, </w:t>
      </w:r>
      <w:r w:rsidRPr="00DD39D0">
        <w:rPr>
          <w:rFonts w:ascii="Times New Roman" w:hAnsi="Times New Roman"/>
          <w:sz w:val="28"/>
          <w:szCs w:val="28"/>
          <w:lang w:val="uk-UA"/>
        </w:rPr>
        <w:t>р˂0,05</w:t>
      </w:r>
    </w:p>
    <w:p w14:paraId="3FCACF21" w14:textId="35733FCF" w:rsidR="00D50C2F" w:rsidRPr="00B411CE" w:rsidRDefault="00303EA7" w:rsidP="00FB72F7">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Вивчення показників третьої групи пацієнтів, хворих на атопічні захворювання</w:t>
      </w:r>
      <w:r w:rsidR="00D91C37">
        <w:rPr>
          <w:rFonts w:ascii="Times New Roman" w:hAnsi="Times New Roman"/>
          <w:sz w:val="28"/>
          <w:szCs w:val="28"/>
          <w:lang w:val="uk-UA"/>
        </w:rPr>
        <w:t xml:space="preserve"> та хронічний гінгівіт, продемонструвало запалення тканин пародонту на аналогічному до першої групи рівні, без статистично значимої різниці у показниках індексу </w:t>
      </w:r>
      <w:r w:rsidR="00D91C37">
        <w:rPr>
          <w:rFonts w:ascii="Times New Roman" w:hAnsi="Times New Roman"/>
          <w:sz w:val="28"/>
          <w:szCs w:val="28"/>
        </w:rPr>
        <w:t>SBI</w:t>
      </w:r>
      <w:r w:rsidR="00D91C37">
        <w:rPr>
          <w:rFonts w:ascii="Times New Roman" w:hAnsi="Times New Roman"/>
          <w:sz w:val="28"/>
          <w:szCs w:val="28"/>
          <w:lang w:val="uk-UA"/>
        </w:rPr>
        <w:t>. Згідно з отриманими даними, індекс кровоточивості до лікування дорівнював 3,33</w:t>
      </w:r>
      <w:r w:rsidR="00281A7C">
        <w:rPr>
          <w:rFonts w:ascii="Times New Roman" w:hAnsi="Times New Roman"/>
          <w:sz w:val="28"/>
          <w:szCs w:val="28"/>
          <w:lang w:val="uk-UA"/>
        </w:rPr>
        <w:t xml:space="preserve"> </w:t>
      </w:r>
      <w:r w:rsidR="00D91C37">
        <w:rPr>
          <w:rFonts w:ascii="Times New Roman" w:hAnsi="Times New Roman"/>
          <w:sz w:val="28"/>
          <w:szCs w:val="28"/>
          <w:lang w:val="uk-UA"/>
        </w:rPr>
        <w:t>±</w:t>
      </w:r>
      <w:r w:rsidR="00281A7C">
        <w:rPr>
          <w:rFonts w:ascii="Times New Roman" w:hAnsi="Times New Roman"/>
          <w:sz w:val="28"/>
          <w:szCs w:val="28"/>
          <w:lang w:val="uk-UA"/>
        </w:rPr>
        <w:t xml:space="preserve"> </w:t>
      </w:r>
      <w:r w:rsidR="00D91C37">
        <w:rPr>
          <w:rFonts w:ascii="Times New Roman" w:hAnsi="Times New Roman"/>
          <w:sz w:val="28"/>
          <w:szCs w:val="28"/>
          <w:lang w:val="uk-UA"/>
        </w:rPr>
        <w:t>0,43 бали, через один місяць після проведення традиційних лікувальних заходів у пацієнтів з хронічним гінгівітом дорівнював 0,19</w:t>
      </w:r>
      <w:r w:rsidR="00281A7C">
        <w:rPr>
          <w:rFonts w:ascii="Times New Roman" w:hAnsi="Times New Roman"/>
          <w:sz w:val="28"/>
          <w:szCs w:val="28"/>
          <w:lang w:val="uk-UA"/>
        </w:rPr>
        <w:t xml:space="preserve"> </w:t>
      </w:r>
      <w:r w:rsidR="00D91C37">
        <w:rPr>
          <w:rFonts w:ascii="Times New Roman" w:hAnsi="Times New Roman"/>
          <w:sz w:val="28"/>
          <w:szCs w:val="28"/>
          <w:lang w:val="uk-UA"/>
        </w:rPr>
        <w:t>±</w:t>
      </w:r>
      <w:r w:rsidR="00281A7C">
        <w:rPr>
          <w:rFonts w:ascii="Times New Roman" w:hAnsi="Times New Roman"/>
          <w:sz w:val="28"/>
          <w:szCs w:val="28"/>
          <w:lang w:val="uk-UA"/>
        </w:rPr>
        <w:t xml:space="preserve"> </w:t>
      </w:r>
      <w:r w:rsidR="00D91C37">
        <w:rPr>
          <w:rFonts w:ascii="Times New Roman" w:hAnsi="Times New Roman"/>
          <w:sz w:val="28"/>
          <w:szCs w:val="28"/>
          <w:lang w:val="uk-UA"/>
        </w:rPr>
        <w:t xml:space="preserve">0,13 бали, що склало достовірну різницю із початковими показниками. Порівняння першої та третьої групи пацієнтів, де була застосована запропонована нами </w:t>
      </w:r>
      <w:r w:rsidR="00E269E5">
        <w:rPr>
          <w:rFonts w:ascii="Times New Roman" w:hAnsi="Times New Roman"/>
          <w:sz w:val="28"/>
          <w:szCs w:val="28"/>
          <w:lang w:val="uk-UA"/>
        </w:rPr>
        <w:t>концептуально нова</w:t>
      </w:r>
      <w:r w:rsidR="00D91C37">
        <w:rPr>
          <w:rFonts w:ascii="Times New Roman" w:hAnsi="Times New Roman"/>
          <w:sz w:val="28"/>
          <w:szCs w:val="28"/>
          <w:lang w:val="uk-UA"/>
        </w:rPr>
        <w:t xml:space="preserve"> методика лікування та традиційна методика лікування відповідно, засвідчує однакову ефективність через один місяць після лікування, без статистично значимої різниці у показниках індексу </w:t>
      </w:r>
      <w:r w:rsidR="00D91C37">
        <w:rPr>
          <w:rFonts w:ascii="Times New Roman" w:hAnsi="Times New Roman"/>
          <w:sz w:val="28"/>
          <w:szCs w:val="28"/>
        </w:rPr>
        <w:t>SBI</w:t>
      </w:r>
      <w:r w:rsidR="00D91C37">
        <w:rPr>
          <w:rFonts w:ascii="Times New Roman" w:hAnsi="Times New Roman"/>
          <w:sz w:val="28"/>
          <w:szCs w:val="28"/>
          <w:lang w:val="uk-UA"/>
        </w:rPr>
        <w:t xml:space="preserve">. Проте аналіз показників індексу </w:t>
      </w:r>
      <w:r w:rsidR="00D91C37">
        <w:rPr>
          <w:rFonts w:ascii="Times New Roman" w:hAnsi="Times New Roman"/>
          <w:sz w:val="28"/>
          <w:szCs w:val="28"/>
        </w:rPr>
        <w:t>SBI</w:t>
      </w:r>
      <w:r w:rsidR="00D91C37" w:rsidRPr="00B1533D">
        <w:rPr>
          <w:rFonts w:ascii="Times New Roman" w:hAnsi="Times New Roman"/>
          <w:sz w:val="28"/>
          <w:szCs w:val="28"/>
          <w:lang w:val="uk-UA"/>
        </w:rPr>
        <w:t xml:space="preserve"> </w:t>
      </w:r>
      <w:r w:rsidR="00B1533D">
        <w:rPr>
          <w:rFonts w:ascii="Times New Roman" w:hAnsi="Times New Roman"/>
          <w:sz w:val="28"/>
          <w:szCs w:val="28"/>
          <w:lang w:val="uk-UA"/>
        </w:rPr>
        <w:t xml:space="preserve">через три та шість місяців демонструє зростання індексу до рівня </w:t>
      </w:r>
      <w:r w:rsidR="00B1533D" w:rsidRPr="002804DE">
        <w:rPr>
          <w:rFonts w:ascii="Times New Roman" w:hAnsi="Times New Roman"/>
          <w:sz w:val="28"/>
          <w:szCs w:val="28"/>
          <w:lang w:val="uk-UA"/>
        </w:rPr>
        <w:t>0,</w:t>
      </w:r>
      <w:r w:rsidR="00B1533D">
        <w:rPr>
          <w:rFonts w:ascii="Times New Roman" w:hAnsi="Times New Roman"/>
          <w:sz w:val="28"/>
          <w:szCs w:val="28"/>
          <w:lang w:val="uk-UA"/>
        </w:rPr>
        <w:t>83</w:t>
      </w:r>
      <w:r w:rsidR="008A025A">
        <w:rPr>
          <w:rFonts w:ascii="Times New Roman" w:hAnsi="Times New Roman"/>
          <w:sz w:val="28"/>
          <w:szCs w:val="28"/>
          <w:lang w:val="uk-UA"/>
        </w:rPr>
        <w:t xml:space="preserve"> </w:t>
      </w:r>
      <w:r w:rsidR="00B1533D">
        <w:rPr>
          <w:rFonts w:ascii="Times New Roman" w:hAnsi="Times New Roman"/>
          <w:sz w:val="28"/>
          <w:szCs w:val="28"/>
          <w:lang w:val="uk-UA"/>
        </w:rPr>
        <w:t>±</w:t>
      </w:r>
      <w:r w:rsidR="008A025A">
        <w:rPr>
          <w:rFonts w:ascii="Times New Roman" w:hAnsi="Times New Roman"/>
          <w:sz w:val="28"/>
          <w:szCs w:val="28"/>
          <w:lang w:val="uk-UA"/>
        </w:rPr>
        <w:t xml:space="preserve"> </w:t>
      </w:r>
      <w:r w:rsidR="00B1533D">
        <w:rPr>
          <w:rFonts w:ascii="Times New Roman" w:hAnsi="Times New Roman"/>
          <w:sz w:val="28"/>
          <w:szCs w:val="28"/>
          <w:lang w:val="uk-UA"/>
        </w:rPr>
        <w:t>0,19 балів та 1,81</w:t>
      </w:r>
      <w:r w:rsidR="008A025A">
        <w:rPr>
          <w:rFonts w:ascii="Times New Roman" w:hAnsi="Times New Roman"/>
          <w:sz w:val="28"/>
          <w:szCs w:val="28"/>
          <w:lang w:val="uk-UA"/>
        </w:rPr>
        <w:t xml:space="preserve"> </w:t>
      </w:r>
      <w:r w:rsidR="00B1533D">
        <w:rPr>
          <w:rFonts w:ascii="Times New Roman" w:hAnsi="Times New Roman"/>
          <w:sz w:val="28"/>
          <w:szCs w:val="28"/>
          <w:lang w:val="uk-UA"/>
        </w:rPr>
        <w:t>±</w:t>
      </w:r>
      <w:r w:rsidR="008A025A">
        <w:rPr>
          <w:rFonts w:ascii="Times New Roman" w:hAnsi="Times New Roman"/>
          <w:sz w:val="28"/>
          <w:szCs w:val="28"/>
          <w:lang w:val="uk-UA"/>
        </w:rPr>
        <w:t xml:space="preserve"> </w:t>
      </w:r>
      <w:r w:rsidR="00B1533D">
        <w:rPr>
          <w:rFonts w:ascii="Times New Roman" w:hAnsi="Times New Roman"/>
          <w:sz w:val="28"/>
          <w:szCs w:val="28"/>
          <w:lang w:val="uk-UA"/>
        </w:rPr>
        <w:t>0,48 балів відповідно, що складає статистично значиму різницю з показниками першої групи, де був застосований запропонований нами підхід до лікування хронічного гінгівіту</w:t>
      </w:r>
      <w:r w:rsidR="00402241">
        <w:rPr>
          <w:rFonts w:ascii="Times New Roman" w:hAnsi="Times New Roman"/>
          <w:sz w:val="28"/>
          <w:szCs w:val="28"/>
          <w:lang w:val="uk-UA"/>
        </w:rPr>
        <w:t xml:space="preserve">. </w:t>
      </w:r>
      <w:r w:rsidR="008A025A">
        <w:rPr>
          <w:rFonts w:ascii="Times New Roman" w:hAnsi="Times New Roman"/>
          <w:sz w:val="28"/>
          <w:szCs w:val="28"/>
          <w:lang w:val="uk-UA"/>
        </w:rPr>
        <w:t>Порівняльна характеристика індексного оцінювання показників першої та третьої груп у дин</w:t>
      </w:r>
      <w:r w:rsidR="00FB72F7">
        <w:rPr>
          <w:rFonts w:ascii="Times New Roman" w:hAnsi="Times New Roman"/>
          <w:sz w:val="28"/>
          <w:szCs w:val="28"/>
          <w:lang w:val="uk-UA"/>
        </w:rPr>
        <w:t>аміці представлена на діаграмі 4</w:t>
      </w:r>
      <w:r w:rsidR="008A025A">
        <w:rPr>
          <w:rFonts w:ascii="Times New Roman" w:hAnsi="Times New Roman"/>
          <w:sz w:val="28"/>
          <w:szCs w:val="28"/>
          <w:lang w:val="uk-UA"/>
        </w:rPr>
        <w:t xml:space="preserve">.1. </w:t>
      </w:r>
    </w:p>
    <w:p w14:paraId="30977688" w14:textId="77777777" w:rsidR="00F42F7A" w:rsidRDefault="00F42F7A" w:rsidP="008A025A">
      <w:pPr>
        <w:spacing w:after="0" w:line="360" w:lineRule="auto"/>
        <w:ind w:firstLine="709"/>
        <w:jc w:val="right"/>
        <w:rPr>
          <w:rFonts w:ascii="Times New Roman" w:hAnsi="Times New Roman"/>
          <w:sz w:val="28"/>
          <w:szCs w:val="28"/>
          <w:lang w:val="uk-UA"/>
        </w:rPr>
      </w:pPr>
    </w:p>
    <w:p w14:paraId="1187AF92" w14:textId="68316610" w:rsidR="008A025A" w:rsidRDefault="00FB72F7" w:rsidP="008A025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8A025A">
        <w:rPr>
          <w:rFonts w:ascii="Times New Roman" w:hAnsi="Times New Roman"/>
          <w:sz w:val="28"/>
          <w:szCs w:val="28"/>
          <w:lang w:val="uk-UA"/>
        </w:rPr>
        <w:t>.1</w:t>
      </w:r>
    </w:p>
    <w:p w14:paraId="1D673CC2" w14:textId="77777777" w:rsidR="008A025A" w:rsidRDefault="008A025A"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sidRPr="008A025A">
        <w:rPr>
          <w:rFonts w:ascii="Times New Roman" w:hAnsi="Times New Roman"/>
          <w:sz w:val="28"/>
          <w:szCs w:val="28"/>
        </w:rPr>
        <w:t>SBI</w:t>
      </w:r>
      <w:r w:rsidRPr="008A025A">
        <w:rPr>
          <w:rFonts w:ascii="Times New Roman" w:hAnsi="Times New Roman"/>
          <w:sz w:val="28"/>
          <w:szCs w:val="28"/>
          <w:lang w:val="uk-UA"/>
        </w:rPr>
        <w:t xml:space="preserve"> першої та третьої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1C92AFF7" w14:textId="77777777" w:rsidR="008A025A" w:rsidRDefault="008A025A" w:rsidP="008A025A">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42754B85" wp14:editId="28DEF2AA">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9F2C54C" w14:textId="68C4DDE5" w:rsidR="008A025A" w:rsidRDefault="008A025A"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Важливим є той факт, що через дванадцять місяців після проведення традиційного лікування хронічного гінгівіту у даній групі дітей ми спостерігали повернення показників індексу кровоточивості до початкового рівня - 3,15 </w:t>
      </w:r>
      <w:r>
        <w:rPr>
          <w:rFonts w:ascii="Times New Roman" w:hAnsi="Times New Roman" w:cs="Times New Roman"/>
          <w:sz w:val="28"/>
          <w:szCs w:val="28"/>
          <w:lang w:val="uk-UA"/>
        </w:rPr>
        <w:t xml:space="preserve">± </w:t>
      </w:r>
      <w:r>
        <w:rPr>
          <w:rFonts w:ascii="Times New Roman" w:hAnsi="Times New Roman"/>
          <w:sz w:val="28"/>
          <w:szCs w:val="28"/>
          <w:lang w:val="uk-UA"/>
        </w:rPr>
        <w:t>0,34 бали, без достовірної різниці з початковими показниками. Отже, використання традиційної методики лікування хронічного гінгівіту у дітей з атопічними захворюваннями лише за протоколом, без урахування особливостей соматичного статусу та впливу атопічних захворювань на патогенез хронічного гінгівіту, має нетривалий ефект та є малоефективним серед даного контингенту.</w:t>
      </w:r>
    </w:p>
    <w:p w14:paraId="6BEE647D" w14:textId="339209B2" w:rsidR="00FB72F7" w:rsidRDefault="00402241" w:rsidP="00FB72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Четверта група дітей з атопічними захворюваннями, без виражених ознак гінгівіту, протягом строку спостереження продемонструвала негативну динаміку у показниках рівню індексу кровоточивості. Так, на початку дослідження рівень індексу </w:t>
      </w:r>
      <w:r>
        <w:rPr>
          <w:rFonts w:ascii="Times New Roman" w:hAnsi="Times New Roman"/>
          <w:sz w:val="28"/>
          <w:szCs w:val="28"/>
        </w:rPr>
        <w:t>SBI</w:t>
      </w:r>
      <w:r w:rsidRPr="00CD71F2">
        <w:rPr>
          <w:rFonts w:ascii="Times New Roman" w:hAnsi="Times New Roman"/>
          <w:sz w:val="28"/>
          <w:szCs w:val="28"/>
          <w:lang w:val="ru-RU"/>
        </w:rPr>
        <w:t xml:space="preserve"> </w:t>
      </w:r>
      <w:r>
        <w:rPr>
          <w:rFonts w:ascii="Times New Roman" w:hAnsi="Times New Roman"/>
          <w:sz w:val="28"/>
          <w:szCs w:val="28"/>
          <w:lang w:val="uk-UA"/>
        </w:rPr>
        <w:t xml:space="preserve">дорівнював </w:t>
      </w:r>
      <w:r w:rsidR="00CD71F2">
        <w:rPr>
          <w:rFonts w:ascii="Times New Roman" w:hAnsi="Times New Roman"/>
          <w:sz w:val="28"/>
          <w:szCs w:val="28"/>
          <w:lang w:val="uk-UA"/>
        </w:rPr>
        <w:t>0,47</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0,23 балам, що не складало достовірної різниці з показниками першої групи та групи контролю. Після проведення профілактичних заходів ми спостерігали зниження рівню індексу </w:t>
      </w:r>
      <w:r w:rsidR="00CD71F2">
        <w:rPr>
          <w:rFonts w:ascii="Times New Roman" w:hAnsi="Times New Roman"/>
          <w:sz w:val="28"/>
          <w:szCs w:val="28"/>
        </w:rPr>
        <w:t>SBI</w:t>
      </w:r>
      <w:r w:rsidR="00CD71F2" w:rsidRPr="00CD71F2">
        <w:rPr>
          <w:rFonts w:ascii="Times New Roman" w:hAnsi="Times New Roman"/>
          <w:sz w:val="28"/>
          <w:szCs w:val="28"/>
          <w:lang w:val="ru-RU"/>
        </w:rPr>
        <w:t xml:space="preserve"> </w:t>
      </w:r>
      <w:r w:rsidR="00CD71F2">
        <w:rPr>
          <w:rFonts w:ascii="Times New Roman" w:hAnsi="Times New Roman"/>
          <w:sz w:val="28"/>
          <w:szCs w:val="28"/>
          <w:lang w:val="uk-UA"/>
        </w:rPr>
        <w:t>до 0,24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0,09 балів, що склало статистично значиму різницю з початковим рівнем. Проте вже через три місяці індекс </w:t>
      </w:r>
      <w:r w:rsidR="00CD71F2">
        <w:rPr>
          <w:rFonts w:ascii="Times New Roman" w:hAnsi="Times New Roman"/>
          <w:sz w:val="28"/>
          <w:szCs w:val="28"/>
        </w:rPr>
        <w:t>SBI</w:t>
      </w:r>
      <w:r w:rsidR="00CD71F2">
        <w:rPr>
          <w:rFonts w:ascii="Times New Roman" w:hAnsi="Times New Roman"/>
          <w:sz w:val="28"/>
          <w:szCs w:val="28"/>
          <w:lang w:val="uk-UA"/>
        </w:rPr>
        <w:t xml:space="preserve"> повернувся до початкового рівня, 0,4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0,2 балів, а через шість та дванадцять місяців ми констатували зростання індексних показників до рівня 0,74</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0,29 балів через шість місяців та 1,35</w:t>
      </w:r>
      <w:r w:rsidR="008A025A">
        <w:rPr>
          <w:rFonts w:ascii="Times New Roman" w:hAnsi="Times New Roman"/>
          <w:sz w:val="28"/>
          <w:szCs w:val="28"/>
          <w:lang w:val="uk-UA"/>
        </w:rPr>
        <w:t xml:space="preserve"> </w:t>
      </w:r>
      <w:r w:rsidR="00CD71F2">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CD71F2">
        <w:rPr>
          <w:rFonts w:ascii="Times New Roman" w:hAnsi="Times New Roman"/>
          <w:sz w:val="28"/>
          <w:szCs w:val="28"/>
          <w:lang w:val="uk-UA"/>
        </w:rPr>
        <w:t xml:space="preserve">0,31 через 12 місяців. Наявність статистично значимої різниці у початкових та кінцевих показниках рівню індексу </w:t>
      </w:r>
      <w:r w:rsidR="00CD71F2">
        <w:rPr>
          <w:rFonts w:ascii="Times New Roman" w:hAnsi="Times New Roman"/>
          <w:sz w:val="28"/>
          <w:szCs w:val="28"/>
        </w:rPr>
        <w:t>SBI</w:t>
      </w:r>
      <w:r w:rsidR="00CD71F2">
        <w:rPr>
          <w:rFonts w:ascii="Times New Roman" w:hAnsi="Times New Roman"/>
          <w:sz w:val="28"/>
          <w:szCs w:val="28"/>
          <w:lang w:val="uk-UA"/>
        </w:rPr>
        <w:t xml:space="preserve"> свідчить про низьку ефективність стандартної програми профілактики гінгівіту у дітей з атопічними захворюваннями, а також про схильність даного контингенту до розвитку гінгівіту. Порівняння показників другої та четвертої груп демонструє переваги запропонованої нами програми профілактики гінгівіту у дітей з атопічними захворюваннями згідно з даними індексного оцінювання тканин пародонту. </w:t>
      </w:r>
      <w:r w:rsidR="00106305">
        <w:rPr>
          <w:rFonts w:ascii="Times New Roman" w:hAnsi="Times New Roman"/>
          <w:sz w:val="28"/>
          <w:szCs w:val="28"/>
          <w:lang w:val="uk-UA"/>
        </w:rPr>
        <w:t xml:space="preserve">Порівняльна характеристика індексу </w:t>
      </w:r>
      <w:r w:rsidR="00106305">
        <w:rPr>
          <w:rFonts w:ascii="Times New Roman" w:hAnsi="Times New Roman"/>
          <w:sz w:val="28"/>
          <w:szCs w:val="28"/>
        </w:rPr>
        <w:t>SBI</w:t>
      </w:r>
      <w:r w:rsidR="00106305" w:rsidRPr="00014A22">
        <w:rPr>
          <w:rFonts w:ascii="Times New Roman" w:hAnsi="Times New Roman"/>
          <w:sz w:val="28"/>
          <w:szCs w:val="28"/>
          <w:lang w:val="uk-UA"/>
        </w:rPr>
        <w:t xml:space="preserve"> </w:t>
      </w:r>
      <w:r w:rsidR="00FB72F7">
        <w:rPr>
          <w:rFonts w:ascii="Times New Roman" w:hAnsi="Times New Roman"/>
          <w:sz w:val="28"/>
          <w:szCs w:val="28"/>
          <w:lang w:val="uk-UA"/>
        </w:rPr>
        <w:t>наведена у діаграмі 4</w:t>
      </w:r>
      <w:r w:rsidR="008A025A">
        <w:rPr>
          <w:rFonts w:ascii="Times New Roman" w:hAnsi="Times New Roman"/>
          <w:sz w:val="28"/>
          <w:szCs w:val="28"/>
          <w:lang w:val="uk-UA"/>
        </w:rPr>
        <w:t>.2</w:t>
      </w:r>
      <w:r w:rsidR="00106305">
        <w:rPr>
          <w:rFonts w:ascii="Times New Roman" w:hAnsi="Times New Roman"/>
          <w:sz w:val="28"/>
          <w:szCs w:val="28"/>
          <w:lang w:val="uk-UA"/>
        </w:rPr>
        <w:t>.</w:t>
      </w:r>
    </w:p>
    <w:p w14:paraId="1D187BD4" w14:textId="32FA16AA" w:rsidR="008A025A" w:rsidRDefault="00FB72F7" w:rsidP="008A025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8A025A">
        <w:rPr>
          <w:rFonts w:ascii="Times New Roman" w:hAnsi="Times New Roman"/>
          <w:sz w:val="28"/>
          <w:szCs w:val="28"/>
          <w:lang w:val="uk-UA"/>
        </w:rPr>
        <w:t>.2</w:t>
      </w:r>
    </w:p>
    <w:p w14:paraId="7ECC100C" w14:textId="0B65C0E2" w:rsidR="008A025A" w:rsidRPr="008A025A" w:rsidRDefault="008A025A" w:rsidP="00E45A7E">
      <w:pPr>
        <w:spacing w:after="0" w:line="360" w:lineRule="auto"/>
        <w:jc w:val="center"/>
        <w:rPr>
          <w:rFonts w:ascii="Times New Roman" w:hAnsi="Times New Roman"/>
          <w:b/>
          <w:sz w:val="28"/>
          <w:szCs w:val="28"/>
          <w:lang w:val="uk-UA"/>
        </w:rPr>
      </w:pPr>
      <w:r w:rsidRPr="008A025A">
        <w:rPr>
          <w:rFonts w:ascii="Times New Roman" w:hAnsi="Times New Roman"/>
          <w:sz w:val="28"/>
          <w:szCs w:val="28"/>
          <w:lang w:val="uk-UA"/>
        </w:rPr>
        <w:t xml:space="preserve">Порівняльна характеристика індексу </w:t>
      </w:r>
      <w:r w:rsidRPr="008A025A">
        <w:rPr>
          <w:rFonts w:ascii="Times New Roman" w:hAnsi="Times New Roman"/>
          <w:sz w:val="28"/>
          <w:szCs w:val="28"/>
        </w:rPr>
        <w:t>SBI</w:t>
      </w:r>
      <w:r w:rsidRPr="008A025A">
        <w:rPr>
          <w:rFonts w:ascii="Times New Roman" w:hAnsi="Times New Roman"/>
          <w:sz w:val="28"/>
          <w:szCs w:val="28"/>
          <w:lang w:val="uk-UA"/>
        </w:rPr>
        <w:t xml:space="preserve"> </w:t>
      </w:r>
      <w:r w:rsidR="00E71471">
        <w:rPr>
          <w:rFonts w:ascii="Times New Roman" w:hAnsi="Times New Roman"/>
          <w:sz w:val="28"/>
          <w:szCs w:val="28"/>
          <w:lang w:val="uk-UA"/>
        </w:rPr>
        <w:t>другої та четвертої</w:t>
      </w:r>
      <w:r w:rsidRPr="008A025A">
        <w:rPr>
          <w:rFonts w:ascii="Times New Roman" w:hAnsi="Times New Roman"/>
          <w:sz w:val="28"/>
          <w:szCs w:val="28"/>
          <w:lang w:val="uk-UA"/>
        </w:rPr>
        <w:t xml:space="preserve"> груп</w:t>
      </w:r>
      <w:r w:rsidRPr="00014A22">
        <w:rPr>
          <w:rFonts w:ascii="Times New Roman" w:hAnsi="Times New Roman"/>
          <w:sz w:val="28"/>
          <w:szCs w:val="28"/>
          <w:lang w:val="uk-UA"/>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5909B36" w14:textId="479F5463" w:rsidR="008A025A" w:rsidRDefault="008A025A" w:rsidP="001624CF">
      <w:pPr>
        <w:spacing w:after="0"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467537DA" wp14:editId="0A4AAEC8">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C43FE4E" w14:textId="77777777" w:rsidR="00677589" w:rsidRDefault="00677589" w:rsidP="001624CF">
      <w:pPr>
        <w:spacing w:after="0" w:line="360" w:lineRule="auto"/>
        <w:ind w:firstLine="709"/>
        <w:jc w:val="both"/>
        <w:rPr>
          <w:rFonts w:ascii="Times New Roman" w:hAnsi="Times New Roman"/>
          <w:sz w:val="28"/>
          <w:szCs w:val="28"/>
          <w:lang w:val="uk-UA"/>
        </w:rPr>
      </w:pPr>
    </w:p>
    <w:p w14:paraId="313F122B" w14:textId="78ADB634" w:rsidR="00106305" w:rsidRPr="00106305" w:rsidRDefault="00677589"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106305">
        <w:rPr>
          <w:rFonts w:ascii="Times New Roman" w:hAnsi="Times New Roman"/>
          <w:sz w:val="28"/>
          <w:szCs w:val="28"/>
          <w:lang w:val="uk-UA"/>
        </w:rPr>
        <w:t xml:space="preserve">ами були обстежені діти контрольної групи без соматичної патології та виражених проявів гінгівіту. Серед даного контингенту індекс </w:t>
      </w:r>
      <w:r w:rsidR="00106305">
        <w:rPr>
          <w:rFonts w:ascii="Times New Roman" w:hAnsi="Times New Roman"/>
          <w:sz w:val="28"/>
          <w:szCs w:val="28"/>
        </w:rPr>
        <w:t>SBI</w:t>
      </w:r>
      <w:r w:rsidR="00106305" w:rsidRPr="00106305">
        <w:rPr>
          <w:rFonts w:ascii="Times New Roman" w:hAnsi="Times New Roman"/>
          <w:sz w:val="28"/>
          <w:szCs w:val="28"/>
          <w:lang w:val="ru-RU"/>
        </w:rPr>
        <w:t xml:space="preserve"> </w:t>
      </w:r>
      <w:r w:rsidR="00106305">
        <w:rPr>
          <w:rFonts w:ascii="Times New Roman" w:hAnsi="Times New Roman"/>
          <w:sz w:val="28"/>
          <w:szCs w:val="28"/>
          <w:lang w:val="uk-UA"/>
        </w:rPr>
        <w:t>на початку дослідження дорівнював 0,48</w:t>
      </w:r>
      <w:r w:rsidR="008A025A">
        <w:rPr>
          <w:rFonts w:ascii="Times New Roman" w:hAnsi="Times New Roman"/>
          <w:sz w:val="28"/>
          <w:szCs w:val="28"/>
          <w:lang w:val="uk-UA"/>
        </w:rPr>
        <w:t xml:space="preserve"> </w:t>
      </w:r>
      <w:r w:rsidR="00106305">
        <w:rPr>
          <w:rFonts w:ascii="Times New Roman" w:hAnsi="Times New Roman" w:cs="Times New Roman"/>
          <w:sz w:val="28"/>
          <w:szCs w:val="28"/>
          <w:lang w:val="uk-UA"/>
        </w:rPr>
        <w:t>±</w:t>
      </w:r>
      <w:r w:rsidR="008A025A">
        <w:rPr>
          <w:rFonts w:ascii="Times New Roman" w:hAnsi="Times New Roman" w:cs="Times New Roman"/>
          <w:sz w:val="28"/>
          <w:szCs w:val="28"/>
          <w:lang w:val="uk-UA"/>
        </w:rPr>
        <w:t xml:space="preserve"> </w:t>
      </w:r>
      <w:r w:rsidR="00106305">
        <w:rPr>
          <w:rFonts w:ascii="Times New Roman" w:hAnsi="Times New Roman"/>
          <w:sz w:val="28"/>
          <w:szCs w:val="28"/>
          <w:lang w:val="uk-UA"/>
        </w:rPr>
        <w:t>0,21 бали, що достовірно не відрізнялося від показників другої та четвертої груп. Протягом всього терміну спостережень динаміка показників була майже відсутньою, порівняння показників даної групи з четвертою групою через три та шість місяців підтверджує вплив атопічних захворювань на стан тканин пародонту.</w:t>
      </w:r>
    </w:p>
    <w:p w14:paraId="466A6DCF" w14:textId="6630F5B1" w:rsidR="0073363B" w:rsidRDefault="001624CF" w:rsidP="000F6B89">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Таким чином, </w:t>
      </w:r>
      <w:r w:rsidR="00EF0AB1">
        <w:rPr>
          <w:rFonts w:ascii="Times New Roman" w:hAnsi="Times New Roman"/>
          <w:sz w:val="28"/>
          <w:szCs w:val="28"/>
          <w:lang w:val="uk-UA"/>
        </w:rPr>
        <w:t>концептуально новий</w:t>
      </w:r>
      <w:r w:rsidRPr="002804DE">
        <w:rPr>
          <w:rFonts w:ascii="Times New Roman" w:hAnsi="Times New Roman"/>
          <w:sz w:val="28"/>
          <w:szCs w:val="28"/>
          <w:lang w:val="uk-UA"/>
        </w:rPr>
        <w:t xml:space="preserve"> підхід при виборі протоколу профілактики і лікування хронічного гінгівіту у дітей з бронхіальною астмою, </w:t>
      </w:r>
      <w:r w:rsidR="003D79D1">
        <w:rPr>
          <w:rFonts w:ascii="Times New Roman" w:hAnsi="Times New Roman"/>
          <w:sz w:val="28"/>
          <w:szCs w:val="28"/>
          <w:lang w:val="uk-UA"/>
        </w:rPr>
        <w:t>алергічним ринітом та атопічним</w:t>
      </w:r>
      <w:r w:rsidRPr="002804DE">
        <w:rPr>
          <w:rFonts w:ascii="Times New Roman" w:hAnsi="Times New Roman"/>
          <w:sz w:val="28"/>
          <w:szCs w:val="28"/>
          <w:lang w:val="uk-UA"/>
        </w:rPr>
        <w:t xml:space="preserve"> дерматит</w:t>
      </w:r>
      <w:r w:rsidR="003D79D1">
        <w:rPr>
          <w:rFonts w:ascii="Times New Roman" w:hAnsi="Times New Roman"/>
          <w:sz w:val="28"/>
          <w:szCs w:val="28"/>
          <w:lang w:val="uk-UA"/>
        </w:rPr>
        <w:t>ом</w:t>
      </w:r>
      <w:r w:rsidRPr="002804DE">
        <w:rPr>
          <w:rFonts w:ascii="Times New Roman" w:hAnsi="Times New Roman"/>
          <w:sz w:val="28"/>
          <w:szCs w:val="28"/>
          <w:lang w:val="uk-UA"/>
        </w:rPr>
        <w:t xml:space="preserve"> показав високу клінічну ефективність. У зв'язку з урахуванням патогенетичних механізмів розвитку хронічного гінгівіту на тлі атопічних захворювань, запропонована схема профілактики та лікування хронічного гінгівіту має довгостроковий ефект згідно з клінічними показниками</w:t>
      </w:r>
      <w:r w:rsidR="00281A7C">
        <w:rPr>
          <w:rFonts w:ascii="Times New Roman" w:hAnsi="Times New Roman"/>
          <w:sz w:val="28"/>
          <w:szCs w:val="28"/>
          <w:lang w:val="uk-UA"/>
        </w:rPr>
        <w:t xml:space="preserve"> та рівнем індексу </w:t>
      </w:r>
      <w:r w:rsidR="00281A7C">
        <w:rPr>
          <w:rFonts w:ascii="Times New Roman" w:hAnsi="Times New Roman"/>
          <w:sz w:val="28"/>
          <w:szCs w:val="28"/>
        </w:rPr>
        <w:t>SBI</w:t>
      </w:r>
      <w:r w:rsidRPr="002804DE">
        <w:rPr>
          <w:rFonts w:ascii="Times New Roman" w:hAnsi="Times New Roman"/>
          <w:sz w:val="28"/>
          <w:szCs w:val="28"/>
          <w:lang w:val="uk-UA"/>
        </w:rPr>
        <w:t xml:space="preserve"> серед даного контингенту дітей.</w:t>
      </w:r>
    </w:p>
    <w:p w14:paraId="719D10A5" w14:textId="77777777" w:rsidR="00E66E9E" w:rsidRDefault="0073363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w:t>
      </w:r>
      <w:r w:rsidR="000F6B89">
        <w:rPr>
          <w:rFonts w:ascii="Times New Roman" w:hAnsi="Times New Roman"/>
          <w:sz w:val="28"/>
          <w:szCs w:val="28"/>
          <w:lang w:val="uk-UA"/>
        </w:rPr>
        <w:t xml:space="preserve"> всебічного</w:t>
      </w:r>
      <w:r>
        <w:rPr>
          <w:rFonts w:ascii="Times New Roman" w:hAnsi="Times New Roman"/>
          <w:sz w:val="28"/>
          <w:szCs w:val="28"/>
          <w:lang w:val="uk-UA"/>
        </w:rPr>
        <w:t xml:space="preserve"> аналізу ступеню інтенсивності запального процесу тканин пародонту у дослідних та контрольній групах</w:t>
      </w:r>
      <w:r w:rsidR="00714A4B">
        <w:rPr>
          <w:rFonts w:ascii="Times New Roman" w:hAnsi="Times New Roman"/>
          <w:sz w:val="28"/>
          <w:szCs w:val="28"/>
          <w:lang w:val="uk-UA"/>
        </w:rPr>
        <w:t xml:space="preserve"> нами було проведена порівняльна характеристика динаміки індексу РМА. </w:t>
      </w:r>
    </w:p>
    <w:p w14:paraId="48DADC37" w14:textId="3194770A" w:rsidR="0073363B" w:rsidRDefault="00366B26"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проведеним дослідженням, середній рівень запалення тканин пародонту у групах дітей з атопією достовірно відрізнявся від рівню, зафіксованого у дітей контрольної групи та дорівнював </w:t>
      </w:r>
      <w:r>
        <w:rPr>
          <w:rFonts w:ascii="Times New Roman" w:hAnsi="Times New Roman" w:cs="Times New Roman"/>
          <w:sz w:val="28"/>
          <w:szCs w:val="28"/>
          <w:lang w:val="uk-UA"/>
        </w:rPr>
        <w:t xml:space="preserve">21.14 ± 1.86 %. </w:t>
      </w:r>
      <w:r w:rsidR="00714A4B">
        <w:rPr>
          <w:rFonts w:ascii="Times New Roman" w:hAnsi="Times New Roman"/>
          <w:sz w:val="28"/>
          <w:szCs w:val="28"/>
          <w:lang w:val="uk-UA"/>
        </w:rPr>
        <w:t>Отримані в результаті дослі</w:t>
      </w:r>
      <w:r w:rsidR="00FB72F7">
        <w:rPr>
          <w:rFonts w:ascii="Times New Roman" w:hAnsi="Times New Roman"/>
          <w:sz w:val="28"/>
          <w:szCs w:val="28"/>
          <w:lang w:val="uk-UA"/>
        </w:rPr>
        <w:t>дження дані наведені у таблиці 4</w:t>
      </w:r>
      <w:r w:rsidR="00714A4B">
        <w:rPr>
          <w:rFonts w:ascii="Times New Roman" w:hAnsi="Times New Roman"/>
          <w:sz w:val="28"/>
          <w:szCs w:val="28"/>
          <w:lang w:val="uk-UA"/>
        </w:rPr>
        <w:t>.2.</w:t>
      </w:r>
    </w:p>
    <w:p w14:paraId="0A642F5C" w14:textId="40798E66" w:rsidR="00E66E9E" w:rsidRDefault="00E66E9E"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наведеними даними, у першій та третій групах обстежених дітей, хворих на атопічні захворювання, ми спостерігали середній ступінь тяжкості гінгівіту на початку дослідження. Рівень індексу РМА був на рівні 34,34 ± 2,54 % у першій групі та 35,5 ± 2,35 % у другій групі, тобто достовірної різниці між даними групами не було. Незалежно від виду застосованих методів лікування, через 1 місяць ми спостерігали позитивну динаміку в обох групах, індекс РМА дорівнював 3,29 ± 2,06 % у першій групі та 2,87 ± 1,57 % у третій групі. Проте вже через три місяці ми виявили статистично значиму різницю у показниках індексу першої та третьої груп.</w:t>
      </w:r>
    </w:p>
    <w:p w14:paraId="1258BED1" w14:textId="77777777" w:rsidR="00E66E9E" w:rsidRDefault="00E66E9E" w:rsidP="001624CF">
      <w:pPr>
        <w:spacing w:after="0" w:line="360" w:lineRule="auto"/>
        <w:ind w:firstLine="709"/>
        <w:jc w:val="both"/>
        <w:rPr>
          <w:rFonts w:ascii="Times New Roman" w:hAnsi="Times New Roman"/>
          <w:sz w:val="28"/>
          <w:szCs w:val="28"/>
          <w:lang w:val="uk-UA"/>
        </w:rPr>
      </w:pPr>
    </w:p>
    <w:p w14:paraId="27A78018" w14:textId="77777777" w:rsidR="00E66E9E" w:rsidRDefault="00E66E9E" w:rsidP="001624CF">
      <w:pPr>
        <w:spacing w:after="0" w:line="360" w:lineRule="auto"/>
        <w:ind w:firstLine="709"/>
        <w:jc w:val="both"/>
        <w:rPr>
          <w:rFonts w:ascii="Times New Roman" w:hAnsi="Times New Roman"/>
          <w:sz w:val="28"/>
          <w:szCs w:val="28"/>
          <w:lang w:val="uk-UA"/>
        </w:rPr>
      </w:pPr>
    </w:p>
    <w:p w14:paraId="2220C0EE" w14:textId="58720AC8" w:rsidR="00714A4B" w:rsidRPr="00C23A80" w:rsidRDefault="00714A4B" w:rsidP="00714A4B">
      <w:pPr>
        <w:spacing w:after="0" w:line="360" w:lineRule="auto"/>
        <w:ind w:firstLine="709"/>
        <w:jc w:val="right"/>
        <w:rPr>
          <w:rFonts w:ascii="Times New Roman" w:hAnsi="Times New Roman"/>
          <w:sz w:val="28"/>
          <w:szCs w:val="28"/>
          <w:lang w:val="uk-UA"/>
        </w:rPr>
      </w:pPr>
      <w:r w:rsidRPr="00C23A80">
        <w:rPr>
          <w:rFonts w:ascii="Times New Roman" w:hAnsi="Times New Roman"/>
          <w:sz w:val="28"/>
          <w:szCs w:val="28"/>
          <w:lang w:val="uk-UA"/>
        </w:rPr>
        <w:t xml:space="preserve">Таблиця </w:t>
      </w:r>
      <w:r w:rsidR="00FB72F7">
        <w:rPr>
          <w:rFonts w:ascii="Times New Roman" w:hAnsi="Times New Roman"/>
          <w:sz w:val="28"/>
          <w:szCs w:val="28"/>
          <w:lang w:val="uk-UA"/>
        </w:rPr>
        <w:t>4</w:t>
      </w:r>
      <w:r w:rsidRPr="00C23A80">
        <w:rPr>
          <w:rFonts w:ascii="Times New Roman" w:hAnsi="Times New Roman"/>
          <w:sz w:val="28"/>
          <w:szCs w:val="28"/>
          <w:lang w:val="uk-UA"/>
        </w:rPr>
        <w:t>.2</w:t>
      </w:r>
    </w:p>
    <w:p w14:paraId="5D963F81" w14:textId="1E3A05F9" w:rsidR="00714A4B" w:rsidRPr="00FB72F7" w:rsidRDefault="00714A4B" w:rsidP="00E45A7E">
      <w:pPr>
        <w:spacing w:line="360" w:lineRule="auto"/>
        <w:ind w:firstLine="709"/>
        <w:jc w:val="center"/>
        <w:rPr>
          <w:rFonts w:ascii="Times New Roman" w:hAnsi="Times New Roman"/>
          <w:sz w:val="28"/>
          <w:szCs w:val="28"/>
          <w:lang w:val="uk-UA"/>
        </w:rPr>
      </w:pPr>
      <w:r w:rsidRPr="00FB72F7">
        <w:rPr>
          <w:rFonts w:ascii="Times New Roman" w:hAnsi="Times New Roman"/>
          <w:sz w:val="28"/>
          <w:szCs w:val="28"/>
          <w:lang w:val="uk-UA"/>
        </w:rPr>
        <w:t xml:space="preserve">Показники індексу </w:t>
      </w:r>
      <w:r w:rsidRPr="00FB72F7">
        <w:rPr>
          <w:rFonts w:ascii="Times New Roman" w:hAnsi="Times New Roman"/>
          <w:sz w:val="28"/>
          <w:szCs w:val="28"/>
          <w:lang w:val="ru-RU"/>
        </w:rPr>
        <w:t xml:space="preserve">РМА </w:t>
      </w:r>
      <w:r w:rsidRPr="00FB72F7">
        <w:rPr>
          <w:rFonts w:ascii="Times New Roman" w:hAnsi="Times New Roman"/>
          <w:sz w:val="28"/>
          <w:szCs w:val="28"/>
          <w:lang w:val="uk-UA"/>
        </w:rPr>
        <w:t>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714A4B" w:rsidRPr="002804DE" w14:paraId="23DBAC21" w14:textId="77777777" w:rsidTr="00986E83">
        <w:trPr>
          <w:trHeight w:val="471"/>
          <w:jc w:val="center"/>
        </w:trPr>
        <w:tc>
          <w:tcPr>
            <w:tcW w:w="1838" w:type="dxa"/>
            <w:vMerge w:val="restart"/>
            <w:shd w:val="clear" w:color="auto" w:fill="auto"/>
          </w:tcPr>
          <w:p w14:paraId="680F17EB" w14:textId="77777777" w:rsidR="00714A4B" w:rsidRPr="002804DE" w:rsidRDefault="00714A4B" w:rsidP="00D70452">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26158D55" w14:textId="44068F15" w:rsidR="00714A4B" w:rsidRPr="002804DE" w:rsidRDefault="00714A4B" w:rsidP="00714A4B">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Pr>
                <w:rFonts w:ascii="Times New Roman" w:hAnsi="Times New Roman"/>
                <w:sz w:val="28"/>
                <w:szCs w:val="28"/>
                <w:lang w:val="uk-UA"/>
              </w:rPr>
              <w:t>РМА (%</w:t>
            </w:r>
            <w:r w:rsidRPr="002804DE">
              <w:rPr>
                <w:rFonts w:ascii="Times New Roman" w:hAnsi="Times New Roman"/>
                <w:sz w:val="28"/>
                <w:szCs w:val="28"/>
                <w:lang w:val="uk-UA"/>
              </w:rPr>
              <w:t>)</w:t>
            </w:r>
          </w:p>
        </w:tc>
      </w:tr>
      <w:tr w:rsidR="00714A4B" w:rsidRPr="00043875" w14:paraId="2DFC2507" w14:textId="77777777" w:rsidTr="00986E83">
        <w:trPr>
          <w:trHeight w:val="486"/>
          <w:jc w:val="center"/>
        </w:trPr>
        <w:tc>
          <w:tcPr>
            <w:tcW w:w="1838" w:type="dxa"/>
            <w:vMerge/>
            <w:shd w:val="clear" w:color="auto" w:fill="auto"/>
          </w:tcPr>
          <w:p w14:paraId="3D6734F2" w14:textId="77777777" w:rsidR="00714A4B" w:rsidRPr="002804DE" w:rsidRDefault="00714A4B" w:rsidP="00D70452">
            <w:pPr>
              <w:spacing w:after="0" w:line="360" w:lineRule="auto"/>
              <w:ind w:hanging="5"/>
              <w:jc w:val="center"/>
              <w:rPr>
                <w:rFonts w:ascii="Times New Roman" w:hAnsi="Times New Roman"/>
                <w:sz w:val="28"/>
                <w:szCs w:val="28"/>
                <w:lang w:val="uk-UA"/>
              </w:rPr>
            </w:pPr>
          </w:p>
        </w:tc>
        <w:tc>
          <w:tcPr>
            <w:tcW w:w="1418" w:type="dxa"/>
            <w:shd w:val="clear" w:color="auto" w:fill="auto"/>
          </w:tcPr>
          <w:p w14:paraId="3B670247" w14:textId="77777777" w:rsidR="00714A4B" w:rsidRPr="002804DE" w:rsidRDefault="00714A4B" w:rsidP="00D70452">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79CF39E0" w14:textId="77777777" w:rsidR="00714A4B" w:rsidRPr="002804DE" w:rsidRDefault="00714A4B" w:rsidP="00D70452">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1DEC4FA5" w14:textId="77777777" w:rsidR="00714A4B" w:rsidRPr="002804DE" w:rsidRDefault="00714A4B" w:rsidP="00D70452">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DB83DCB" w14:textId="77777777"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702747D8" w14:textId="77777777"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714A4B" w:rsidRPr="00043875" w14:paraId="1FC48B71" w14:textId="77777777" w:rsidTr="00986E83">
        <w:trPr>
          <w:trHeight w:val="429"/>
          <w:jc w:val="center"/>
        </w:trPr>
        <w:tc>
          <w:tcPr>
            <w:tcW w:w="1838" w:type="dxa"/>
            <w:shd w:val="clear" w:color="auto" w:fill="auto"/>
          </w:tcPr>
          <w:p w14:paraId="3D254540" w14:textId="77777777" w:rsidR="00714A4B" w:rsidRPr="002804DE" w:rsidRDefault="00714A4B" w:rsidP="00D70452">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59DE7B92" w14:textId="363A8898" w:rsidR="00714A4B" w:rsidRPr="002804DE" w:rsidRDefault="00714A4B" w:rsidP="00D70452">
            <w:pPr>
              <w:spacing w:after="0" w:line="360" w:lineRule="auto"/>
              <w:rPr>
                <w:rFonts w:ascii="Times New Roman" w:hAnsi="Times New Roman"/>
                <w:sz w:val="28"/>
                <w:szCs w:val="28"/>
                <w:lang w:val="uk-UA"/>
              </w:rPr>
            </w:pPr>
            <w:r>
              <w:rPr>
                <w:rFonts w:ascii="Times New Roman" w:hAnsi="Times New Roman"/>
                <w:sz w:val="28"/>
                <w:szCs w:val="28"/>
                <w:lang w:val="uk-UA"/>
              </w:rPr>
              <w:t>34,34±2,54</w:t>
            </w:r>
          </w:p>
        </w:tc>
        <w:tc>
          <w:tcPr>
            <w:tcW w:w="1417" w:type="dxa"/>
            <w:shd w:val="clear" w:color="auto" w:fill="auto"/>
          </w:tcPr>
          <w:p w14:paraId="47376947" w14:textId="3A93F30A"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6,86±1,53</w:t>
            </w:r>
          </w:p>
        </w:tc>
        <w:tc>
          <w:tcPr>
            <w:tcW w:w="1559" w:type="dxa"/>
            <w:shd w:val="clear" w:color="auto" w:fill="auto"/>
          </w:tcPr>
          <w:p w14:paraId="33CEAF72" w14:textId="0ECD7819"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35,5±2,35</w:t>
            </w:r>
          </w:p>
        </w:tc>
        <w:tc>
          <w:tcPr>
            <w:tcW w:w="1570" w:type="dxa"/>
            <w:shd w:val="clear" w:color="auto" w:fill="auto"/>
          </w:tcPr>
          <w:p w14:paraId="1B2D7C69" w14:textId="27954BFA"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7,87</w:t>
            </w:r>
            <w:r>
              <w:rPr>
                <w:rFonts w:ascii="Times New Roman" w:hAnsi="Times New Roman" w:cs="Times New Roman"/>
                <w:sz w:val="28"/>
                <w:szCs w:val="28"/>
                <w:lang w:val="uk-UA"/>
              </w:rPr>
              <w:t>±</w:t>
            </w:r>
            <w:r>
              <w:rPr>
                <w:rFonts w:ascii="Times New Roman" w:hAnsi="Times New Roman"/>
                <w:sz w:val="28"/>
                <w:szCs w:val="28"/>
                <w:lang w:val="uk-UA"/>
              </w:rPr>
              <w:t>1,52</w:t>
            </w:r>
          </w:p>
        </w:tc>
        <w:tc>
          <w:tcPr>
            <w:tcW w:w="1483" w:type="dxa"/>
            <w:shd w:val="clear" w:color="auto" w:fill="auto"/>
          </w:tcPr>
          <w:p w14:paraId="3B0A9360" w14:textId="656E8726" w:rsidR="00714A4B" w:rsidRPr="00B3009F" w:rsidRDefault="00714A4B" w:rsidP="00D70452">
            <w:pPr>
              <w:spacing w:after="0" w:line="360" w:lineRule="auto"/>
              <w:jc w:val="center"/>
              <w:rPr>
                <w:rFonts w:ascii="Times New Roman" w:hAnsi="Times New Roman"/>
                <w:sz w:val="28"/>
                <w:szCs w:val="28"/>
              </w:rPr>
            </w:pPr>
            <w:r>
              <w:rPr>
                <w:rFonts w:ascii="Times New Roman" w:hAnsi="Times New Roman"/>
                <w:sz w:val="28"/>
                <w:szCs w:val="28"/>
                <w:lang w:val="uk-UA"/>
              </w:rPr>
              <w:t>6,03</w:t>
            </w:r>
            <w:r>
              <w:rPr>
                <w:rFonts w:ascii="Times New Roman" w:hAnsi="Times New Roman" w:cs="Times New Roman"/>
                <w:sz w:val="28"/>
                <w:szCs w:val="28"/>
                <w:lang w:val="uk-UA"/>
              </w:rPr>
              <w:t>±</w:t>
            </w:r>
            <w:r>
              <w:rPr>
                <w:rFonts w:ascii="Times New Roman" w:hAnsi="Times New Roman"/>
                <w:sz w:val="28"/>
                <w:szCs w:val="28"/>
                <w:lang w:val="uk-UA"/>
              </w:rPr>
              <w:t>2,56</w:t>
            </w:r>
          </w:p>
        </w:tc>
      </w:tr>
      <w:tr w:rsidR="00986E83" w:rsidRPr="00043875" w14:paraId="3C86A339" w14:textId="77777777" w:rsidTr="00986E83">
        <w:trPr>
          <w:trHeight w:val="427"/>
          <w:jc w:val="center"/>
        </w:trPr>
        <w:tc>
          <w:tcPr>
            <w:tcW w:w="1838" w:type="dxa"/>
            <w:shd w:val="clear" w:color="auto" w:fill="auto"/>
          </w:tcPr>
          <w:p w14:paraId="52261F0E"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 xml:space="preserve">Через 1 місяць </w:t>
            </w:r>
          </w:p>
        </w:tc>
        <w:tc>
          <w:tcPr>
            <w:tcW w:w="1418" w:type="dxa"/>
            <w:shd w:val="clear" w:color="auto" w:fill="auto"/>
          </w:tcPr>
          <w:p w14:paraId="1B822DFC" w14:textId="1B03D847"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3,29±2,06</w:t>
            </w:r>
            <w:r w:rsidRPr="002804DE">
              <w:rPr>
                <w:rFonts w:ascii="Times New Roman" w:hAnsi="Times New Roman"/>
                <w:sz w:val="28"/>
                <w:szCs w:val="28"/>
                <w:lang w:val="uk-UA"/>
              </w:rPr>
              <w:t>*</w:t>
            </w:r>
          </w:p>
        </w:tc>
        <w:tc>
          <w:tcPr>
            <w:tcW w:w="1417" w:type="dxa"/>
            <w:shd w:val="clear" w:color="auto" w:fill="auto"/>
          </w:tcPr>
          <w:p w14:paraId="6C2AE47A" w14:textId="6300DEB8"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1,86±1,76</w:t>
            </w:r>
            <w:r w:rsidRPr="002804DE">
              <w:rPr>
                <w:rFonts w:ascii="Times New Roman" w:hAnsi="Times New Roman"/>
                <w:sz w:val="28"/>
                <w:szCs w:val="28"/>
                <w:lang w:val="uk-UA"/>
              </w:rPr>
              <w:t>*</w:t>
            </w:r>
          </w:p>
        </w:tc>
        <w:tc>
          <w:tcPr>
            <w:tcW w:w="1559" w:type="dxa"/>
            <w:shd w:val="clear" w:color="auto" w:fill="auto"/>
          </w:tcPr>
          <w:p w14:paraId="448C048C" w14:textId="599689D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2,87±1,57</w:t>
            </w:r>
            <w:r w:rsidRPr="002804DE">
              <w:rPr>
                <w:rFonts w:ascii="Times New Roman" w:hAnsi="Times New Roman"/>
                <w:sz w:val="28"/>
                <w:szCs w:val="28"/>
                <w:lang w:val="uk-UA"/>
              </w:rPr>
              <w:t>*</w:t>
            </w:r>
          </w:p>
        </w:tc>
        <w:tc>
          <w:tcPr>
            <w:tcW w:w="1570" w:type="dxa"/>
            <w:shd w:val="clear" w:color="auto" w:fill="auto"/>
          </w:tcPr>
          <w:p w14:paraId="4A973BCF" w14:textId="4821798E"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2,93</w:t>
            </w:r>
            <w:r>
              <w:rPr>
                <w:rFonts w:ascii="Times New Roman" w:hAnsi="Times New Roman" w:cs="Times New Roman"/>
                <w:sz w:val="28"/>
                <w:szCs w:val="28"/>
                <w:lang w:val="uk-UA"/>
              </w:rPr>
              <w:t>±</w:t>
            </w:r>
            <w:r>
              <w:rPr>
                <w:rFonts w:ascii="Times New Roman" w:hAnsi="Times New Roman"/>
                <w:sz w:val="28"/>
                <w:szCs w:val="28"/>
                <w:lang w:val="uk-UA"/>
              </w:rPr>
              <w:t>1,08</w:t>
            </w:r>
            <w:r w:rsidRPr="002804DE">
              <w:rPr>
                <w:rFonts w:ascii="Times New Roman" w:hAnsi="Times New Roman"/>
                <w:sz w:val="28"/>
                <w:szCs w:val="28"/>
                <w:lang w:val="uk-UA"/>
              </w:rPr>
              <w:t>*</w:t>
            </w:r>
          </w:p>
        </w:tc>
        <w:tc>
          <w:tcPr>
            <w:tcW w:w="1483" w:type="dxa"/>
            <w:shd w:val="clear" w:color="auto" w:fill="auto"/>
          </w:tcPr>
          <w:p w14:paraId="26DE62F2" w14:textId="76189130"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5,72</w:t>
            </w:r>
            <w:r>
              <w:rPr>
                <w:rFonts w:ascii="Times New Roman" w:hAnsi="Times New Roman" w:cs="Times New Roman"/>
                <w:sz w:val="28"/>
                <w:szCs w:val="28"/>
                <w:lang w:val="uk-UA"/>
              </w:rPr>
              <w:t>±</w:t>
            </w:r>
            <w:r>
              <w:rPr>
                <w:rFonts w:ascii="Times New Roman" w:hAnsi="Times New Roman"/>
                <w:sz w:val="28"/>
                <w:szCs w:val="28"/>
                <w:lang w:val="uk-UA"/>
              </w:rPr>
              <w:t>1,65</w:t>
            </w:r>
          </w:p>
        </w:tc>
      </w:tr>
      <w:tr w:rsidR="00986E83" w:rsidRPr="002804DE" w14:paraId="566ABA4E" w14:textId="77777777" w:rsidTr="00986E83">
        <w:trPr>
          <w:trHeight w:val="442"/>
          <w:jc w:val="center"/>
        </w:trPr>
        <w:tc>
          <w:tcPr>
            <w:tcW w:w="1838" w:type="dxa"/>
            <w:shd w:val="clear" w:color="auto" w:fill="auto"/>
          </w:tcPr>
          <w:p w14:paraId="14309C39"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Через 3 місяці</w:t>
            </w:r>
          </w:p>
        </w:tc>
        <w:tc>
          <w:tcPr>
            <w:tcW w:w="1418" w:type="dxa"/>
            <w:shd w:val="clear" w:color="auto" w:fill="auto"/>
          </w:tcPr>
          <w:p w14:paraId="27E5FA5E" w14:textId="639354E9"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3,09±1,93</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3CC2C2D0" w14:textId="516F1572"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2,9±1,18</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16B8772A" w14:textId="4DE590AB"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r w:rsidRPr="002804DE">
              <w:rPr>
                <w:rFonts w:ascii="Times New Roman" w:hAnsi="Times New Roman"/>
                <w:sz w:val="28"/>
                <w:szCs w:val="28"/>
                <w:lang w:val="uk-UA"/>
              </w:rPr>
              <w:t>,</w:t>
            </w:r>
            <w:r>
              <w:rPr>
                <w:rFonts w:ascii="Times New Roman" w:hAnsi="Times New Roman"/>
                <w:sz w:val="28"/>
                <w:szCs w:val="28"/>
                <w:lang w:val="uk-UA"/>
              </w:rPr>
              <w:t>5±1,17</w:t>
            </w:r>
            <w:r w:rsidRPr="002804DE">
              <w:rPr>
                <w:rFonts w:ascii="Times New Roman" w:hAnsi="Times New Roman"/>
                <w:sz w:val="28"/>
                <w:szCs w:val="28"/>
                <w:lang w:val="uk-UA"/>
              </w:rPr>
              <w:t>*</w:t>
            </w:r>
          </w:p>
        </w:tc>
        <w:tc>
          <w:tcPr>
            <w:tcW w:w="1570" w:type="dxa"/>
            <w:shd w:val="clear" w:color="auto" w:fill="auto"/>
          </w:tcPr>
          <w:p w14:paraId="3DC03251" w14:textId="47411A1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9,0</w:t>
            </w:r>
            <w:r>
              <w:rPr>
                <w:rFonts w:ascii="Times New Roman" w:hAnsi="Times New Roman" w:cs="Times New Roman"/>
                <w:sz w:val="28"/>
                <w:szCs w:val="28"/>
                <w:lang w:val="uk-UA"/>
              </w:rPr>
              <w:t>±</w:t>
            </w:r>
            <w:r>
              <w:rPr>
                <w:rFonts w:ascii="Times New Roman" w:hAnsi="Times New Roman"/>
                <w:sz w:val="28"/>
                <w:szCs w:val="28"/>
                <w:lang w:val="uk-UA"/>
              </w:rPr>
              <w:t>1,08</w:t>
            </w:r>
          </w:p>
        </w:tc>
        <w:tc>
          <w:tcPr>
            <w:tcW w:w="1483" w:type="dxa"/>
            <w:shd w:val="clear" w:color="auto" w:fill="auto"/>
          </w:tcPr>
          <w:p w14:paraId="11571FC6" w14:textId="40794F72"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4,94</w:t>
            </w:r>
            <w:r>
              <w:rPr>
                <w:rFonts w:ascii="Times New Roman" w:hAnsi="Times New Roman" w:cs="Times New Roman"/>
                <w:sz w:val="28"/>
                <w:szCs w:val="28"/>
                <w:lang w:val="uk-UA"/>
              </w:rPr>
              <w:t>±</w:t>
            </w:r>
            <w:r>
              <w:rPr>
                <w:rFonts w:ascii="Times New Roman" w:hAnsi="Times New Roman"/>
                <w:sz w:val="28"/>
                <w:szCs w:val="28"/>
                <w:lang w:val="uk-UA"/>
              </w:rPr>
              <w:t>1,88</w:t>
            </w:r>
          </w:p>
        </w:tc>
      </w:tr>
      <w:tr w:rsidR="00986E83" w:rsidRPr="002804DE" w14:paraId="3D561268" w14:textId="77777777" w:rsidTr="00986E83">
        <w:trPr>
          <w:trHeight w:val="577"/>
          <w:jc w:val="center"/>
        </w:trPr>
        <w:tc>
          <w:tcPr>
            <w:tcW w:w="1838" w:type="dxa"/>
            <w:shd w:val="clear" w:color="auto" w:fill="auto"/>
          </w:tcPr>
          <w:p w14:paraId="577A3832" w14:textId="77777777" w:rsidR="00986E83" w:rsidRPr="002804DE" w:rsidRDefault="00986E83" w:rsidP="00986E83">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06CACBA8" w14:textId="262D4830" w:rsidR="00986E83" w:rsidRPr="002804DE" w:rsidRDefault="00986E83" w:rsidP="00986E83">
            <w:pPr>
              <w:spacing w:after="0" w:line="360" w:lineRule="auto"/>
              <w:rPr>
                <w:rFonts w:ascii="Times New Roman" w:hAnsi="Times New Roman"/>
                <w:sz w:val="28"/>
                <w:szCs w:val="28"/>
                <w:lang w:val="uk-UA"/>
              </w:rPr>
            </w:pPr>
            <w:r>
              <w:rPr>
                <w:rFonts w:ascii="Times New Roman" w:hAnsi="Times New Roman"/>
                <w:sz w:val="28"/>
                <w:szCs w:val="28"/>
                <w:lang w:val="uk-UA"/>
              </w:rPr>
              <w:t>3,26±2,02</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2CF39851" w14:textId="2D96920E"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1,58±1,36</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18271C51" w14:textId="3D642EE9"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15,17±2,49</w:t>
            </w:r>
            <w:r w:rsidRPr="002804DE">
              <w:rPr>
                <w:rFonts w:ascii="Times New Roman" w:hAnsi="Times New Roman"/>
                <w:sz w:val="28"/>
                <w:szCs w:val="28"/>
                <w:lang w:val="uk-UA"/>
              </w:rPr>
              <w:t>*</w:t>
            </w:r>
          </w:p>
        </w:tc>
        <w:tc>
          <w:tcPr>
            <w:tcW w:w="1570" w:type="dxa"/>
            <w:shd w:val="clear" w:color="auto" w:fill="auto"/>
          </w:tcPr>
          <w:p w14:paraId="2F760E71" w14:textId="6880E87A"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13,67</w:t>
            </w:r>
            <w:r>
              <w:rPr>
                <w:rFonts w:ascii="Times New Roman" w:hAnsi="Times New Roman" w:cs="Times New Roman"/>
                <w:sz w:val="28"/>
                <w:szCs w:val="28"/>
                <w:lang w:val="uk-UA"/>
              </w:rPr>
              <w:t>±</w:t>
            </w:r>
            <w:r>
              <w:rPr>
                <w:rFonts w:ascii="Times New Roman" w:hAnsi="Times New Roman"/>
                <w:sz w:val="28"/>
                <w:szCs w:val="28"/>
                <w:lang w:val="uk-UA"/>
              </w:rPr>
              <w:t>2,2</w:t>
            </w:r>
            <w:r w:rsidR="00EF7ECB">
              <w:rPr>
                <w:rFonts w:ascii="Times New Roman" w:hAnsi="Times New Roman"/>
                <w:sz w:val="28"/>
                <w:szCs w:val="28"/>
                <w:lang w:val="uk-UA"/>
              </w:rPr>
              <w:t>*</w:t>
            </w:r>
          </w:p>
        </w:tc>
        <w:tc>
          <w:tcPr>
            <w:tcW w:w="1483" w:type="dxa"/>
            <w:shd w:val="clear" w:color="auto" w:fill="auto"/>
          </w:tcPr>
          <w:p w14:paraId="5F14D5AC" w14:textId="3BA4EFEB" w:rsidR="00986E83" w:rsidRPr="002804DE" w:rsidRDefault="00986E83" w:rsidP="00986E83">
            <w:pPr>
              <w:spacing w:after="0" w:line="360" w:lineRule="auto"/>
              <w:jc w:val="center"/>
              <w:rPr>
                <w:rFonts w:ascii="Times New Roman" w:hAnsi="Times New Roman"/>
                <w:sz w:val="28"/>
                <w:szCs w:val="28"/>
                <w:lang w:val="uk-UA"/>
              </w:rPr>
            </w:pPr>
            <w:r>
              <w:rPr>
                <w:rFonts w:ascii="Times New Roman" w:hAnsi="Times New Roman"/>
                <w:sz w:val="28"/>
                <w:szCs w:val="28"/>
                <w:lang w:val="uk-UA"/>
              </w:rPr>
              <w:t>4,86</w:t>
            </w:r>
            <w:r>
              <w:rPr>
                <w:rFonts w:ascii="Times New Roman" w:hAnsi="Times New Roman" w:cs="Times New Roman"/>
                <w:sz w:val="28"/>
                <w:szCs w:val="28"/>
                <w:lang w:val="uk-UA"/>
              </w:rPr>
              <w:t>±</w:t>
            </w:r>
            <w:r>
              <w:rPr>
                <w:rFonts w:ascii="Times New Roman" w:hAnsi="Times New Roman"/>
                <w:sz w:val="28"/>
                <w:szCs w:val="28"/>
                <w:lang w:val="uk-UA"/>
              </w:rPr>
              <w:t>1,99</w:t>
            </w:r>
          </w:p>
        </w:tc>
      </w:tr>
      <w:tr w:rsidR="00714A4B" w:rsidRPr="00B3009F" w14:paraId="3ADCE8AF" w14:textId="77777777" w:rsidTr="00986E83">
        <w:trPr>
          <w:trHeight w:val="727"/>
          <w:jc w:val="center"/>
        </w:trPr>
        <w:tc>
          <w:tcPr>
            <w:tcW w:w="1838" w:type="dxa"/>
            <w:shd w:val="clear" w:color="auto" w:fill="auto"/>
          </w:tcPr>
          <w:p w14:paraId="2A0D0157" w14:textId="77777777" w:rsidR="00714A4B" w:rsidRPr="002804DE" w:rsidRDefault="00714A4B" w:rsidP="00D70452">
            <w:pPr>
              <w:spacing w:after="0"/>
              <w:ind w:hanging="5"/>
              <w:rPr>
                <w:rFonts w:ascii="Times New Roman" w:hAnsi="Times New Roman"/>
                <w:sz w:val="28"/>
                <w:szCs w:val="28"/>
                <w:lang w:val="uk-UA"/>
              </w:rPr>
            </w:pPr>
            <w:r>
              <w:rPr>
                <w:rFonts w:ascii="Times New Roman" w:hAnsi="Times New Roman"/>
                <w:sz w:val="28"/>
                <w:szCs w:val="28"/>
                <w:lang w:val="uk-UA"/>
              </w:rPr>
              <w:t>Через 1 рік</w:t>
            </w:r>
          </w:p>
        </w:tc>
        <w:tc>
          <w:tcPr>
            <w:tcW w:w="1418" w:type="dxa"/>
            <w:shd w:val="clear" w:color="auto" w:fill="auto"/>
          </w:tcPr>
          <w:p w14:paraId="4FF92D1D" w14:textId="57900D74" w:rsidR="00714A4B" w:rsidRPr="00B3009F" w:rsidRDefault="00986E83" w:rsidP="00D70452">
            <w:pPr>
              <w:spacing w:after="0" w:line="360" w:lineRule="auto"/>
              <w:rPr>
                <w:rFonts w:ascii="Times New Roman" w:hAnsi="Times New Roman"/>
                <w:sz w:val="28"/>
                <w:szCs w:val="28"/>
              </w:rPr>
            </w:pPr>
            <w:r>
              <w:rPr>
                <w:rFonts w:ascii="Times New Roman" w:hAnsi="Times New Roman"/>
                <w:sz w:val="28"/>
                <w:szCs w:val="28"/>
                <w:lang w:val="ru-RU"/>
              </w:rPr>
              <w:t>3,59</w:t>
            </w:r>
            <w:r w:rsidR="00714A4B">
              <w:rPr>
                <w:rFonts w:ascii="Times New Roman" w:hAnsi="Times New Roman" w:cs="Times New Roman"/>
                <w:sz w:val="28"/>
                <w:szCs w:val="28"/>
                <w:lang w:val="ru-RU"/>
              </w:rPr>
              <w:t>±</w:t>
            </w:r>
            <w:r>
              <w:rPr>
                <w:rFonts w:ascii="Times New Roman" w:hAnsi="Times New Roman" w:cs="Times New Roman"/>
                <w:sz w:val="28"/>
                <w:szCs w:val="28"/>
                <w:lang w:val="ru-RU"/>
              </w:rPr>
              <w:t>2,31</w:t>
            </w:r>
            <w:r w:rsidR="00376DF7" w:rsidRPr="00376DF7">
              <w:rPr>
                <w:rFonts w:ascii="Times New Roman" w:hAnsi="Times New Roman"/>
                <w:sz w:val="28"/>
                <w:szCs w:val="28"/>
                <w:vertAlign w:val="superscript"/>
                <w:lang w:val="uk-UA"/>
              </w:rPr>
              <w:t>1</w:t>
            </w:r>
            <w:r w:rsidR="00714A4B" w:rsidRPr="002804DE">
              <w:rPr>
                <w:rFonts w:ascii="Times New Roman" w:hAnsi="Times New Roman"/>
                <w:sz w:val="28"/>
                <w:szCs w:val="28"/>
                <w:lang w:val="uk-UA"/>
              </w:rPr>
              <w:t>*</w:t>
            </w:r>
          </w:p>
        </w:tc>
        <w:tc>
          <w:tcPr>
            <w:tcW w:w="1417" w:type="dxa"/>
            <w:shd w:val="clear" w:color="auto" w:fill="auto"/>
          </w:tcPr>
          <w:p w14:paraId="25448874" w14:textId="046DDC2F" w:rsidR="00714A4B" w:rsidRPr="00B3009F" w:rsidRDefault="00986E83"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1,94</w:t>
            </w:r>
            <w:r w:rsidR="00714A4B">
              <w:rPr>
                <w:rFonts w:ascii="Times New Roman" w:hAnsi="Times New Roman" w:cs="Times New Roman"/>
                <w:sz w:val="28"/>
                <w:szCs w:val="28"/>
                <w:lang w:val="uk-UA"/>
              </w:rPr>
              <w:t>±</w:t>
            </w:r>
            <w:r>
              <w:rPr>
                <w:rFonts w:ascii="Times New Roman" w:hAnsi="Times New Roman"/>
                <w:sz w:val="28"/>
                <w:szCs w:val="28"/>
                <w:lang w:val="uk-UA"/>
              </w:rPr>
              <w:t>1,61</w:t>
            </w:r>
            <w:r w:rsidR="00714A4B"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51339897" w14:textId="2F063821" w:rsidR="00714A4B" w:rsidRPr="002804DE" w:rsidRDefault="00C3326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31</w:t>
            </w:r>
            <w:r w:rsidR="00714A4B">
              <w:rPr>
                <w:rFonts w:ascii="Times New Roman" w:hAnsi="Times New Roman"/>
                <w:sz w:val="28"/>
                <w:szCs w:val="28"/>
                <w:lang w:val="uk-UA"/>
              </w:rPr>
              <w:t>,</w:t>
            </w:r>
            <w:r>
              <w:rPr>
                <w:rFonts w:ascii="Times New Roman" w:hAnsi="Times New Roman"/>
                <w:sz w:val="28"/>
                <w:szCs w:val="28"/>
                <w:lang w:val="uk-UA"/>
              </w:rPr>
              <w:t>33</w:t>
            </w:r>
            <w:r w:rsidR="00714A4B">
              <w:rPr>
                <w:rFonts w:ascii="Times New Roman" w:hAnsi="Times New Roman" w:cs="Times New Roman"/>
                <w:sz w:val="28"/>
                <w:szCs w:val="28"/>
                <w:lang w:val="uk-UA"/>
              </w:rPr>
              <w:t>±</w:t>
            </w:r>
            <w:r>
              <w:rPr>
                <w:rFonts w:ascii="Times New Roman" w:hAnsi="Times New Roman"/>
                <w:sz w:val="28"/>
                <w:szCs w:val="28"/>
                <w:lang w:val="uk-UA"/>
              </w:rPr>
              <w:t>3,04</w:t>
            </w:r>
            <w:r w:rsidR="00986E83">
              <w:rPr>
                <w:rFonts w:ascii="Times New Roman" w:hAnsi="Times New Roman"/>
                <w:sz w:val="28"/>
                <w:szCs w:val="28"/>
                <w:lang w:val="uk-UA"/>
              </w:rPr>
              <w:t>*</w:t>
            </w:r>
          </w:p>
        </w:tc>
        <w:tc>
          <w:tcPr>
            <w:tcW w:w="1570" w:type="dxa"/>
            <w:shd w:val="clear" w:color="auto" w:fill="auto"/>
          </w:tcPr>
          <w:p w14:paraId="4371B983" w14:textId="3FD93CF6" w:rsidR="00714A4B" w:rsidRPr="002804DE" w:rsidRDefault="00714A4B"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986E83">
              <w:rPr>
                <w:rFonts w:ascii="Times New Roman" w:hAnsi="Times New Roman"/>
                <w:sz w:val="28"/>
                <w:szCs w:val="28"/>
                <w:lang w:val="uk-UA"/>
              </w:rPr>
              <w:t>8,33</w:t>
            </w:r>
            <w:r>
              <w:rPr>
                <w:rFonts w:ascii="Times New Roman" w:hAnsi="Times New Roman" w:cs="Times New Roman"/>
                <w:sz w:val="28"/>
                <w:szCs w:val="28"/>
                <w:lang w:val="uk-UA"/>
              </w:rPr>
              <w:t>±</w:t>
            </w:r>
            <w:r w:rsidR="00986E83">
              <w:rPr>
                <w:rFonts w:ascii="Times New Roman" w:hAnsi="Times New Roman"/>
                <w:sz w:val="28"/>
                <w:szCs w:val="28"/>
                <w:lang w:val="uk-UA"/>
              </w:rPr>
              <w:t>1,65</w:t>
            </w:r>
            <w:r>
              <w:rPr>
                <w:rFonts w:ascii="Times New Roman" w:hAnsi="Times New Roman"/>
                <w:sz w:val="28"/>
                <w:szCs w:val="28"/>
                <w:lang w:val="uk-UA"/>
              </w:rPr>
              <w:t>*</w:t>
            </w:r>
          </w:p>
        </w:tc>
        <w:tc>
          <w:tcPr>
            <w:tcW w:w="1483" w:type="dxa"/>
            <w:shd w:val="clear" w:color="auto" w:fill="auto"/>
          </w:tcPr>
          <w:p w14:paraId="7CE6BC90" w14:textId="3B62026A" w:rsidR="00714A4B" w:rsidRPr="002804DE" w:rsidRDefault="00986E83" w:rsidP="00D70452">
            <w:pPr>
              <w:spacing w:after="0" w:line="360" w:lineRule="auto"/>
              <w:jc w:val="center"/>
              <w:rPr>
                <w:rFonts w:ascii="Times New Roman" w:hAnsi="Times New Roman"/>
                <w:sz w:val="28"/>
                <w:szCs w:val="28"/>
                <w:lang w:val="uk-UA"/>
              </w:rPr>
            </w:pPr>
            <w:r>
              <w:rPr>
                <w:rFonts w:ascii="Times New Roman" w:hAnsi="Times New Roman"/>
                <w:sz w:val="28"/>
                <w:szCs w:val="28"/>
                <w:lang w:val="uk-UA"/>
              </w:rPr>
              <w:t>5,64</w:t>
            </w:r>
            <w:r w:rsidR="00714A4B">
              <w:rPr>
                <w:rFonts w:ascii="Times New Roman" w:hAnsi="Times New Roman" w:cs="Times New Roman"/>
                <w:sz w:val="28"/>
                <w:szCs w:val="28"/>
                <w:lang w:val="uk-UA"/>
              </w:rPr>
              <w:t>±</w:t>
            </w:r>
            <w:r>
              <w:rPr>
                <w:rFonts w:ascii="Times New Roman" w:hAnsi="Times New Roman"/>
                <w:sz w:val="28"/>
                <w:szCs w:val="28"/>
                <w:lang w:val="uk-UA"/>
              </w:rPr>
              <w:t>1,93</w:t>
            </w:r>
          </w:p>
        </w:tc>
      </w:tr>
    </w:tbl>
    <w:p w14:paraId="47D74B87" w14:textId="77777777" w:rsidR="00714A4B" w:rsidRDefault="00714A4B" w:rsidP="00D70452">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23F4D5C9" w14:textId="77777777" w:rsidR="00F42F7A" w:rsidRPr="00F42F7A" w:rsidRDefault="00F42F7A" w:rsidP="00F42F7A">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3DAB0D1B" w14:textId="48F9693E" w:rsidR="00F42F7A" w:rsidRDefault="00F42F7A" w:rsidP="00D70452">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w:t>
      </w:r>
      <w:r w:rsidR="00E66E9E">
        <w:rPr>
          <w:rFonts w:ascii="Times New Roman" w:hAnsi="Times New Roman"/>
          <w:sz w:val="28"/>
          <w:szCs w:val="28"/>
          <w:lang w:val="uk-UA"/>
        </w:rPr>
        <w:t>рупою пацієнтів, р˂0,05</w:t>
      </w:r>
    </w:p>
    <w:p w14:paraId="26D0CBA6" w14:textId="7ED69D79" w:rsidR="00714A4B" w:rsidRDefault="00D70452"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першій групі пацієнтів, де була застосована запропонована нами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схема лікування, індекс РМА був на рівні 3,09 ± 1,93 %, а у третій групі пацієнтів з атопічними захворюваннями та хронічним гінгівітом, де була застосована традиційна методика лікування, індекс РМА дорівнював </w:t>
      </w:r>
      <w:r w:rsidR="00EB2D31">
        <w:rPr>
          <w:rFonts w:ascii="Times New Roman" w:hAnsi="Times New Roman"/>
          <w:sz w:val="28"/>
          <w:szCs w:val="28"/>
          <w:lang w:val="uk-UA"/>
        </w:rPr>
        <w:t>8</w:t>
      </w:r>
      <w:r w:rsidR="00EB2D31" w:rsidRPr="002804DE">
        <w:rPr>
          <w:rFonts w:ascii="Times New Roman" w:hAnsi="Times New Roman"/>
          <w:sz w:val="28"/>
          <w:szCs w:val="28"/>
          <w:lang w:val="uk-UA"/>
        </w:rPr>
        <w:t>,</w:t>
      </w:r>
      <w:r w:rsidR="00EB2D31">
        <w:rPr>
          <w:rFonts w:ascii="Times New Roman" w:hAnsi="Times New Roman"/>
          <w:sz w:val="28"/>
          <w:szCs w:val="28"/>
          <w:lang w:val="uk-UA"/>
        </w:rPr>
        <w:t>5 ± 1,17 %. Таке співвідношення індексних показників свідчить про більшу клінічну ефективність запропонованої нами методики лікування хронічного гінгівіту</w:t>
      </w:r>
      <w:r w:rsidR="002E1F26" w:rsidRPr="002E1F26">
        <w:rPr>
          <w:rFonts w:ascii="Times New Roman" w:hAnsi="Times New Roman"/>
          <w:sz w:val="28"/>
          <w:szCs w:val="28"/>
          <w:lang w:val="uk-UA"/>
        </w:rPr>
        <w:t xml:space="preserve"> [256]</w:t>
      </w:r>
      <w:r w:rsidR="00EB2D31">
        <w:rPr>
          <w:rFonts w:ascii="Times New Roman" w:hAnsi="Times New Roman"/>
          <w:sz w:val="28"/>
          <w:szCs w:val="28"/>
          <w:lang w:val="uk-UA"/>
        </w:rPr>
        <w:t>. Порівняльна характеристика індексу РМА між першою та третьою групами у</w:t>
      </w:r>
      <w:r w:rsidR="00FB72F7">
        <w:rPr>
          <w:rFonts w:ascii="Times New Roman" w:hAnsi="Times New Roman"/>
          <w:sz w:val="28"/>
          <w:szCs w:val="28"/>
          <w:lang w:val="uk-UA"/>
        </w:rPr>
        <w:t xml:space="preserve"> динаміці наведена на діаграмі 4</w:t>
      </w:r>
      <w:r w:rsidR="00EB2D31">
        <w:rPr>
          <w:rFonts w:ascii="Times New Roman" w:hAnsi="Times New Roman"/>
          <w:sz w:val="28"/>
          <w:szCs w:val="28"/>
          <w:lang w:val="uk-UA"/>
        </w:rPr>
        <w:t>.3.</w:t>
      </w:r>
    </w:p>
    <w:p w14:paraId="131772D0" w14:textId="5B202E79" w:rsidR="00E66E9E" w:rsidRDefault="00E66E9E" w:rsidP="00E66E9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отриманих даних через шість місяців після проведеного лікування підтвердив клінічну ефективність запропонованої методики лікування хронічного гінгівіту. Згідно з рівнем індексу РМА у першій групі пацієнтів, який був на рівні 3,26 ± 2,02 %, та рівнем індексу РМА у другій групі, який дорівнював 15,17 ± 2,49 %, характерним для пацієнтів з атопічними захворюваннями є рекурентний характер протікання хронічного гінгівіту при застосуванні тільки традиційної методики лікування без урахування патогенетичної ланки розвитку гінгівіту. </w:t>
      </w:r>
    </w:p>
    <w:p w14:paraId="377B783E" w14:textId="6D58C2B8" w:rsidR="00EB2D31" w:rsidRDefault="00FB72F7" w:rsidP="00EB2D31">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9969E4">
        <w:rPr>
          <w:rFonts w:ascii="Times New Roman" w:hAnsi="Times New Roman"/>
          <w:sz w:val="28"/>
          <w:szCs w:val="28"/>
          <w:lang w:val="uk-UA"/>
        </w:rPr>
        <w:t>.3</w:t>
      </w:r>
    </w:p>
    <w:p w14:paraId="16C0B5C6" w14:textId="3CBD3F50" w:rsidR="00EB2D31" w:rsidRDefault="00EB2D31"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Pr>
          <w:rFonts w:ascii="Times New Roman" w:hAnsi="Times New Roman"/>
          <w:sz w:val="28"/>
          <w:szCs w:val="28"/>
          <w:lang w:val="uk-UA"/>
        </w:rPr>
        <w:t>РМА</w:t>
      </w:r>
      <w:r w:rsidRPr="008A025A">
        <w:rPr>
          <w:rFonts w:ascii="Times New Roman" w:hAnsi="Times New Roman"/>
          <w:sz w:val="28"/>
          <w:szCs w:val="28"/>
          <w:lang w:val="uk-UA"/>
        </w:rPr>
        <w:t xml:space="preserve"> першої та третьої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A0A18D6" w14:textId="77777777" w:rsidR="00EB2D31" w:rsidRDefault="00EB2D31" w:rsidP="00EB2D31">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7067B483" wp14:editId="3D5D7A89">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10DDF7F" w14:textId="77777777" w:rsidR="00677589" w:rsidRDefault="00677589" w:rsidP="001624CF">
      <w:pPr>
        <w:spacing w:after="0" w:line="360" w:lineRule="auto"/>
        <w:ind w:firstLine="709"/>
        <w:jc w:val="both"/>
        <w:rPr>
          <w:rFonts w:ascii="Times New Roman" w:hAnsi="Times New Roman"/>
          <w:sz w:val="28"/>
          <w:szCs w:val="28"/>
          <w:lang w:val="uk-UA"/>
        </w:rPr>
      </w:pPr>
    </w:p>
    <w:p w14:paraId="5898CB7F" w14:textId="3904F10E" w:rsidR="00C3326B" w:rsidRPr="00BC1006" w:rsidRDefault="00C3326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важливим є те, що через один рік спостереження, у пацієнтів третьої групи ми спостерігали клінічну картину хронічного гінгівіту, яка не відрізнялася від початкової. Аналіз індексного оцінювання стан тканин пародонту підтвердив дані клінічного дослідження, індекс РМА дорівнював 31,33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3,04 %, що відповідає середньому ступеню тяжкості </w:t>
      </w:r>
      <w:r w:rsidR="00BC1006">
        <w:rPr>
          <w:rFonts w:ascii="Times New Roman" w:hAnsi="Times New Roman"/>
          <w:sz w:val="28"/>
          <w:szCs w:val="28"/>
          <w:lang w:val="uk-UA"/>
        </w:rPr>
        <w:t xml:space="preserve">гінгівіту. У той же час, через один рік показники індексу РМА першої групи дітей з атопічними захворюваннями, у яких на початку дослідження також був діагностований середній ступінь тяжкості гінгівіту, знаходилися на рівні, досягнутому одразу після проведеного лікування за запропонованою нами методикою та дорівнювали </w:t>
      </w:r>
      <w:r w:rsidR="00BC1006">
        <w:rPr>
          <w:rFonts w:ascii="Times New Roman" w:hAnsi="Times New Roman"/>
          <w:sz w:val="28"/>
          <w:szCs w:val="28"/>
          <w:lang w:val="ru-RU"/>
        </w:rPr>
        <w:t xml:space="preserve">3,59 </w:t>
      </w:r>
      <w:r w:rsidR="00BC1006">
        <w:rPr>
          <w:rFonts w:ascii="Times New Roman" w:hAnsi="Times New Roman" w:cs="Times New Roman"/>
          <w:sz w:val="28"/>
          <w:szCs w:val="28"/>
          <w:lang w:val="ru-RU"/>
        </w:rPr>
        <w:t xml:space="preserve">± 2,31 %. </w:t>
      </w:r>
      <w:r w:rsidR="00BC1006" w:rsidRPr="00BC1006">
        <w:rPr>
          <w:rFonts w:ascii="Times New Roman" w:hAnsi="Times New Roman" w:cs="Times New Roman"/>
          <w:sz w:val="28"/>
          <w:szCs w:val="28"/>
          <w:lang w:val="uk-UA"/>
        </w:rPr>
        <w:t xml:space="preserve">У порівнянні з початковим </w:t>
      </w:r>
      <w:r w:rsidR="00BC1006">
        <w:rPr>
          <w:rFonts w:ascii="Times New Roman" w:hAnsi="Times New Roman" w:cs="Times New Roman"/>
          <w:sz w:val="28"/>
          <w:szCs w:val="28"/>
          <w:lang w:val="uk-UA"/>
        </w:rPr>
        <w:t>рівнем індексу РМА у першій групі, ми спостерігаємо статистично значиму різницю у показниках. Варто відмітити, що індекс РМА у першій групі у 8,7 разів нижчий за аналогічний показник третьої групи через дванадцять місяців спостережень Даний факт підтверджує довготривалий ефект застосованої методики лікування хронічного гінгівіту у дітей на тлі атопічних захворювань. При цьому порівняння показників індексу РМА першої групи з контрольною не виявили статистично значимої різниці впродовж усього строку спостережень.</w:t>
      </w:r>
    </w:p>
    <w:p w14:paraId="119506AF" w14:textId="1413966E" w:rsidR="00EB2D31" w:rsidRDefault="00337614"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Клінічна картина у другій та четвертій групах пацієнтів характеризувалися поодинокими проявами гінгівіту, початковий рівень індексу РМА відповідав 6,86 ± 1,53 % у другій групі та 7,87 </w:t>
      </w:r>
      <w:r>
        <w:rPr>
          <w:rFonts w:ascii="Times New Roman" w:hAnsi="Times New Roman" w:cs="Times New Roman"/>
          <w:sz w:val="28"/>
          <w:szCs w:val="28"/>
          <w:lang w:val="uk-UA"/>
        </w:rPr>
        <w:t xml:space="preserve">± </w:t>
      </w:r>
      <w:r>
        <w:rPr>
          <w:rFonts w:ascii="Times New Roman" w:hAnsi="Times New Roman"/>
          <w:sz w:val="28"/>
          <w:szCs w:val="28"/>
          <w:lang w:val="uk-UA"/>
        </w:rPr>
        <w:t xml:space="preserve">1,52 % без достовірної різниці у показниках. Через один місяць після здійснення заходів профілактики достовірної різниці у показниках ми також не спостерігали, рівень індексу РМА дорівнював 1,86 ± 1,76 % у другій групі та 2,93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1,08 % у четвертій групі. Наявність статистично значимої різниці у показниках при порівнянні з початковим рівне свідчить про ефективність профілактичних заходів в обох групах. Достовірна різниця у показниках індексу РМА між групами починається з третього місяця спостережень, </w:t>
      </w:r>
      <w:r w:rsidR="009969E4">
        <w:rPr>
          <w:rFonts w:ascii="Times New Roman" w:hAnsi="Times New Roman"/>
          <w:sz w:val="28"/>
          <w:szCs w:val="28"/>
          <w:lang w:val="uk-UA"/>
        </w:rPr>
        <w:t>у другій групі індекс РМА був на рівні 2,9 ± 1,18 %, у четвертій групі 9,0</w:t>
      </w:r>
      <w:r w:rsidR="009969E4">
        <w:rPr>
          <w:rFonts w:ascii="Times New Roman" w:hAnsi="Times New Roman" w:cs="Times New Roman"/>
          <w:sz w:val="28"/>
          <w:szCs w:val="28"/>
          <w:lang w:val="uk-UA"/>
        </w:rPr>
        <w:t>±</w:t>
      </w:r>
      <w:r w:rsidR="009969E4">
        <w:rPr>
          <w:rFonts w:ascii="Times New Roman" w:hAnsi="Times New Roman"/>
          <w:sz w:val="28"/>
          <w:szCs w:val="28"/>
          <w:lang w:val="uk-UA"/>
        </w:rPr>
        <w:t>1,08, що у 3,1 рази більше, ніж у другій групі. Порівняльна характеристика показників ін</w:t>
      </w:r>
      <w:r w:rsidR="00FB72F7">
        <w:rPr>
          <w:rFonts w:ascii="Times New Roman" w:hAnsi="Times New Roman"/>
          <w:sz w:val="28"/>
          <w:szCs w:val="28"/>
          <w:lang w:val="uk-UA"/>
        </w:rPr>
        <w:t>дексу РМА наведена на діаграмі 4</w:t>
      </w:r>
      <w:r w:rsidR="009969E4">
        <w:rPr>
          <w:rFonts w:ascii="Times New Roman" w:hAnsi="Times New Roman"/>
          <w:sz w:val="28"/>
          <w:szCs w:val="28"/>
          <w:lang w:val="uk-UA"/>
        </w:rPr>
        <w:t>.4.</w:t>
      </w:r>
    </w:p>
    <w:p w14:paraId="5BFFE454" w14:textId="5C1A0A1C" w:rsidR="009969E4" w:rsidRDefault="00FB72F7" w:rsidP="009969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4</w:t>
      </w:r>
      <w:r w:rsidR="009969E4">
        <w:rPr>
          <w:rFonts w:ascii="Times New Roman" w:hAnsi="Times New Roman"/>
          <w:sz w:val="28"/>
          <w:szCs w:val="28"/>
          <w:lang w:val="uk-UA"/>
        </w:rPr>
        <w:t>.4</w:t>
      </w:r>
    </w:p>
    <w:p w14:paraId="02E758D0" w14:textId="581448B1" w:rsidR="009969E4" w:rsidRDefault="009969E4" w:rsidP="00E45A7E">
      <w:pPr>
        <w:spacing w:after="0" w:line="360" w:lineRule="auto"/>
        <w:jc w:val="center"/>
        <w:rPr>
          <w:rFonts w:ascii="Times New Roman" w:hAnsi="Times New Roman"/>
          <w:sz w:val="28"/>
          <w:szCs w:val="28"/>
          <w:lang w:val="uk-UA"/>
        </w:rPr>
      </w:pPr>
      <w:r w:rsidRPr="008A025A">
        <w:rPr>
          <w:rFonts w:ascii="Times New Roman" w:hAnsi="Times New Roman"/>
          <w:sz w:val="28"/>
          <w:szCs w:val="28"/>
          <w:lang w:val="uk-UA"/>
        </w:rPr>
        <w:t xml:space="preserve">Порівняльна характеристика індексу </w:t>
      </w:r>
      <w:r>
        <w:rPr>
          <w:rFonts w:ascii="Times New Roman" w:hAnsi="Times New Roman"/>
          <w:sz w:val="28"/>
          <w:szCs w:val="28"/>
          <w:lang w:val="uk-UA"/>
        </w:rPr>
        <w:t>РМА</w:t>
      </w:r>
      <w:r w:rsidRPr="008A025A">
        <w:rPr>
          <w:rFonts w:ascii="Times New Roman" w:hAnsi="Times New Roman"/>
          <w:sz w:val="28"/>
          <w:szCs w:val="28"/>
          <w:lang w:val="uk-UA"/>
        </w:rPr>
        <w:t xml:space="preserve"> </w:t>
      </w:r>
      <w:r>
        <w:rPr>
          <w:rFonts w:ascii="Times New Roman" w:hAnsi="Times New Roman"/>
          <w:sz w:val="28"/>
          <w:szCs w:val="28"/>
          <w:lang w:val="uk-UA"/>
        </w:rPr>
        <w:t>другої</w:t>
      </w:r>
      <w:r w:rsidRPr="008A025A">
        <w:rPr>
          <w:rFonts w:ascii="Times New Roman" w:hAnsi="Times New Roman"/>
          <w:sz w:val="28"/>
          <w:szCs w:val="28"/>
          <w:lang w:val="uk-UA"/>
        </w:rPr>
        <w:t xml:space="preserve"> та </w:t>
      </w:r>
      <w:r>
        <w:rPr>
          <w:rFonts w:ascii="Times New Roman" w:hAnsi="Times New Roman"/>
          <w:sz w:val="28"/>
          <w:szCs w:val="28"/>
          <w:lang w:val="uk-UA"/>
        </w:rPr>
        <w:t>четвертої</w:t>
      </w:r>
      <w:r w:rsidRPr="008A025A">
        <w:rPr>
          <w:rFonts w:ascii="Times New Roman" w:hAnsi="Times New Roman"/>
          <w:sz w:val="28"/>
          <w:szCs w:val="28"/>
          <w:lang w:val="uk-UA"/>
        </w:rPr>
        <w:t xml:space="preserve">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0046E56E" w14:textId="77777777" w:rsidR="009969E4" w:rsidRDefault="009969E4" w:rsidP="009969E4">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3ADC537A" wp14:editId="1A99077A">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7C0230F" w14:textId="77777777" w:rsidR="00677589" w:rsidRDefault="00677589" w:rsidP="00677589">
      <w:pPr>
        <w:spacing w:after="0" w:line="360" w:lineRule="auto"/>
        <w:jc w:val="both"/>
        <w:rPr>
          <w:rFonts w:ascii="Times New Roman" w:hAnsi="Times New Roman"/>
          <w:sz w:val="28"/>
          <w:szCs w:val="28"/>
          <w:lang w:val="uk-UA"/>
        </w:rPr>
      </w:pPr>
    </w:p>
    <w:p w14:paraId="34EA15F8" w14:textId="33B2BD5B" w:rsidR="009969E4" w:rsidRDefault="009969E4"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свідчать отримані дані, динаміка зростання індексу РМА у четвертій групі зберіглася через шість та дванадцять місяців спостереження. Через шість місяців індекс РМА дорівнював </w:t>
      </w:r>
      <w:r w:rsidR="00EF7ECB">
        <w:rPr>
          <w:rFonts w:ascii="Times New Roman" w:hAnsi="Times New Roman"/>
          <w:sz w:val="28"/>
          <w:szCs w:val="28"/>
          <w:lang w:val="uk-UA"/>
        </w:rPr>
        <w:t xml:space="preserve">13,67 </w:t>
      </w:r>
      <w:r w:rsidR="00EF7ECB">
        <w:rPr>
          <w:rFonts w:ascii="Times New Roman" w:hAnsi="Times New Roman" w:cs="Times New Roman"/>
          <w:sz w:val="28"/>
          <w:szCs w:val="28"/>
          <w:lang w:val="uk-UA"/>
        </w:rPr>
        <w:t xml:space="preserve">± </w:t>
      </w:r>
      <w:r w:rsidR="00EF7ECB">
        <w:rPr>
          <w:rFonts w:ascii="Times New Roman" w:hAnsi="Times New Roman"/>
          <w:sz w:val="28"/>
          <w:szCs w:val="28"/>
          <w:lang w:val="uk-UA"/>
        </w:rPr>
        <w:t xml:space="preserve">2,2 %, через дванадцять місяців 18,33 </w:t>
      </w:r>
      <w:r w:rsidR="00EF7ECB">
        <w:rPr>
          <w:rFonts w:ascii="Times New Roman" w:hAnsi="Times New Roman" w:cs="Times New Roman"/>
          <w:sz w:val="28"/>
          <w:szCs w:val="28"/>
          <w:lang w:val="uk-UA"/>
        </w:rPr>
        <w:t xml:space="preserve">± </w:t>
      </w:r>
      <w:r w:rsidR="00EF7ECB">
        <w:rPr>
          <w:rFonts w:ascii="Times New Roman" w:hAnsi="Times New Roman"/>
          <w:sz w:val="28"/>
          <w:szCs w:val="28"/>
          <w:lang w:val="uk-UA"/>
        </w:rPr>
        <w:t xml:space="preserve">1,65 %. </w:t>
      </w:r>
      <w:r w:rsidR="00687F14">
        <w:rPr>
          <w:rFonts w:ascii="Times New Roman" w:hAnsi="Times New Roman"/>
          <w:sz w:val="28"/>
          <w:szCs w:val="28"/>
          <w:lang w:val="uk-UA"/>
        </w:rPr>
        <w:t xml:space="preserve">Відносно групи порівняння, ми також спостерігали достовірну різницю у показниках індексу РМА. </w:t>
      </w:r>
      <w:r w:rsidR="00EF7ECB">
        <w:rPr>
          <w:rFonts w:ascii="Times New Roman" w:hAnsi="Times New Roman"/>
          <w:sz w:val="28"/>
          <w:szCs w:val="28"/>
          <w:lang w:val="uk-UA"/>
        </w:rPr>
        <w:t>Отримана в результаті дослідження тенденція демонструє низьку ефективність загальноприйнятих заходів профілактики гінгівіту у дітей з атопічними захворюваннями, а також схильність даного контингенту дітей до розвитку запальних захворювань пародонту. Таким чином, згідно з отриманими даними діти з атопічними захворюваннями знаходяться у групі ризику розвитку гінгівіту.</w:t>
      </w:r>
    </w:p>
    <w:p w14:paraId="6AFC78F5" w14:textId="5189EF6B" w:rsidR="00EF7ECB" w:rsidRDefault="00EF7ECB" w:rsidP="001624C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той же час, аналіз показників другої групи пацієнтів з атопічними захворюваннями через шість та дванадцять місяців засвідчує відсутність патологічних змін з боку тканин пародонту. Відповідно до отриманих даних, індекс РМА через шість місяців дорівнював 1,58±1,36, через дванадцять місяців 1,94 </w:t>
      </w:r>
      <w:r>
        <w:rPr>
          <w:rFonts w:ascii="Times New Roman" w:hAnsi="Times New Roman" w:cs="Times New Roman"/>
          <w:sz w:val="28"/>
          <w:szCs w:val="28"/>
          <w:lang w:val="uk-UA"/>
        </w:rPr>
        <w:t xml:space="preserve">± </w:t>
      </w:r>
      <w:r>
        <w:rPr>
          <w:rFonts w:ascii="Times New Roman" w:hAnsi="Times New Roman"/>
          <w:sz w:val="28"/>
          <w:szCs w:val="28"/>
          <w:lang w:val="uk-UA"/>
        </w:rPr>
        <w:t>1,61 %. Нами не була відмічена достовірна різниця у значеннях індексу РМА</w:t>
      </w:r>
      <w:r w:rsidR="00687F14">
        <w:rPr>
          <w:rFonts w:ascii="Times New Roman" w:hAnsi="Times New Roman"/>
          <w:sz w:val="28"/>
          <w:szCs w:val="28"/>
          <w:lang w:val="uk-UA"/>
        </w:rPr>
        <w:t xml:space="preserve"> у динаміці, що підтверджує ефективність запропонованої програми профілактики.</w:t>
      </w:r>
    </w:p>
    <w:p w14:paraId="24F5B649" w14:textId="4136D85C" w:rsidR="009969E4" w:rsidRPr="00BC1006" w:rsidRDefault="00687F14" w:rsidP="000F6B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00F355B5">
        <w:rPr>
          <w:rFonts w:ascii="Times New Roman" w:hAnsi="Times New Roman"/>
          <w:sz w:val="28"/>
          <w:szCs w:val="28"/>
          <w:lang w:val="uk-UA"/>
        </w:rPr>
        <w:t>на початку дослідження у першій та треті</w:t>
      </w:r>
      <w:r w:rsidR="00D04A8B">
        <w:rPr>
          <w:rFonts w:ascii="Times New Roman" w:hAnsi="Times New Roman"/>
          <w:sz w:val="28"/>
          <w:szCs w:val="28"/>
          <w:lang w:val="uk-UA"/>
        </w:rPr>
        <w:t>й</w:t>
      </w:r>
      <w:r w:rsidR="00F355B5">
        <w:rPr>
          <w:rFonts w:ascii="Times New Roman" w:hAnsi="Times New Roman"/>
          <w:sz w:val="28"/>
          <w:szCs w:val="28"/>
          <w:lang w:val="uk-UA"/>
        </w:rPr>
        <w:t xml:space="preserve"> групах пацієнтів нами був встановлений середній ступінь тяжкості гінгівіту без достовірної різниці у показниках. У пацієнтів другої та четвертої групи, хворих на атопічні захворювання</w:t>
      </w:r>
      <w:r w:rsidR="00C7108E">
        <w:rPr>
          <w:rFonts w:ascii="Times New Roman" w:hAnsi="Times New Roman"/>
          <w:sz w:val="28"/>
          <w:szCs w:val="28"/>
          <w:lang w:val="uk-UA"/>
        </w:rPr>
        <w:t>, рівень запалення був мінімальним згідно з індексом РМА</w:t>
      </w:r>
      <w:r w:rsidR="00603424">
        <w:rPr>
          <w:rFonts w:ascii="Times New Roman" w:hAnsi="Times New Roman"/>
          <w:sz w:val="28"/>
          <w:szCs w:val="28"/>
          <w:lang w:val="uk-UA"/>
        </w:rPr>
        <w:t xml:space="preserve"> та достовірно не відрізнявся між собою та контрольною групою</w:t>
      </w:r>
      <w:r w:rsidR="004A1812">
        <w:rPr>
          <w:rFonts w:ascii="Times New Roman" w:hAnsi="Times New Roman"/>
          <w:sz w:val="28"/>
          <w:szCs w:val="28"/>
          <w:lang w:val="uk-UA"/>
        </w:rPr>
        <w:t>. Середній рівень індексу РМА у групах пацієнтів з атопічними захвор</w:t>
      </w:r>
      <w:r w:rsidR="00603424">
        <w:rPr>
          <w:rFonts w:ascii="Times New Roman" w:hAnsi="Times New Roman"/>
          <w:sz w:val="28"/>
          <w:szCs w:val="28"/>
          <w:lang w:val="uk-UA"/>
        </w:rPr>
        <w:t xml:space="preserve">юваннями у анамнезі дорівнював 22.51 </w:t>
      </w:r>
      <w:r w:rsidR="00603424">
        <w:rPr>
          <w:rFonts w:ascii="Times New Roman" w:hAnsi="Times New Roman" w:cs="Times New Roman"/>
          <w:sz w:val="28"/>
          <w:szCs w:val="28"/>
          <w:lang w:val="uk-UA"/>
        </w:rPr>
        <w:t>±</w:t>
      </w:r>
      <w:r w:rsidR="00603424">
        <w:rPr>
          <w:rFonts w:ascii="Times New Roman" w:hAnsi="Times New Roman"/>
          <w:sz w:val="28"/>
          <w:szCs w:val="28"/>
          <w:lang w:val="uk-UA"/>
        </w:rPr>
        <w:t xml:space="preserve"> </w:t>
      </w:r>
      <w:r w:rsidR="00603424" w:rsidRPr="00603424">
        <w:rPr>
          <w:rFonts w:ascii="Times New Roman" w:hAnsi="Times New Roman"/>
          <w:sz w:val="28"/>
          <w:szCs w:val="28"/>
          <w:lang w:val="uk-UA"/>
        </w:rPr>
        <w:t>1.83</w:t>
      </w:r>
      <w:r w:rsidR="00C7108E" w:rsidRPr="00C7108E">
        <w:rPr>
          <w:rFonts w:ascii="Times New Roman" w:hAnsi="Times New Roman"/>
          <w:sz w:val="28"/>
          <w:szCs w:val="28"/>
          <w:lang w:val="uk-UA"/>
        </w:rPr>
        <w:t xml:space="preserve"> </w:t>
      </w:r>
      <w:r w:rsidR="00603424">
        <w:rPr>
          <w:rFonts w:ascii="Times New Roman" w:hAnsi="Times New Roman"/>
          <w:sz w:val="28"/>
          <w:szCs w:val="28"/>
          <w:lang w:val="uk-UA"/>
        </w:rPr>
        <w:t xml:space="preserve">%, у той час як у контрольній групі пацієнтів він дорівнював 6.03 </w:t>
      </w:r>
      <w:r w:rsidR="00603424">
        <w:rPr>
          <w:rFonts w:ascii="Times New Roman" w:hAnsi="Times New Roman" w:cs="Times New Roman"/>
          <w:sz w:val="28"/>
          <w:szCs w:val="28"/>
          <w:lang w:val="uk-UA"/>
        </w:rPr>
        <w:t>±</w:t>
      </w:r>
      <w:r w:rsidR="00603424">
        <w:rPr>
          <w:rFonts w:ascii="Times New Roman" w:hAnsi="Times New Roman"/>
          <w:sz w:val="28"/>
          <w:szCs w:val="28"/>
          <w:lang w:val="uk-UA"/>
        </w:rPr>
        <w:t xml:space="preserve"> </w:t>
      </w:r>
      <w:r w:rsidR="00603424" w:rsidRPr="00603424">
        <w:rPr>
          <w:rFonts w:ascii="Times New Roman" w:hAnsi="Times New Roman"/>
          <w:sz w:val="28"/>
          <w:szCs w:val="28"/>
          <w:lang w:val="uk-UA"/>
        </w:rPr>
        <w:t>2.56</w:t>
      </w:r>
      <w:r w:rsidR="00603424">
        <w:rPr>
          <w:rFonts w:ascii="Times New Roman" w:hAnsi="Times New Roman"/>
          <w:sz w:val="28"/>
          <w:szCs w:val="28"/>
          <w:lang w:val="uk-UA"/>
        </w:rPr>
        <w:t xml:space="preserve"> %. Л</w:t>
      </w:r>
      <w:r>
        <w:rPr>
          <w:rFonts w:ascii="Times New Roman" w:hAnsi="Times New Roman"/>
          <w:sz w:val="28"/>
          <w:szCs w:val="28"/>
          <w:lang w:val="uk-UA"/>
        </w:rPr>
        <w:t xml:space="preserve">ікування та профілактика хронічного гінгівіту у дітей </w:t>
      </w:r>
      <w:r w:rsidR="00935AF6">
        <w:rPr>
          <w:rFonts w:ascii="Times New Roman" w:hAnsi="Times New Roman"/>
          <w:sz w:val="28"/>
          <w:szCs w:val="28"/>
          <w:lang w:val="uk-UA"/>
        </w:rPr>
        <w:t>з атопічними захворюваннями, які</w:t>
      </w:r>
      <w:r>
        <w:rPr>
          <w:rFonts w:ascii="Times New Roman" w:hAnsi="Times New Roman"/>
          <w:sz w:val="28"/>
          <w:szCs w:val="28"/>
          <w:lang w:val="uk-UA"/>
        </w:rPr>
        <w:t xml:space="preserve"> </w:t>
      </w:r>
      <w:r w:rsidR="00935AF6">
        <w:rPr>
          <w:rFonts w:ascii="Times New Roman" w:hAnsi="Times New Roman"/>
          <w:sz w:val="28"/>
          <w:szCs w:val="28"/>
          <w:lang w:val="uk-UA"/>
        </w:rPr>
        <w:t>ґрунтую</w:t>
      </w:r>
      <w:r>
        <w:rPr>
          <w:rFonts w:ascii="Times New Roman" w:hAnsi="Times New Roman"/>
          <w:sz w:val="28"/>
          <w:szCs w:val="28"/>
          <w:lang w:val="uk-UA"/>
        </w:rPr>
        <w:t>ться на урахуванні загальносоматичного статусу дітей та враховує патогенетичні зміни, які відбуваються у організмі та тканинах пародонту</w:t>
      </w:r>
      <w:r w:rsidR="00935AF6">
        <w:rPr>
          <w:rFonts w:ascii="Times New Roman" w:hAnsi="Times New Roman"/>
          <w:sz w:val="28"/>
          <w:szCs w:val="28"/>
          <w:lang w:val="uk-UA"/>
        </w:rPr>
        <w:t xml:space="preserve"> на тлі атопічних захворювань</w:t>
      </w:r>
      <w:r>
        <w:rPr>
          <w:rFonts w:ascii="Times New Roman" w:hAnsi="Times New Roman"/>
          <w:sz w:val="28"/>
          <w:szCs w:val="28"/>
          <w:lang w:val="uk-UA"/>
        </w:rPr>
        <w:t xml:space="preserve">, </w:t>
      </w:r>
      <w:r w:rsidR="00935AF6">
        <w:rPr>
          <w:rFonts w:ascii="Times New Roman" w:hAnsi="Times New Roman"/>
          <w:sz w:val="28"/>
          <w:szCs w:val="28"/>
          <w:lang w:val="uk-UA"/>
        </w:rPr>
        <w:t>мали високу клінічну ефективність згідно з показниками індексу РМА.</w:t>
      </w:r>
    </w:p>
    <w:p w14:paraId="33215E05" w14:textId="77777777" w:rsidR="00714A4B" w:rsidRPr="0073363B" w:rsidRDefault="00714A4B" w:rsidP="000F6B89">
      <w:pPr>
        <w:spacing w:after="0" w:line="360" w:lineRule="auto"/>
        <w:jc w:val="both"/>
        <w:rPr>
          <w:rFonts w:ascii="Times New Roman" w:hAnsi="Times New Roman"/>
          <w:sz w:val="28"/>
          <w:szCs w:val="28"/>
          <w:lang w:val="uk-UA"/>
        </w:rPr>
      </w:pPr>
    </w:p>
    <w:p w14:paraId="42E23B46" w14:textId="11FDD992" w:rsidR="002C3D20" w:rsidRPr="00376DF7" w:rsidRDefault="00FB72F7" w:rsidP="00376DF7">
      <w:pPr>
        <w:pStyle w:val="Heading3"/>
        <w:spacing w:line="360" w:lineRule="auto"/>
        <w:ind w:firstLine="709"/>
        <w:rPr>
          <w:rFonts w:ascii="Times New Roman" w:hAnsi="Times New Roman" w:cs="Times New Roman"/>
          <w:color w:val="auto"/>
          <w:sz w:val="28"/>
          <w:szCs w:val="28"/>
          <w:lang w:val="uk-UA"/>
        </w:rPr>
      </w:pPr>
      <w:bookmarkStart w:id="21" w:name="_Toc507575314"/>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.2 </w:t>
      </w:r>
      <w:r w:rsidR="000F6B89" w:rsidRPr="00376DF7">
        <w:rPr>
          <w:rFonts w:ascii="Times New Roman" w:hAnsi="Times New Roman" w:cs="Times New Roman"/>
          <w:color w:val="auto"/>
          <w:sz w:val="28"/>
          <w:szCs w:val="28"/>
          <w:lang w:val="uk-UA"/>
        </w:rPr>
        <w:t>Дослідження с</w:t>
      </w:r>
      <w:r w:rsidR="00906A26" w:rsidRPr="00376DF7">
        <w:rPr>
          <w:rFonts w:ascii="Times New Roman" w:hAnsi="Times New Roman" w:cs="Times New Roman"/>
          <w:color w:val="auto"/>
          <w:sz w:val="28"/>
          <w:szCs w:val="28"/>
          <w:lang w:val="uk-UA"/>
        </w:rPr>
        <w:t>тан</w:t>
      </w:r>
      <w:r w:rsidR="000F6B89" w:rsidRPr="00376DF7">
        <w:rPr>
          <w:rFonts w:ascii="Times New Roman" w:hAnsi="Times New Roman" w:cs="Times New Roman"/>
          <w:color w:val="auto"/>
          <w:sz w:val="28"/>
          <w:szCs w:val="28"/>
          <w:lang w:val="uk-UA"/>
        </w:rPr>
        <w:t>у</w:t>
      </w:r>
      <w:r w:rsidR="00906A26" w:rsidRPr="00376DF7">
        <w:rPr>
          <w:rFonts w:ascii="Times New Roman" w:hAnsi="Times New Roman" w:cs="Times New Roman"/>
          <w:color w:val="auto"/>
          <w:sz w:val="28"/>
          <w:szCs w:val="28"/>
          <w:lang w:val="uk-UA"/>
        </w:rPr>
        <w:t xml:space="preserve"> гігієни </w:t>
      </w:r>
      <w:r w:rsidR="005A47B1" w:rsidRPr="00376DF7">
        <w:rPr>
          <w:rFonts w:ascii="Times New Roman" w:hAnsi="Times New Roman" w:cs="Times New Roman"/>
          <w:color w:val="auto"/>
          <w:sz w:val="28"/>
          <w:szCs w:val="28"/>
          <w:lang w:val="uk-UA"/>
        </w:rPr>
        <w:t xml:space="preserve">та інтенсивності карієсу </w:t>
      </w:r>
      <w:r w:rsidR="00906A26" w:rsidRPr="00376DF7">
        <w:rPr>
          <w:rFonts w:ascii="Times New Roman" w:hAnsi="Times New Roman" w:cs="Times New Roman"/>
          <w:color w:val="auto"/>
          <w:sz w:val="28"/>
          <w:szCs w:val="28"/>
          <w:lang w:val="uk-UA"/>
        </w:rPr>
        <w:t>дітей, хворих на атопічні захворювання</w:t>
      </w:r>
      <w:bookmarkEnd w:id="21"/>
    </w:p>
    <w:p w14:paraId="2E493D03" w14:textId="143B78E6" w:rsidR="00222928" w:rsidRDefault="00222928" w:rsidP="00376DF7">
      <w:pPr>
        <w:spacing w:after="0" w:line="360" w:lineRule="auto"/>
        <w:ind w:firstLine="709"/>
        <w:jc w:val="both"/>
        <w:rPr>
          <w:rFonts w:ascii="Times New Roman" w:hAnsi="Times New Roman"/>
          <w:sz w:val="28"/>
          <w:szCs w:val="28"/>
          <w:lang w:val="uk-UA"/>
        </w:rPr>
      </w:pPr>
      <w:r w:rsidRPr="00376DF7">
        <w:rPr>
          <w:rFonts w:ascii="Times New Roman" w:hAnsi="Times New Roman" w:cs="Times New Roman"/>
          <w:sz w:val="28"/>
          <w:szCs w:val="28"/>
          <w:lang w:val="uk-UA"/>
        </w:rPr>
        <w:t>З метою з’ясування впливу гігієни ротової порожнини на ступінь запалення ясен, нами</w:t>
      </w:r>
      <w:r w:rsidRPr="00376DF7">
        <w:rPr>
          <w:rFonts w:ascii="Times New Roman" w:hAnsi="Times New Roman"/>
          <w:sz w:val="28"/>
          <w:szCs w:val="28"/>
          <w:lang w:val="uk-UA"/>
        </w:rPr>
        <w:t xml:space="preserve"> </w:t>
      </w:r>
      <w:r>
        <w:rPr>
          <w:rFonts w:ascii="Times New Roman" w:hAnsi="Times New Roman"/>
          <w:sz w:val="28"/>
          <w:szCs w:val="28"/>
          <w:lang w:val="uk-UA"/>
        </w:rPr>
        <w:t xml:space="preserve">був проведений порівняльний аналіз стану гігієни у різних групах. </w:t>
      </w:r>
      <w:r w:rsidR="009F4DD3">
        <w:rPr>
          <w:rFonts w:ascii="Times New Roman" w:hAnsi="Times New Roman"/>
          <w:sz w:val="28"/>
          <w:szCs w:val="28"/>
          <w:lang w:val="uk-UA"/>
        </w:rPr>
        <w:t xml:space="preserve">Оскільки мікробний фактор визнаний одним з ключових етіологічних чинників гінгівіту, важливим для нашого дослідження було визначення ролі стану гігієни серед інших етіологічних факторів, </w:t>
      </w:r>
      <w:r w:rsidR="009F4DD3" w:rsidRPr="009F4DD3">
        <w:rPr>
          <w:rFonts w:ascii="Times New Roman" w:hAnsi="Times New Roman"/>
          <w:sz w:val="28"/>
          <w:szCs w:val="28"/>
          <w:lang w:val="uk-UA"/>
        </w:rPr>
        <w:t>на базі спрощеного індексу гігієни за Грін-Вермільйоном (OHI-S)</w:t>
      </w:r>
      <w:r w:rsidR="009F4DD3">
        <w:rPr>
          <w:rFonts w:ascii="Times New Roman" w:hAnsi="Times New Roman"/>
          <w:sz w:val="28"/>
          <w:szCs w:val="28"/>
          <w:lang w:val="uk-UA"/>
        </w:rPr>
        <w:t>. Отримані</w:t>
      </w:r>
      <w:r w:rsidR="0096095F">
        <w:rPr>
          <w:rFonts w:ascii="Times New Roman" w:hAnsi="Times New Roman"/>
          <w:sz w:val="28"/>
          <w:szCs w:val="28"/>
          <w:lang w:val="uk-UA"/>
        </w:rPr>
        <w:t xml:space="preserve"> результати наведені у таблиці 4</w:t>
      </w:r>
      <w:r w:rsidR="009F4DD3">
        <w:rPr>
          <w:rFonts w:ascii="Times New Roman" w:hAnsi="Times New Roman"/>
          <w:sz w:val="28"/>
          <w:szCs w:val="28"/>
          <w:lang w:val="uk-UA"/>
        </w:rPr>
        <w:t>.3.</w:t>
      </w:r>
      <w:r w:rsidR="000F6B89">
        <w:rPr>
          <w:rFonts w:ascii="Times New Roman" w:hAnsi="Times New Roman"/>
          <w:sz w:val="28"/>
          <w:szCs w:val="28"/>
          <w:lang w:val="uk-UA"/>
        </w:rPr>
        <w:t xml:space="preserve"> Середній рівень гігієни у групах дітей з атопічними захворюваннями дорівнював 1.54</w:t>
      </w:r>
      <w:r w:rsidR="000F6B89">
        <w:rPr>
          <w:rFonts w:ascii="Times New Roman" w:hAnsi="Times New Roman" w:cs="Times New Roman"/>
          <w:sz w:val="28"/>
          <w:szCs w:val="28"/>
          <w:lang w:val="uk-UA"/>
        </w:rPr>
        <w:t>±</w:t>
      </w:r>
      <w:r w:rsidR="000F6B89">
        <w:rPr>
          <w:rFonts w:ascii="Times New Roman" w:hAnsi="Times New Roman"/>
          <w:sz w:val="28"/>
          <w:szCs w:val="28"/>
          <w:lang w:val="uk-UA"/>
        </w:rPr>
        <w:t>0.42 бали, що достовірно вище за контрольну групу.</w:t>
      </w:r>
    </w:p>
    <w:p w14:paraId="554AEFCB" w14:textId="2E58F740" w:rsidR="00376DF7" w:rsidRDefault="00376DF7" w:rsidP="00E66E9E">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Згідно з отриманими результатами стан гігієни ротової порожнини у пацієнтів першої та третьої групи був незадовільним на початку дослідження, а через шість та дванадцять міс</w:t>
      </w:r>
      <w:r w:rsidR="00E66E9E">
        <w:rPr>
          <w:rFonts w:ascii="Times New Roman" w:hAnsi="Times New Roman"/>
          <w:sz w:val="28"/>
          <w:szCs w:val="28"/>
          <w:lang w:val="uk-UA"/>
        </w:rPr>
        <w:t xml:space="preserve">яців відповідав рівню «добре». </w:t>
      </w:r>
    </w:p>
    <w:p w14:paraId="7A7382EF" w14:textId="77777777" w:rsidR="00376DF7" w:rsidRDefault="00376DF7" w:rsidP="009F4DD3">
      <w:pPr>
        <w:spacing w:after="0" w:line="360" w:lineRule="auto"/>
        <w:ind w:firstLine="709"/>
        <w:jc w:val="right"/>
        <w:rPr>
          <w:rFonts w:ascii="Times New Roman" w:hAnsi="Times New Roman"/>
          <w:sz w:val="28"/>
          <w:szCs w:val="28"/>
          <w:lang w:val="uk-UA"/>
        </w:rPr>
      </w:pPr>
    </w:p>
    <w:p w14:paraId="1B9CCD41" w14:textId="1D198FF7" w:rsidR="009F4DD3" w:rsidRDefault="009F4DD3" w:rsidP="009F4DD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w:t>
      </w:r>
      <w:r w:rsidR="00FB72F7">
        <w:rPr>
          <w:rFonts w:ascii="Times New Roman" w:hAnsi="Times New Roman"/>
          <w:sz w:val="28"/>
          <w:szCs w:val="28"/>
          <w:lang w:val="uk-UA"/>
        </w:rPr>
        <w:t>ця 4</w:t>
      </w:r>
      <w:r>
        <w:rPr>
          <w:rFonts w:ascii="Times New Roman" w:hAnsi="Times New Roman"/>
          <w:sz w:val="28"/>
          <w:szCs w:val="28"/>
          <w:lang w:val="uk-UA"/>
        </w:rPr>
        <w:t>.3</w:t>
      </w:r>
    </w:p>
    <w:p w14:paraId="0A731CE2" w14:textId="7D27CCDC" w:rsidR="009F4DD3" w:rsidRDefault="009F4DD3"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Динаміка змін стану гігієни порожнини рота у дітей різних груп</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9F4DD3" w:rsidRPr="002804DE" w14:paraId="3AE2819C" w14:textId="77777777" w:rsidTr="00F554F3">
        <w:trPr>
          <w:trHeight w:val="471"/>
          <w:jc w:val="center"/>
        </w:trPr>
        <w:tc>
          <w:tcPr>
            <w:tcW w:w="1838" w:type="dxa"/>
            <w:vMerge w:val="restart"/>
            <w:shd w:val="clear" w:color="auto" w:fill="auto"/>
          </w:tcPr>
          <w:p w14:paraId="50157796" w14:textId="77777777" w:rsidR="009F4DD3" w:rsidRPr="002804DE" w:rsidRDefault="009F4DD3" w:rsidP="00F554F3">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6299A1D6" w14:textId="0CCF5EC3" w:rsidR="009F4DD3" w:rsidRPr="002804DE" w:rsidRDefault="009F4DD3" w:rsidP="009F4DD3">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Pr>
                <w:rFonts w:ascii="Times New Roman" w:hAnsi="Times New Roman"/>
                <w:sz w:val="28"/>
                <w:szCs w:val="28"/>
              </w:rPr>
              <w:t>OHI-S</w:t>
            </w:r>
            <w:r>
              <w:rPr>
                <w:rFonts w:ascii="Times New Roman" w:hAnsi="Times New Roman"/>
                <w:sz w:val="28"/>
                <w:szCs w:val="28"/>
                <w:lang w:val="uk-UA"/>
              </w:rPr>
              <w:t xml:space="preserve"> (бали</w:t>
            </w:r>
            <w:r w:rsidRPr="002804DE">
              <w:rPr>
                <w:rFonts w:ascii="Times New Roman" w:hAnsi="Times New Roman"/>
                <w:sz w:val="28"/>
                <w:szCs w:val="28"/>
                <w:lang w:val="uk-UA"/>
              </w:rPr>
              <w:t>)</w:t>
            </w:r>
          </w:p>
        </w:tc>
      </w:tr>
      <w:tr w:rsidR="009F4DD3" w:rsidRPr="00043875" w14:paraId="22BC58F2" w14:textId="77777777" w:rsidTr="00F554F3">
        <w:trPr>
          <w:trHeight w:val="486"/>
          <w:jc w:val="center"/>
        </w:trPr>
        <w:tc>
          <w:tcPr>
            <w:tcW w:w="1838" w:type="dxa"/>
            <w:vMerge/>
            <w:shd w:val="clear" w:color="auto" w:fill="auto"/>
          </w:tcPr>
          <w:p w14:paraId="1E93029C" w14:textId="77777777" w:rsidR="009F4DD3" w:rsidRPr="002804DE" w:rsidRDefault="009F4DD3" w:rsidP="00F554F3">
            <w:pPr>
              <w:spacing w:after="0" w:line="360" w:lineRule="auto"/>
              <w:ind w:hanging="5"/>
              <w:jc w:val="center"/>
              <w:rPr>
                <w:rFonts w:ascii="Times New Roman" w:hAnsi="Times New Roman"/>
                <w:sz w:val="28"/>
                <w:szCs w:val="28"/>
                <w:lang w:val="uk-UA"/>
              </w:rPr>
            </w:pPr>
          </w:p>
        </w:tc>
        <w:tc>
          <w:tcPr>
            <w:tcW w:w="1418" w:type="dxa"/>
            <w:shd w:val="clear" w:color="auto" w:fill="auto"/>
          </w:tcPr>
          <w:p w14:paraId="08D7D259" w14:textId="77777777" w:rsidR="009F4DD3" w:rsidRPr="002804DE" w:rsidRDefault="009F4DD3" w:rsidP="00F554F3">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AAD523C" w14:textId="77777777" w:rsidR="009F4DD3" w:rsidRPr="002804DE" w:rsidRDefault="009F4DD3" w:rsidP="00F554F3">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4638A096" w14:textId="77777777" w:rsidR="009F4DD3" w:rsidRPr="002804DE" w:rsidRDefault="009F4DD3" w:rsidP="00F554F3">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5757DB3" w14:textId="77777777" w:rsidR="009F4DD3" w:rsidRPr="002804DE" w:rsidRDefault="009F4DD3"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07640264" w14:textId="77777777" w:rsidR="009F4DD3" w:rsidRPr="002804DE" w:rsidRDefault="009F4DD3"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9F4DD3" w:rsidRPr="00043875" w14:paraId="4444719B" w14:textId="77777777" w:rsidTr="00F554F3">
        <w:trPr>
          <w:trHeight w:val="429"/>
          <w:jc w:val="center"/>
        </w:trPr>
        <w:tc>
          <w:tcPr>
            <w:tcW w:w="1838" w:type="dxa"/>
            <w:shd w:val="clear" w:color="auto" w:fill="auto"/>
          </w:tcPr>
          <w:p w14:paraId="2EAD129C" w14:textId="77777777" w:rsidR="009F4DD3" w:rsidRPr="002804DE" w:rsidRDefault="009F4DD3"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0AFA438" w14:textId="49F63643" w:rsidR="009F4DD3" w:rsidRPr="002804DE" w:rsidRDefault="009F4DD3" w:rsidP="009F4DD3">
            <w:pPr>
              <w:spacing w:after="0" w:line="360" w:lineRule="auto"/>
              <w:rPr>
                <w:rFonts w:ascii="Times New Roman" w:hAnsi="Times New Roman"/>
                <w:sz w:val="28"/>
                <w:szCs w:val="28"/>
                <w:lang w:val="uk-UA"/>
              </w:rPr>
            </w:pPr>
            <w:r w:rsidRPr="009F4DD3">
              <w:rPr>
                <w:rFonts w:ascii="Times New Roman" w:hAnsi="Times New Roman"/>
                <w:sz w:val="28"/>
                <w:szCs w:val="28"/>
                <w:lang w:val="uk-UA"/>
              </w:rPr>
              <w:t>1.80</w:t>
            </w:r>
            <w:r w:rsidR="00E86040">
              <w:rPr>
                <w:rFonts w:ascii="Times New Roman" w:hAnsi="Times New Roman" w:cs="Times New Roman"/>
                <w:sz w:val="28"/>
                <w:szCs w:val="28"/>
                <w:lang w:val="uk-UA"/>
              </w:rPr>
              <w:t>±</w:t>
            </w:r>
            <w:r w:rsidRPr="009F4DD3">
              <w:rPr>
                <w:rFonts w:ascii="Times New Roman" w:hAnsi="Times New Roman"/>
                <w:sz w:val="28"/>
                <w:szCs w:val="28"/>
                <w:lang w:val="uk-UA"/>
              </w:rPr>
              <w:t>0.63</w:t>
            </w:r>
          </w:p>
        </w:tc>
        <w:tc>
          <w:tcPr>
            <w:tcW w:w="1417" w:type="dxa"/>
            <w:shd w:val="clear" w:color="auto" w:fill="auto"/>
          </w:tcPr>
          <w:p w14:paraId="2D3BBF01" w14:textId="7D222147"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1.22±0.45</w:t>
            </w:r>
          </w:p>
        </w:tc>
        <w:tc>
          <w:tcPr>
            <w:tcW w:w="1559" w:type="dxa"/>
            <w:shd w:val="clear" w:color="auto" w:fill="auto"/>
          </w:tcPr>
          <w:p w14:paraId="681B47DA" w14:textId="125C71D2"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1.97±0.62</w:t>
            </w:r>
          </w:p>
        </w:tc>
        <w:tc>
          <w:tcPr>
            <w:tcW w:w="1570" w:type="dxa"/>
            <w:shd w:val="clear" w:color="auto" w:fill="auto"/>
          </w:tcPr>
          <w:p w14:paraId="79A062C3" w14:textId="747A7CFC" w:rsidR="009F4DD3" w:rsidRPr="002804DE"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1.11±0.39</w:t>
            </w:r>
          </w:p>
        </w:tc>
        <w:tc>
          <w:tcPr>
            <w:tcW w:w="1483" w:type="dxa"/>
            <w:shd w:val="clear" w:color="auto" w:fill="auto"/>
          </w:tcPr>
          <w:p w14:paraId="18F9DA9D" w14:textId="368B5355" w:rsidR="009F4DD3" w:rsidRPr="00E86040" w:rsidRDefault="00E86040" w:rsidP="00E86040">
            <w:pPr>
              <w:spacing w:after="0" w:line="360" w:lineRule="auto"/>
              <w:jc w:val="center"/>
              <w:rPr>
                <w:rFonts w:ascii="Times New Roman" w:hAnsi="Times New Roman"/>
                <w:sz w:val="28"/>
                <w:szCs w:val="28"/>
                <w:lang w:val="uk-UA"/>
              </w:rPr>
            </w:pPr>
            <w:r w:rsidRPr="00E86040">
              <w:rPr>
                <w:rFonts w:ascii="Times New Roman" w:hAnsi="Times New Roman"/>
                <w:sz w:val="28"/>
                <w:szCs w:val="28"/>
                <w:lang w:val="uk-UA"/>
              </w:rPr>
              <w:t>0.75±0.43</w:t>
            </w:r>
          </w:p>
        </w:tc>
      </w:tr>
      <w:tr w:rsidR="009F4DD3" w:rsidRPr="002804DE" w14:paraId="0F813D72" w14:textId="77777777" w:rsidTr="00F554F3">
        <w:trPr>
          <w:trHeight w:val="577"/>
          <w:jc w:val="center"/>
        </w:trPr>
        <w:tc>
          <w:tcPr>
            <w:tcW w:w="1838" w:type="dxa"/>
            <w:shd w:val="clear" w:color="auto" w:fill="auto"/>
          </w:tcPr>
          <w:p w14:paraId="0FE4E398" w14:textId="77777777" w:rsidR="009F4DD3" w:rsidRPr="002804DE" w:rsidRDefault="009F4DD3"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Через 6 місяців</w:t>
            </w:r>
          </w:p>
        </w:tc>
        <w:tc>
          <w:tcPr>
            <w:tcW w:w="1418" w:type="dxa"/>
            <w:shd w:val="clear" w:color="auto" w:fill="auto"/>
          </w:tcPr>
          <w:p w14:paraId="5AFBEEC5" w14:textId="49BDC59F" w:rsidR="009F4DD3" w:rsidRPr="002804DE" w:rsidRDefault="00E86040" w:rsidP="009F4DD3">
            <w:pPr>
              <w:spacing w:after="0" w:line="360" w:lineRule="auto"/>
              <w:rPr>
                <w:rFonts w:ascii="Times New Roman" w:hAnsi="Times New Roman"/>
                <w:sz w:val="28"/>
                <w:szCs w:val="28"/>
                <w:lang w:val="uk-UA"/>
              </w:rPr>
            </w:pPr>
            <w:r>
              <w:rPr>
                <w:rFonts w:ascii="Times New Roman" w:hAnsi="Times New Roman"/>
                <w:sz w:val="28"/>
                <w:szCs w:val="28"/>
                <w:lang w:val="uk-UA"/>
              </w:rPr>
              <w:t>0.66</w:t>
            </w:r>
            <w:r w:rsidRPr="00E86040">
              <w:rPr>
                <w:rFonts w:ascii="Times New Roman" w:hAnsi="Times New Roman"/>
                <w:sz w:val="28"/>
                <w:szCs w:val="28"/>
                <w:lang w:val="uk-UA"/>
              </w:rPr>
              <w:t>±</w:t>
            </w:r>
            <w:r w:rsidR="009F4DD3" w:rsidRPr="009F4DD3">
              <w:rPr>
                <w:rFonts w:ascii="Times New Roman" w:hAnsi="Times New Roman"/>
                <w:sz w:val="28"/>
                <w:szCs w:val="28"/>
                <w:lang w:val="uk-UA"/>
              </w:rPr>
              <w:t>0.20</w:t>
            </w:r>
            <w:r w:rsidR="009F4DD3" w:rsidRPr="002804DE">
              <w:rPr>
                <w:rFonts w:ascii="Times New Roman" w:hAnsi="Times New Roman"/>
                <w:sz w:val="28"/>
                <w:szCs w:val="28"/>
                <w:lang w:val="uk-UA"/>
              </w:rPr>
              <w:t>*</w:t>
            </w:r>
          </w:p>
        </w:tc>
        <w:tc>
          <w:tcPr>
            <w:tcW w:w="1417" w:type="dxa"/>
            <w:shd w:val="clear" w:color="auto" w:fill="auto"/>
          </w:tcPr>
          <w:p w14:paraId="0E03F062" w14:textId="512C9A10"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0.41</w:t>
            </w:r>
            <w:r w:rsidRPr="00E86040">
              <w:rPr>
                <w:rFonts w:ascii="Times New Roman" w:hAnsi="Times New Roman"/>
                <w:sz w:val="28"/>
                <w:szCs w:val="28"/>
                <w:lang w:val="uk-UA"/>
              </w:rPr>
              <w:t>±0.11</w:t>
            </w:r>
            <w:r w:rsidR="009F4DD3" w:rsidRPr="002804DE">
              <w:rPr>
                <w:rFonts w:ascii="Times New Roman" w:hAnsi="Times New Roman"/>
                <w:sz w:val="28"/>
                <w:szCs w:val="28"/>
                <w:lang w:val="uk-UA"/>
              </w:rPr>
              <w:t>*</w:t>
            </w:r>
          </w:p>
        </w:tc>
        <w:tc>
          <w:tcPr>
            <w:tcW w:w="1559" w:type="dxa"/>
            <w:shd w:val="clear" w:color="auto" w:fill="auto"/>
          </w:tcPr>
          <w:p w14:paraId="482999E5" w14:textId="3B28274C"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0.68</w:t>
            </w:r>
            <w:r w:rsidRPr="00E86040">
              <w:rPr>
                <w:rFonts w:ascii="Times New Roman" w:hAnsi="Times New Roman"/>
                <w:sz w:val="28"/>
                <w:szCs w:val="28"/>
                <w:lang w:val="uk-UA"/>
              </w:rPr>
              <w:t>±0.22</w:t>
            </w:r>
            <w:r w:rsidR="009F4DD3" w:rsidRPr="002804DE">
              <w:rPr>
                <w:rFonts w:ascii="Times New Roman" w:hAnsi="Times New Roman"/>
                <w:sz w:val="28"/>
                <w:szCs w:val="28"/>
                <w:lang w:val="uk-UA"/>
              </w:rPr>
              <w:t>*</w:t>
            </w:r>
          </w:p>
        </w:tc>
        <w:tc>
          <w:tcPr>
            <w:tcW w:w="1570" w:type="dxa"/>
            <w:shd w:val="clear" w:color="auto" w:fill="auto"/>
          </w:tcPr>
          <w:p w14:paraId="7F01CC2A" w14:textId="4CF56EF9"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0.91</w:t>
            </w:r>
            <w:r w:rsidRPr="00E86040">
              <w:rPr>
                <w:rFonts w:ascii="Times New Roman" w:hAnsi="Times New Roman"/>
                <w:sz w:val="28"/>
                <w:szCs w:val="28"/>
                <w:lang w:val="uk-UA"/>
              </w:rPr>
              <w:t>±0.29</w:t>
            </w:r>
          </w:p>
        </w:tc>
        <w:tc>
          <w:tcPr>
            <w:tcW w:w="1483" w:type="dxa"/>
            <w:shd w:val="clear" w:color="auto" w:fill="auto"/>
          </w:tcPr>
          <w:p w14:paraId="03026FA2" w14:textId="13227AAE"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0.72</w:t>
            </w:r>
            <w:r w:rsidRPr="00E86040">
              <w:rPr>
                <w:rFonts w:ascii="Times New Roman" w:hAnsi="Times New Roman"/>
                <w:sz w:val="28"/>
                <w:szCs w:val="28"/>
                <w:lang w:val="uk-UA"/>
              </w:rPr>
              <w:t>±0.20</w:t>
            </w:r>
          </w:p>
        </w:tc>
      </w:tr>
      <w:tr w:rsidR="009F4DD3" w:rsidRPr="00B3009F" w14:paraId="515BCA14" w14:textId="77777777" w:rsidTr="00F554F3">
        <w:trPr>
          <w:trHeight w:val="727"/>
          <w:jc w:val="center"/>
        </w:trPr>
        <w:tc>
          <w:tcPr>
            <w:tcW w:w="1838" w:type="dxa"/>
            <w:shd w:val="clear" w:color="auto" w:fill="auto"/>
          </w:tcPr>
          <w:p w14:paraId="6C1EFC9B" w14:textId="0C4CD9C4" w:rsidR="009F4DD3" w:rsidRPr="002804DE" w:rsidRDefault="009F4DD3" w:rsidP="009F4DD3">
            <w:pPr>
              <w:spacing w:after="0"/>
              <w:ind w:hanging="5"/>
              <w:rPr>
                <w:rFonts w:ascii="Times New Roman" w:hAnsi="Times New Roman"/>
                <w:sz w:val="28"/>
                <w:szCs w:val="28"/>
                <w:lang w:val="uk-UA"/>
              </w:rPr>
            </w:pPr>
            <w:r>
              <w:rPr>
                <w:rFonts w:ascii="Times New Roman" w:hAnsi="Times New Roman"/>
                <w:sz w:val="28"/>
                <w:szCs w:val="28"/>
                <w:lang w:val="uk-UA"/>
              </w:rPr>
              <w:t>Через 12 місяців</w:t>
            </w:r>
          </w:p>
        </w:tc>
        <w:tc>
          <w:tcPr>
            <w:tcW w:w="1418" w:type="dxa"/>
            <w:shd w:val="clear" w:color="auto" w:fill="auto"/>
          </w:tcPr>
          <w:p w14:paraId="7BCDAE02" w14:textId="7D504FA4" w:rsidR="009F4DD3" w:rsidRPr="00E86040" w:rsidRDefault="00E86040" w:rsidP="009F4DD3">
            <w:pPr>
              <w:spacing w:after="0" w:line="360" w:lineRule="auto"/>
              <w:rPr>
                <w:rFonts w:ascii="Times New Roman" w:hAnsi="Times New Roman"/>
                <w:sz w:val="28"/>
                <w:szCs w:val="28"/>
                <w:lang w:val="ru-RU"/>
              </w:rPr>
            </w:pPr>
            <w:r>
              <w:rPr>
                <w:rFonts w:ascii="Times New Roman" w:hAnsi="Times New Roman"/>
                <w:sz w:val="28"/>
                <w:szCs w:val="28"/>
                <w:lang w:val="ru-RU"/>
              </w:rPr>
              <w:t>0.57</w:t>
            </w:r>
            <w:r w:rsidRPr="00E86040">
              <w:rPr>
                <w:rFonts w:ascii="Times New Roman" w:hAnsi="Times New Roman"/>
                <w:sz w:val="28"/>
                <w:szCs w:val="28"/>
                <w:lang w:val="ru-RU"/>
              </w:rPr>
              <w:t>±</w:t>
            </w:r>
            <w:r w:rsidR="009F4DD3" w:rsidRPr="009F4DD3">
              <w:rPr>
                <w:rFonts w:ascii="Times New Roman" w:hAnsi="Times New Roman"/>
                <w:sz w:val="28"/>
                <w:szCs w:val="28"/>
                <w:lang w:val="ru-RU"/>
              </w:rPr>
              <w:t>0.18</w:t>
            </w:r>
            <w:r w:rsidR="009F4DD3" w:rsidRPr="002804DE">
              <w:rPr>
                <w:rFonts w:ascii="Times New Roman" w:hAnsi="Times New Roman"/>
                <w:sz w:val="28"/>
                <w:szCs w:val="28"/>
                <w:lang w:val="uk-UA"/>
              </w:rPr>
              <w:t>*</w:t>
            </w:r>
          </w:p>
        </w:tc>
        <w:tc>
          <w:tcPr>
            <w:tcW w:w="1417" w:type="dxa"/>
            <w:shd w:val="clear" w:color="auto" w:fill="auto"/>
          </w:tcPr>
          <w:p w14:paraId="1C996B8E" w14:textId="745C8EDB" w:rsidR="009F4DD3" w:rsidRPr="00B3009F"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0.63</w:t>
            </w:r>
            <w:r w:rsidRPr="00E86040">
              <w:rPr>
                <w:rFonts w:ascii="Times New Roman" w:hAnsi="Times New Roman"/>
                <w:sz w:val="28"/>
                <w:szCs w:val="28"/>
                <w:lang w:val="uk-UA"/>
              </w:rPr>
              <w:t>±0.20</w:t>
            </w:r>
            <w:r w:rsidR="009F4DD3" w:rsidRPr="002804DE">
              <w:rPr>
                <w:rFonts w:ascii="Times New Roman" w:hAnsi="Times New Roman"/>
                <w:sz w:val="28"/>
                <w:szCs w:val="28"/>
                <w:lang w:val="uk-UA"/>
              </w:rPr>
              <w:t>*</w:t>
            </w:r>
          </w:p>
        </w:tc>
        <w:tc>
          <w:tcPr>
            <w:tcW w:w="1559" w:type="dxa"/>
            <w:shd w:val="clear" w:color="auto" w:fill="auto"/>
          </w:tcPr>
          <w:p w14:paraId="44BFDE8F" w14:textId="1451A37F"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0.54</w:t>
            </w:r>
            <w:r w:rsidRPr="00E86040">
              <w:rPr>
                <w:rFonts w:ascii="Times New Roman" w:hAnsi="Times New Roman"/>
                <w:sz w:val="28"/>
                <w:szCs w:val="28"/>
                <w:lang w:val="uk-UA"/>
              </w:rPr>
              <w:t>±0.19</w:t>
            </w:r>
            <w:r w:rsidR="009F4DD3">
              <w:rPr>
                <w:rFonts w:ascii="Times New Roman" w:hAnsi="Times New Roman"/>
                <w:sz w:val="28"/>
                <w:szCs w:val="28"/>
                <w:lang w:val="uk-UA"/>
              </w:rPr>
              <w:t>*</w:t>
            </w:r>
          </w:p>
        </w:tc>
        <w:tc>
          <w:tcPr>
            <w:tcW w:w="1570" w:type="dxa"/>
            <w:shd w:val="clear" w:color="auto" w:fill="auto"/>
          </w:tcPr>
          <w:p w14:paraId="0FC9E1BA" w14:textId="7EAF1953"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0.76</w:t>
            </w:r>
            <w:r w:rsidRPr="00E86040">
              <w:rPr>
                <w:rFonts w:ascii="Times New Roman" w:hAnsi="Times New Roman"/>
                <w:sz w:val="28"/>
                <w:szCs w:val="28"/>
                <w:lang w:val="uk-UA"/>
              </w:rPr>
              <w:t>±0.17</w:t>
            </w:r>
          </w:p>
        </w:tc>
        <w:tc>
          <w:tcPr>
            <w:tcW w:w="1483" w:type="dxa"/>
            <w:shd w:val="clear" w:color="auto" w:fill="auto"/>
          </w:tcPr>
          <w:p w14:paraId="4EE564E0" w14:textId="746AF7E5" w:rsidR="009F4DD3" w:rsidRPr="002804DE" w:rsidRDefault="00E86040" w:rsidP="00E86040">
            <w:pPr>
              <w:spacing w:after="0" w:line="360" w:lineRule="auto"/>
              <w:jc w:val="center"/>
              <w:rPr>
                <w:rFonts w:ascii="Times New Roman" w:hAnsi="Times New Roman"/>
                <w:sz w:val="28"/>
                <w:szCs w:val="28"/>
                <w:lang w:val="uk-UA"/>
              </w:rPr>
            </w:pPr>
            <w:r>
              <w:rPr>
                <w:rFonts w:ascii="Times New Roman" w:hAnsi="Times New Roman"/>
                <w:sz w:val="28"/>
                <w:szCs w:val="28"/>
                <w:lang w:val="uk-UA"/>
              </w:rPr>
              <w:t>0.63</w:t>
            </w:r>
            <w:r w:rsidRPr="00E86040">
              <w:rPr>
                <w:rFonts w:ascii="Times New Roman" w:hAnsi="Times New Roman"/>
                <w:sz w:val="28"/>
                <w:szCs w:val="28"/>
                <w:lang w:val="uk-UA"/>
              </w:rPr>
              <w:t>±0.16</w:t>
            </w:r>
          </w:p>
        </w:tc>
      </w:tr>
    </w:tbl>
    <w:p w14:paraId="103DCE4A" w14:textId="413D03B5" w:rsidR="002C3D20" w:rsidRDefault="002C3D20" w:rsidP="002C3D20">
      <w:pPr>
        <w:spacing w:after="0" w:line="360" w:lineRule="auto"/>
        <w:jc w:val="both"/>
        <w:rPr>
          <w:rFonts w:ascii="Times New Roman" w:hAnsi="Times New Roman"/>
          <w:sz w:val="28"/>
          <w:szCs w:val="28"/>
          <w:lang w:val="uk-UA"/>
        </w:rPr>
      </w:pPr>
      <w:r w:rsidRPr="00A448F8">
        <w:rPr>
          <w:rFonts w:ascii="Times New Roman" w:hAnsi="Times New Roman"/>
          <w:sz w:val="28"/>
          <w:szCs w:val="28"/>
          <w:lang w:val="uk-UA"/>
        </w:rPr>
        <w:t>Примітка: *</w:t>
      </w:r>
      <w:r w:rsidRPr="00A879D2">
        <w:rPr>
          <w:rFonts w:ascii="Times New Roman" w:hAnsi="Times New Roman"/>
          <w:sz w:val="28"/>
          <w:szCs w:val="28"/>
          <w:lang w:val="uk-UA"/>
        </w:rPr>
        <w:t xml:space="preserve"> - різниця в показниках статистично значи</w:t>
      </w:r>
      <w:r w:rsidR="001A650F">
        <w:rPr>
          <w:rFonts w:ascii="Times New Roman" w:hAnsi="Times New Roman"/>
          <w:sz w:val="28"/>
          <w:szCs w:val="28"/>
          <w:lang w:val="uk-UA"/>
        </w:rPr>
        <w:t>ма відносно початкового рівня, р</w:t>
      </w:r>
      <w:r w:rsidRPr="00A879D2">
        <w:rPr>
          <w:rFonts w:ascii="Times New Roman" w:hAnsi="Times New Roman"/>
          <w:sz w:val="28"/>
          <w:szCs w:val="28"/>
          <w:lang w:val="uk-UA"/>
        </w:rPr>
        <w:t xml:space="preserve"> &lt; 0.05</w:t>
      </w:r>
    </w:p>
    <w:p w14:paraId="44BF7A75" w14:textId="77777777" w:rsidR="00376DF7" w:rsidRDefault="00376DF7" w:rsidP="002C3D20">
      <w:pPr>
        <w:spacing w:after="0" w:line="360" w:lineRule="auto"/>
        <w:jc w:val="both"/>
        <w:rPr>
          <w:rFonts w:ascii="Times New Roman" w:hAnsi="Times New Roman"/>
          <w:sz w:val="28"/>
          <w:szCs w:val="28"/>
          <w:lang w:val="uk-UA"/>
        </w:rPr>
      </w:pPr>
    </w:p>
    <w:p w14:paraId="1D4C8CCB" w14:textId="0D27C4B2" w:rsidR="009F57D5" w:rsidRDefault="009F57D5"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Вивчення показників індексу </w:t>
      </w:r>
      <w:r>
        <w:rPr>
          <w:rFonts w:ascii="Times New Roman" w:hAnsi="Times New Roman"/>
          <w:sz w:val="28"/>
          <w:szCs w:val="28"/>
        </w:rPr>
        <w:t>OHI</w:t>
      </w:r>
      <w:r w:rsidRPr="000228C4">
        <w:rPr>
          <w:rFonts w:ascii="Times New Roman" w:hAnsi="Times New Roman"/>
          <w:sz w:val="28"/>
          <w:szCs w:val="28"/>
          <w:lang w:val="ru-RU"/>
        </w:rPr>
        <w:t>-</w:t>
      </w:r>
      <w:r>
        <w:rPr>
          <w:rFonts w:ascii="Times New Roman" w:hAnsi="Times New Roman"/>
          <w:sz w:val="28"/>
          <w:szCs w:val="28"/>
        </w:rPr>
        <w:t>S</w:t>
      </w:r>
      <w:r>
        <w:rPr>
          <w:rFonts w:ascii="Times New Roman" w:hAnsi="Times New Roman"/>
          <w:sz w:val="28"/>
          <w:szCs w:val="28"/>
          <w:lang w:val="uk-UA"/>
        </w:rPr>
        <w:t xml:space="preserve"> </w:t>
      </w:r>
      <w:r w:rsidR="000228C4">
        <w:rPr>
          <w:rFonts w:ascii="Times New Roman" w:hAnsi="Times New Roman"/>
          <w:sz w:val="28"/>
          <w:szCs w:val="28"/>
          <w:lang w:val="uk-UA"/>
        </w:rPr>
        <w:t xml:space="preserve">продемонструвало статистично значиму різницю у показниках на протязі дослідження. Так, у пацієнтів першої групи на початку дослідження нами був встановлений рівень гігієни на позначці </w:t>
      </w:r>
      <w:r w:rsidR="000228C4" w:rsidRPr="000228C4">
        <w:rPr>
          <w:rFonts w:ascii="Times New Roman" w:hAnsi="Times New Roman"/>
          <w:sz w:val="28"/>
          <w:szCs w:val="28"/>
          <w:lang w:val="uk-UA"/>
        </w:rPr>
        <w:t>1.80±0.63</w:t>
      </w:r>
      <w:r w:rsidR="000228C4">
        <w:rPr>
          <w:rFonts w:ascii="Times New Roman" w:hAnsi="Times New Roman"/>
          <w:sz w:val="28"/>
          <w:szCs w:val="28"/>
          <w:lang w:val="uk-UA"/>
        </w:rPr>
        <w:t xml:space="preserve"> бали, через шість місяців </w:t>
      </w:r>
      <w:r w:rsidR="000228C4" w:rsidRPr="000228C4">
        <w:rPr>
          <w:rFonts w:ascii="Times New Roman" w:hAnsi="Times New Roman"/>
          <w:sz w:val="28"/>
          <w:szCs w:val="28"/>
          <w:lang w:val="uk-UA"/>
        </w:rPr>
        <w:t>0.66±0.20</w:t>
      </w:r>
      <w:r w:rsidR="000228C4">
        <w:rPr>
          <w:rFonts w:ascii="Times New Roman" w:hAnsi="Times New Roman"/>
          <w:sz w:val="28"/>
          <w:szCs w:val="28"/>
          <w:lang w:val="uk-UA"/>
        </w:rPr>
        <w:t xml:space="preserve"> бали, через дванадцять місяців </w:t>
      </w:r>
      <w:r w:rsidR="000228C4" w:rsidRPr="000228C4">
        <w:rPr>
          <w:rFonts w:ascii="Times New Roman" w:hAnsi="Times New Roman"/>
          <w:sz w:val="28"/>
          <w:szCs w:val="28"/>
          <w:lang w:val="uk-UA"/>
        </w:rPr>
        <w:t>0.57±0.18</w:t>
      </w:r>
      <w:r w:rsidR="000228C4">
        <w:rPr>
          <w:rFonts w:ascii="Times New Roman" w:hAnsi="Times New Roman"/>
          <w:sz w:val="28"/>
          <w:szCs w:val="28"/>
          <w:lang w:val="uk-UA"/>
        </w:rPr>
        <w:t xml:space="preserve"> бали. Отже, запропонований метод лікування хронічного гінгівіту призвів до значного покращення стану гігієни ротової порожнини. У третій групі пацієнтів, де була використана традиційна методика лікування, також було зафіксовано покращення стану гігієни порожнини рота згідно з індексом </w:t>
      </w:r>
      <w:r w:rsidR="000228C4">
        <w:rPr>
          <w:rFonts w:ascii="Times New Roman" w:hAnsi="Times New Roman"/>
          <w:sz w:val="28"/>
          <w:szCs w:val="28"/>
        </w:rPr>
        <w:t>OHI</w:t>
      </w:r>
      <w:r w:rsidR="000228C4" w:rsidRPr="000228C4">
        <w:rPr>
          <w:rFonts w:ascii="Times New Roman" w:hAnsi="Times New Roman"/>
          <w:sz w:val="28"/>
          <w:szCs w:val="28"/>
          <w:lang w:val="uk-UA"/>
        </w:rPr>
        <w:t>-</w:t>
      </w:r>
      <w:r w:rsidR="000228C4">
        <w:rPr>
          <w:rFonts w:ascii="Times New Roman" w:hAnsi="Times New Roman"/>
          <w:sz w:val="28"/>
          <w:szCs w:val="28"/>
        </w:rPr>
        <w:t>S</w:t>
      </w:r>
      <w:r w:rsidR="000228C4">
        <w:rPr>
          <w:rFonts w:ascii="Times New Roman" w:hAnsi="Times New Roman"/>
          <w:sz w:val="28"/>
          <w:szCs w:val="28"/>
          <w:lang w:val="uk-UA"/>
        </w:rPr>
        <w:t xml:space="preserve"> (</w:t>
      </w:r>
      <w:r w:rsidR="000228C4" w:rsidRPr="000228C4">
        <w:rPr>
          <w:rFonts w:ascii="Times New Roman" w:hAnsi="Times New Roman"/>
          <w:sz w:val="28"/>
          <w:szCs w:val="28"/>
          <w:lang w:val="uk-UA"/>
        </w:rPr>
        <w:t>0.68±0.22</w:t>
      </w:r>
      <w:r w:rsidR="000228C4">
        <w:rPr>
          <w:rFonts w:ascii="Times New Roman" w:hAnsi="Times New Roman"/>
          <w:sz w:val="28"/>
          <w:szCs w:val="28"/>
          <w:lang w:val="uk-UA"/>
        </w:rPr>
        <w:t xml:space="preserve"> бали через шість місяців, </w:t>
      </w:r>
      <w:r w:rsidR="000228C4" w:rsidRPr="000228C4">
        <w:rPr>
          <w:rFonts w:ascii="Times New Roman" w:hAnsi="Times New Roman"/>
          <w:sz w:val="28"/>
          <w:szCs w:val="28"/>
          <w:lang w:val="uk-UA"/>
        </w:rPr>
        <w:t>0.54±0.19</w:t>
      </w:r>
      <w:r w:rsidR="000228C4">
        <w:rPr>
          <w:rFonts w:ascii="Times New Roman" w:hAnsi="Times New Roman"/>
          <w:sz w:val="28"/>
          <w:szCs w:val="28"/>
          <w:lang w:val="uk-UA"/>
        </w:rPr>
        <w:t xml:space="preserve"> бали через дванадцять місяців). Таким чином, аналіз індексного оцінювання стану гігієни порожнини рота дітей, хворих на атопічні захворювання, показав, що незалежно від обраної методики лікування, відбувається покращення стану гігієни порожнини рота. У зв’язку з тим, що інші клініко-лабораторні показники свідчили про більшу ефективність </w:t>
      </w:r>
      <w:r w:rsidR="00E269E5">
        <w:rPr>
          <w:rFonts w:ascii="Times New Roman" w:hAnsi="Times New Roman"/>
          <w:sz w:val="28"/>
          <w:szCs w:val="28"/>
          <w:lang w:val="uk-UA"/>
        </w:rPr>
        <w:t>концептуально нової</w:t>
      </w:r>
      <w:r w:rsidR="000228C4">
        <w:rPr>
          <w:rFonts w:ascii="Times New Roman" w:hAnsi="Times New Roman"/>
          <w:sz w:val="28"/>
          <w:szCs w:val="28"/>
          <w:lang w:val="uk-UA"/>
        </w:rPr>
        <w:t xml:space="preserve"> програми лікування хронічного гінгівіту у дітей з атопічними захворюваннями</w:t>
      </w:r>
      <w:r w:rsidR="00F101AB">
        <w:rPr>
          <w:rFonts w:ascii="Times New Roman" w:hAnsi="Times New Roman"/>
          <w:sz w:val="28"/>
          <w:szCs w:val="28"/>
          <w:lang w:val="uk-UA"/>
        </w:rPr>
        <w:t>, можна зробити висновок, що у даного контингенту дітей вирішальним етіологічним чинником розвитку запалення у тканинах пародонту є не локальний мікробний фактор, а загальні системні зміни, що вражають організм дітей з атопічними захворюваннями</w:t>
      </w:r>
      <w:r w:rsidR="002E1F26" w:rsidRPr="002E1F26">
        <w:rPr>
          <w:rFonts w:ascii="Times New Roman" w:hAnsi="Times New Roman"/>
          <w:sz w:val="28"/>
          <w:szCs w:val="28"/>
          <w:lang w:val="uk-UA"/>
        </w:rPr>
        <w:t xml:space="preserve"> [251]</w:t>
      </w:r>
      <w:r w:rsidR="00F101AB">
        <w:rPr>
          <w:rFonts w:ascii="Times New Roman" w:hAnsi="Times New Roman"/>
          <w:sz w:val="28"/>
          <w:szCs w:val="28"/>
          <w:lang w:val="uk-UA"/>
        </w:rPr>
        <w:t>.</w:t>
      </w:r>
    </w:p>
    <w:p w14:paraId="13C6B5F3" w14:textId="7B804176" w:rsidR="00F101AB" w:rsidRDefault="00F101AB"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Дослідження ефективності запропонованої оптимізованої програми профілактики та традиційної показало, що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є більш ефективною згідно з динамікою показників </w:t>
      </w:r>
      <w:r>
        <w:rPr>
          <w:rFonts w:ascii="Times New Roman" w:hAnsi="Times New Roman"/>
          <w:sz w:val="28"/>
          <w:szCs w:val="28"/>
        </w:rPr>
        <w:t>OHI</w:t>
      </w:r>
      <w:r w:rsidRPr="00F101AB">
        <w:rPr>
          <w:rFonts w:ascii="Times New Roman" w:hAnsi="Times New Roman"/>
          <w:sz w:val="28"/>
          <w:szCs w:val="28"/>
          <w:lang w:val="uk-UA"/>
        </w:rPr>
        <w:t>-</w:t>
      </w:r>
      <w:r>
        <w:rPr>
          <w:rFonts w:ascii="Times New Roman" w:hAnsi="Times New Roman"/>
          <w:sz w:val="28"/>
          <w:szCs w:val="28"/>
        </w:rPr>
        <w:t>S</w:t>
      </w:r>
      <w:r w:rsidR="00283C77">
        <w:rPr>
          <w:rFonts w:ascii="Times New Roman" w:hAnsi="Times New Roman"/>
          <w:sz w:val="28"/>
          <w:szCs w:val="28"/>
          <w:lang w:val="uk-UA"/>
        </w:rPr>
        <w:t xml:space="preserve">. Так, у другій групі пацієнтів через шість місяців індекс гігієни порожнинии рота дорівнював </w:t>
      </w:r>
      <w:r w:rsidR="00283C77" w:rsidRPr="00283C77">
        <w:rPr>
          <w:rFonts w:ascii="Times New Roman" w:hAnsi="Times New Roman"/>
          <w:sz w:val="28"/>
          <w:szCs w:val="28"/>
          <w:lang w:val="uk-UA"/>
        </w:rPr>
        <w:t>0.41±0.11</w:t>
      </w:r>
      <w:r w:rsidR="00283C77">
        <w:rPr>
          <w:rFonts w:ascii="Times New Roman" w:hAnsi="Times New Roman"/>
          <w:sz w:val="28"/>
          <w:szCs w:val="28"/>
          <w:lang w:val="uk-UA"/>
        </w:rPr>
        <w:t xml:space="preserve"> балам, через дванадцять місяців </w:t>
      </w:r>
      <w:r w:rsidR="00283C77" w:rsidRPr="00283C77">
        <w:rPr>
          <w:rFonts w:ascii="Times New Roman" w:hAnsi="Times New Roman"/>
          <w:sz w:val="28"/>
          <w:szCs w:val="28"/>
          <w:lang w:val="uk-UA"/>
        </w:rPr>
        <w:t>0.63±0.20</w:t>
      </w:r>
      <w:r w:rsidR="00283C77">
        <w:rPr>
          <w:rFonts w:ascii="Times New Roman" w:hAnsi="Times New Roman"/>
          <w:sz w:val="28"/>
          <w:szCs w:val="28"/>
          <w:lang w:val="uk-UA"/>
        </w:rPr>
        <w:t xml:space="preserve"> балам, що у 2.98 та 1.94 рази менше за початкові показники та склало достовірну різницю з початковим рівнем. У той же час, у четвертій групі пацієнтів при проведенні традиційних заходів профілактики ми спостерігали покращення стану гігієни порожнини рота, проте різниця не була статистично значимою.</w:t>
      </w:r>
    </w:p>
    <w:p w14:paraId="26121384" w14:textId="7663D0C7" w:rsidR="00E66E9E" w:rsidRDefault="005A47B1" w:rsidP="0067758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Інтенсивність карієсу зубів </w:t>
      </w:r>
      <w:r w:rsidR="001A650F">
        <w:rPr>
          <w:rFonts w:ascii="Times New Roman" w:hAnsi="Times New Roman"/>
          <w:sz w:val="28"/>
          <w:szCs w:val="28"/>
          <w:lang w:val="uk-UA"/>
        </w:rPr>
        <w:t>достовірно не відрізнялася серед усіх груп пацієнтів, як з атопічними захворюваннями, так і без таких. При аналізі показників у вікових групах 3-5 років, 6-11 років та 12-18 років достовірної різниці (р</w:t>
      </w:r>
      <w:r w:rsidR="001A650F" w:rsidRPr="00A879D2">
        <w:rPr>
          <w:rFonts w:ascii="Times New Roman" w:hAnsi="Times New Roman"/>
          <w:sz w:val="28"/>
          <w:szCs w:val="28"/>
          <w:lang w:val="uk-UA"/>
        </w:rPr>
        <w:t xml:space="preserve"> &lt; 0.05</w:t>
      </w:r>
      <w:r w:rsidR="001A650F">
        <w:rPr>
          <w:rFonts w:ascii="Times New Roman" w:hAnsi="Times New Roman"/>
          <w:sz w:val="28"/>
          <w:szCs w:val="28"/>
          <w:lang w:val="uk-UA"/>
        </w:rPr>
        <w:t>) у показниках ми не спостерігали</w:t>
      </w:r>
      <w:r w:rsidR="002E1F26" w:rsidRPr="002E1F26">
        <w:rPr>
          <w:rFonts w:ascii="Times New Roman" w:hAnsi="Times New Roman"/>
          <w:sz w:val="28"/>
          <w:szCs w:val="28"/>
          <w:lang w:val="ru-RU"/>
        </w:rPr>
        <w:t xml:space="preserve"> [257]</w:t>
      </w:r>
      <w:r w:rsidR="001A650F">
        <w:rPr>
          <w:rFonts w:ascii="Times New Roman" w:hAnsi="Times New Roman"/>
          <w:sz w:val="28"/>
          <w:szCs w:val="28"/>
          <w:lang w:val="uk-UA"/>
        </w:rPr>
        <w:t>. Порівняльний аналіз рівню інтенсивності карієсу зубів у групах відповідно до нозологій та призначеного лікування наведений у таблиці 4.4.</w:t>
      </w:r>
    </w:p>
    <w:p w14:paraId="2180BE63" w14:textId="6314A192" w:rsidR="001A650F" w:rsidRDefault="001A650F" w:rsidP="001A650F">
      <w:pPr>
        <w:spacing w:after="0" w:line="360" w:lineRule="auto"/>
        <w:ind w:firstLine="851"/>
        <w:jc w:val="right"/>
        <w:rPr>
          <w:rFonts w:ascii="Times New Roman" w:hAnsi="Times New Roman"/>
          <w:sz w:val="28"/>
          <w:szCs w:val="28"/>
          <w:lang w:val="uk-UA"/>
        </w:rPr>
      </w:pPr>
      <w:r>
        <w:rPr>
          <w:rFonts w:ascii="Times New Roman" w:hAnsi="Times New Roman"/>
          <w:sz w:val="28"/>
          <w:szCs w:val="28"/>
          <w:lang w:val="uk-UA"/>
        </w:rPr>
        <w:t>Таблиця 4.4</w:t>
      </w:r>
    </w:p>
    <w:p w14:paraId="2987546D" w14:textId="5134FC0D" w:rsidR="001A650F" w:rsidRDefault="001A650F" w:rsidP="001A650F">
      <w:pPr>
        <w:spacing w:after="0" w:line="360" w:lineRule="auto"/>
        <w:ind w:firstLine="851"/>
        <w:jc w:val="center"/>
        <w:rPr>
          <w:rFonts w:ascii="Times New Roman" w:hAnsi="Times New Roman"/>
          <w:sz w:val="28"/>
          <w:szCs w:val="28"/>
          <w:lang w:val="uk-UA"/>
        </w:rPr>
      </w:pPr>
      <w:r>
        <w:rPr>
          <w:rFonts w:ascii="Times New Roman" w:hAnsi="Times New Roman"/>
          <w:sz w:val="28"/>
          <w:szCs w:val="28"/>
          <w:lang w:val="uk-UA"/>
        </w:rPr>
        <w:t>Порівняльний аналіз рівню інтенсивності карієсу зубів у групах пацієнтів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5A47B1" w:rsidRPr="00E43D80" w14:paraId="748251D6" w14:textId="77777777" w:rsidTr="005A47B1">
        <w:trPr>
          <w:trHeight w:val="471"/>
          <w:jc w:val="center"/>
        </w:trPr>
        <w:tc>
          <w:tcPr>
            <w:tcW w:w="1838" w:type="dxa"/>
            <w:vMerge w:val="restart"/>
            <w:shd w:val="clear" w:color="auto" w:fill="auto"/>
          </w:tcPr>
          <w:p w14:paraId="288458DC" w14:textId="77777777" w:rsidR="005A47B1" w:rsidRPr="002804DE" w:rsidRDefault="005A47B1" w:rsidP="005A47B1">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851C869" w14:textId="207E6592" w:rsidR="005A47B1" w:rsidRPr="005A47B1" w:rsidRDefault="005A47B1" w:rsidP="005A47B1">
            <w:pPr>
              <w:spacing w:after="0" w:line="360" w:lineRule="auto"/>
              <w:ind w:firstLine="709"/>
              <w:jc w:val="center"/>
              <w:rPr>
                <w:rFonts w:ascii="Times New Roman" w:hAnsi="Times New Roman"/>
                <w:sz w:val="28"/>
                <w:szCs w:val="28"/>
                <w:lang w:val="uk-UA"/>
              </w:rPr>
            </w:pPr>
            <w:r w:rsidRPr="002804DE">
              <w:rPr>
                <w:rFonts w:ascii="Times New Roman" w:hAnsi="Times New Roman"/>
                <w:sz w:val="28"/>
                <w:szCs w:val="28"/>
                <w:lang w:val="uk-UA"/>
              </w:rPr>
              <w:t xml:space="preserve">Індекс </w:t>
            </w:r>
            <w:r w:rsidR="0031611E">
              <w:rPr>
                <w:rFonts w:ascii="Times New Roman" w:hAnsi="Times New Roman"/>
                <w:sz w:val="28"/>
                <w:szCs w:val="28"/>
                <w:lang w:val="uk-UA"/>
              </w:rPr>
              <w:t>КПУ (зубів)</w:t>
            </w:r>
          </w:p>
        </w:tc>
      </w:tr>
      <w:tr w:rsidR="005A47B1" w:rsidRPr="00043875" w14:paraId="6F604AAE" w14:textId="77777777" w:rsidTr="005A47B1">
        <w:trPr>
          <w:trHeight w:val="486"/>
          <w:jc w:val="center"/>
        </w:trPr>
        <w:tc>
          <w:tcPr>
            <w:tcW w:w="1838" w:type="dxa"/>
            <w:vMerge/>
            <w:shd w:val="clear" w:color="auto" w:fill="auto"/>
          </w:tcPr>
          <w:p w14:paraId="468A7BF3" w14:textId="77777777" w:rsidR="005A47B1" w:rsidRPr="002804DE" w:rsidRDefault="005A47B1" w:rsidP="005A47B1">
            <w:pPr>
              <w:spacing w:after="0" w:line="360" w:lineRule="auto"/>
              <w:ind w:hanging="5"/>
              <w:jc w:val="center"/>
              <w:rPr>
                <w:rFonts w:ascii="Times New Roman" w:hAnsi="Times New Roman"/>
                <w:sz w:val="28"/>
                <w:szCs w:val="28"/>
                <w:lang w:val="uk-UA"/>
              </w:rPr>
            </w:pPr>
          </w:p>
        </w:tc>
        <w:tc>
          <w:tcPr>
            <w:tcW w:w="1418" w:type="dxa"/>
            <w:shd w:val="clear" w:color="auto" w:fill="auto"/>
          </w:tcPr>
          <w:p w14:paraId="49C1E0D5" w14:textId="77777777" w:rsidR="005A47B1" w:rsidRPr="002804DE" w:rsidRDefault="005A47B1" w:rsidP="005A47B1">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2DDB3721" w14:textId="77777777" w:rsidR="005A47B1" w:rsidRPr="002804DE" w:rsidRDefault="005A47B1" w:rsidP="005A47B1">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4DDEA81B" w14:textId="77777777" w:rsidR="005A47B1" w:rsidRPr="002804DE" w:rsidRDefault="005A47B1" w:rsidP="005A47B1">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1E3F9B5" w14:textId="77777777" w:rsidR="005A47B1" w:rsidRPr="002804DE" w:rsidRDefault="005A47B1"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51EF9628" w14:textId="77777777" w:rsidR="005A47B1" w:rsidRPr="002804DE" w:rsidRDefault="005A47B1"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5A47B1" w:rsidRPr="001E1BED" w14:paraId="59530347" w14:textId="77777777" w:rsidTr="005A47B1">
        <w:trPr>
          <w:trHeight w:val="429"/>
          <w:jc w:val="center"/>
        </w:trPr>
        <w:tc>
          <w:tcPr>
            <w:tcW w:w="1838" w:type="dxa"/>
            <w:shd w:val="clear" w:color="auto" w:fill="auto"/>
          </w:tcPr>
          <w:p w14:paraId="5C1DE05B" w14:textId="77777777" w:rsidR="005A47B1" w:rsidRPr="002804DE" w:rsidRDefault="005A47B1" w:rsidP="005A47B1">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0134F9AD" w14:textId="592A5BD1" w:rsidR="005A47B1" w:rsidRPr="002804DE" w:rsidRDefault="001E1BED" w:rsidP="005A47B1">
            <w:pPr>
              <w:spacing w:after="0" w:line="360" w:lineRule="auto"/>
              <w:rPr>
                <w:rFonts w:ascii="Times New Roman" w:hAnsi="Times New Roman"/>
                <w:sz w:val="28"/>
                <w:szCs w:val="28"/>
                <w:lang w:val="uk-UA"/>
              </w:rPr>
            </w:pPr>
            <w:r>
              <w:rPr>
                <w:rFonts w:ascii="Times New Roman" w:hAnsi="Times New Roman"/>
                <w:sz w:val="28"/>
                <w:szCs w:val="28"/>
                <w:lang w:val="uk-UA"/>
              </w:rPr>
              <w:t>1.82</w:t>
            </w:r>
            <w:r w:rsidR="005A47B1">
              <w:rPr>
                <w:rFonts w:ascii="Times New Roman" w:hAnsi="Times New Roman" w:cs="Times New Roman"/>
                <w:sz w:val="28"/>
                <w:szCs w:val="28"/>
                <w:lang w:val="uk-UA"/>
              </w:rPr>
              <w:t>±</w:t>
            </w:r>
            <w:r>
              <w:rPr>
                <w:rFonts w:ascii="Times New Roman" w:hAnsi="Times New Roman"/>
                <w:sz w:val="28"/>
                <w:szCs w:val="28"/>
                <w:lang w:val="uk-UA"/>
              </w:rPr>
              <w:t>0.74</w:t>
            </w:r>
          </w:p>
        </w:tc>
        <w:tc>
          <w:tcPr>
            <w:tcW w:w="1417" w:type="dxa"/>
            <w:shd w:val="clear" w:color="auto" w:fill="auto"/>
          </w:tcPr>
          <w:p w14:paraId="685B0390" w14:textId="19C53F4A" w:rsidR="005A47B1" w:rsidRPr="002804DE" w:rsidRDefault="001E1BED"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1.87±0.69</w:t>
            </w:r>
          </w:p>
        </w:tc>
        <w:tc>
          <w:tcPr>
            <w:tcW w:w="1559" w:type="dxa"/>
            <w:shd w:val="clear" w:color="auto" w:fill="auto"/>
          </w:tcPr>
          <w:p w14:paraId="06A4A17B" w14:textId="50703238"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1.93</w:t>
            </w:r>
            <w:r w:rsidR="001E1BED">
              <w:rPr>
                <w:rFonts w:ascii="Times New Roman" w:hAnsi="Times New Roman"/>
                <w:sz w:val="28"/>
                <w:szCs w:val="28"/>
                <w:lang w:val="uk-UA"/>
              </w:rPr>
              <w:t>±0.77</w:t>
            </w:r>
          </w:p>
        </w:tc>
        <w:tc>
          <w:tcPr>
            <w:tcW w:w="1570" w:type="dxa"/>
            <w:shd w:val="clear" w:color="auto" w:fill="auto"/>
          </w:tcPr>
          <w:p w14:paraId="74D3956A" w14:textId="2418817D"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1.91±0.77</w:t>
            </w:r>
          </w:p>
        </w:tc>
        <w:tc>
          <w:tcPr>
            <w:tcW w:w="1483" w:type="dxa"/>
            <w:shd w:val="clear" w:color="auto" w:fill="auto"/>
          </w:tcPr>
          <w:p w14:paraId="74180A60" w14:textId="668C4741" w:rsidR="005A47B1" w:rsidRPr="00E86040"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2.31±0.8</w:t>
            </w:r>
            <w:r w:rsidR="005A47B1" w:rsidRPr="00E86040">
              <w:rPr>
                <w:rFonts w:ascii="Times New Roman" w:hAnsi="Times New Roman"/>
                <w:sz w:val="28"/>
                <w:szCs w:val="28"/>
                <w:lang w:val="uk-UA"/>
              </w:rPr>
              <w:t>3</w:t>
            </w:r>
          </w:p>
        </w:tc>
      </w:tr>
      <w:tr w:rsidR="005A47B1" w:rsidRPr="00B12489" w14:paraId="3B8AD01D" w14:textId="77777777" w:rsidTr="005A47B1">
        <w:trPr>
          <w:trHeight w:val="727"/>
          <w:jc w:val="center"/>
        </w:trPr>
        <w:tc>
          <w:tcPr>
            <w:tcW w:w="1838" w:type="dxa"/>
            <w:shd w:val="clear" w:color="auto" w:fill="auto"/>
          </w:tcPr>
          <w:p w14:paraId="59D7F7C7" w14:textId="77777777" w:rsidR="005A47B1" w:rsidRPr="002804DE" w:rsidRDefault="005A47B1" w:rsidP="005A47B1">
            <w:pPr>
              <w:spacing w:after="0"/>
              <w:ind w:hanging="5"/>
              <w:rPr>
                <w:rFonts w:ascii="Times New Roman" w:hAnsi="Times New Roman"/>
                <w:sz w:val="28"/>
                <w:szCs w:val="28"/>
                <w:lang w:val="uk-UA"/>
              </w:rPr>
            </w:pPr>
            <w:r>
              <w:rPr>
                <w:rFonts w:ascii="Times New Roman" w:hAnsi="Times New Roman"/>
                <w:sz w:val="28"/>
                <w:szCs w:val="28"/>
                <w:lang w:val="uk-UA"/>
              </w:rPr>
              <w:t>Через 12 місяців</w:t>
            </w:r>
          </w:p>
        </w:tc>
        <w:tc>
          <w:tcPr>
            <w:tcW w:w="1418" w:type="dxa"/>
            <w:shd w:val="clear" w:color="auto" w:fill="auto"/>
          </w:tcPr>
          <w:p w14:paraId="4D4969D4" w14:textId="3858AC00" w:rsidR="005A47B1" w:rsidRPr="00E86040" w:rsidRDefault="001E1BED" w:rsidP="005A47B1">
            <w:pPr>
              <w:spacing w:after="0" w:line="360" w:lineRule="auto"/>
              <w:rPr>
                <w:rFonts w:ascii="Times New Roman" w:hAnsi="Times New Roman"/>
                <w:sz w:val="28"/>
                <w:szCs w:val="28"/>
                <w:lang w:val="ru-RU"/>
              </w:rPr>
            </w:pPr>
            <w:r>
              <w:rPr>
                <w:rFonts w:ascii="Times New Roman" w:hAnsi="Times New Roman"/>
                <w:sz w:val="28"/>
                <w:szCs w:val="28"/>
                <w:lang w:val="ru-RU"/>
              </w:rPr>
              <w:t>1</w:t>
            </w:r>
            <w:r w:rsidR="001A650F">
              <w:rPr>
                <w:rFonts w:ascii="Times New Roman" w:hAnsi="Times New Roman"/>
                <w:sz w:val="28"/>
                <w:szCs w:val="28"/>
                <w:lang w:val="ru-RU"/>
              </w:rPr>
              <w:t>.</w:t>
            </w:r>
            <w:r>
              <w:rPr>
                <w:rFonts w:ascii="Times New Roman" w:hAnsi="Times New Roman"/>
                <w:sz w:val="28"/>
                <w:szCs w:val="28"/>
                <w:lang w:val="ru-RU"/>
              </w:rPr>
              <w:t>9</w:t>
            </w:r>
            <w:r w:rsidR="001A650F">
              <w:rPr>
                <w:rFonts w:ascii="Times New Roman" w:hAnsi="Times New Roman"/>
                <w:sz w:val="28"/>
                <w:szCs w:val="28"/>
                <w:lang w:val="ru-RU"/>
              </w:rPr>
              <w:t>3</w:t>
            </w:r>
            <w:r w:rsidR="005A47B1" w:rsidRPr="00E86040">
              <w:rPr>
                <w:rFonts w:ascii="Times New Roman" w:hAnsi="Times New Roman"/>
                <w:sz w:val="28"/>
                <w:szCs w:val="28"/>
                <w:lang w:val="ru-RU"/>
              </w:rPr>
              <w:t>±</w:t>
            </w:r>
            <w:r>
              <w:rPr>
                <w:rFonts w:ascii="Times New Roman" w:hAnsi="Times New Roman"/>
                <w:sz w:val="28"/>
                <w:szCs w:val="28"/>
                <w:lang w:val="ru-RU"/>
              </w:rPr>
              <w:t>0.8</w:t>
            </w:r>
            <w:r w:rsidR="005A47B1" w:rsidRPr="009F4DD3">
              <w:rPr>
                <w:rFonts w:ascii="Times New Roman" w:hAnsi="Times New Roman"/>
                <w:sz w:val="28"/>
                <w:szCs w:val="28"/>
                <w:lang w:val="ru-RU"/>
              </w:rPr>
              <w:t>8</w:t>
            </w:r>
          </w:p>
        </w:tc>
        <w:tc>
          <w:tcPr>
            <w:tcW w:w="1417" w:type="dxa"/>
            <w:shd w:val="clear" w:color="auto" w:fill="auto"/>
          </w:tcPr>
          <w:p w14:paraId="146DD05F" w14:textId="6197BE73" w:rsidR="005A47B1" w:rsidRPr="00B3009F" w:rsidRDefault="001E1BED"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5A47B1">
              <w:rPr>
                <w:rFonts w:ascii="Times New Roman" w:hAnsi="Times New Roman"/>
                <w:sz w:val="28"/>
                <w:szCs w:val="28"/>
                <w:lang w:val="uk-UA"/>
              </w:rPr>
              <w:t>.63</w:t>
            </w:r>
            <w:r w:rsidR="005A47B1" w:rsidRPr="00E86040">
              <w:rPr>
                <w:rFonts w:ascii="Times New Roman" w:hAnsi="Times New Roman"/>
                <w:sz w:val="28"/>
                <w:szCs w:val="28"/>
                <w:lang w:val="uk-UA"/>
              </w:rPr>
              <w:t>±</w:t>
            </w:r>
            <w:r>
              <w:rPr>
                <w:rFonts w:ascii="Times New Roman" w:hAnsi="Times New Roman"/>
                <w:sz w:val="28"/>
                <w:szCs w:val="28"/>
                <w:lang w:val="uk-UA"/>
              </w:rPr>
              <w:t>0.81</w:t>
            </w:r>
          </w:p>
        </w:tc>
        <w:tc>
          <w:tcPr>
            <w:tcW w:w="1559" w:type="dxa"/>
            <w:shd w:val="clear" w:color="auto" w:fill="auto"/>
          </w:tcPr>
          <w:p w14:paraId="53DF84A2" w14:textId="667DE255" w:rsidR="005A47B1" w:rsidRPr="002804DE" w:rsidRDefault="001E1BED" w:rsidP="00B12489">
            <w:pPr>
              <w:spacing w:after="0" w:line="360" w:lineRule="auto"/>
              <w:jc w:val="center"/>
              <w:rPr>
                <w:rFonts w:ascii="Times New Roman" w:hAnsi="Times New Roman"/>
                <w:sz w:val="28"/>
                <w:szCs w:val="28"/>
                <w:lang w:val="uk-UA"/>
              </w:rPr>
            </w:pPr>
            <w:r>
              <w:rPr>
                <w:rFonts w:ascii="Times New Roman" w:hAnsi="Times New Roman"/>
                <w:sz w:val="28"/>
                <w:szCs w:val="28"/>
                <w:lang w:val="uk-UA"/>
              </w:rPr>
              <w:t>1.7</w:t>
            </w:r>
            <w:r w:rsidR="005A47B1">
              <w:rPr>
                <w:rFonts w:ascii="Times New Roman" w:hAnsi="Times New Roman"/>
                <w:sz w:val="28"/>
                <w:szCs w:val="28"/>
                <w:lang w:val="uk-UA"/>
              </w:rPr>
              <w:t>4</w:t>
            </w:r>
            <w:r>
              <w:rPr>
                <w:rFonts w:ascii="Times New Roman" w:hAnsi="Times New Roman"/>
                <w:sz w:val="28"/>
                <w:szCs w:val="28"/>
                <w:lang w:val="uk-UA"/>
              </w:rPr>
              <w:t>±0.82</w:t>
            </w:r>
          </w:p>
        </w:tc>
        <w:tc>
          <w:tcPr>
            <w:tcW w:w="1570" w:type="dxa"/>
            <w:shd w:val="clear" w:color="auto" w:fill="auto"/>
          </w:tcPr>
          <w:p w14:paraId="40F01690" w14:textId="7D9E75AB"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r w:rsidR="005A47B1">
              <w:rPr>
                <w:rFonts w:ascii="Times New Roman" w:hAnsi="Times New Roman"/>
                <w:sz w:val="28"/>
                <w:szCs w:val="28"/>
                <w:lang w:val="uk-UA"/>
              </w:rPr>
              <w:t>6</w:t>
            </w:r>
            <w:r>
              <w:rPr>
                <w:rFonts w:ascii="Times New Roman" w:hAnsi="Times New Roman"/>
                <w:sz w:val="28"/>
                <w:szCs w:val="28"/>
                <w:lang w:val="uk-UA"/>
              </w:rPr>
              <w:t>±0.86</w:t>
            </w:r>
          </w:p>
        </w:tc>
        <w:tc>
          <w:tcPr>
            <w:tcW w:w="1483" w:type="dxa"/>
            <w:shd w:val="clear" w:color="auto" w:fill="auto"/>
          </w:tcPr>
          <w:p w14:paraId="559E78BD" w14:textId="71845E42" w:rsidR="005A47B1" w:rsidRPr="002804DE" w:rsidRDefault="00B12489" w:rsidP="005A47B1">
            <w:pPr>
              <w:spacing w:after="0" w:line="360" w:lineRule="auto"/>
              <w:jc w:val="center"/>
              <w:rPr>
                <w:rFonts w:ascii="Times New Roman" w:hAnsi="Times New Roman"/>
                <w:sz w:val="28"/>
                <w:szCs w:val="28"/>
                <w:lang w:val="uk-UA"/>
              </w:rPr>
            </w:pPr>
            <w:r>
              <w:rPr>
                <w:rFonts w:ascii="Times New Roman" w:hAnsi="Times New Roman"/>
                <w:sz w:val="28"/>
                <w:szCs w:val="28"/>
                <w:lang w:val="uk-UA"/>
              </w:rPr>
              <w:t>2.52±0.8</w:t>
            </w:r>
            <w:r w:rsidR="005A47B1" w:rsidRPr="00E86040">
              <w:rPr>
                <w:rFonts w:ascii="Times New Roman" w:hAnsi="Times New Roman"/>
                <w:sz w:val="28"/>
                <w:szCs w:val="28"/>
                <w:lang w:val="uk-UA"/>
              </w:rPr>
              <w:t>6</w:t>
            </w:r>
          </w:p>
        </w:tc>
      </w:tr>
    </w:tbl>
    <w:p w14:paraId="1BC52E7F" w14:textId="77777777" w:rsidR="005A47B1" w:rsidRDefault="005A47B1" w:rsidP="009F57D5">
      <w:pPr>
        <w:spacing w:after="0" w:line="360" w:lineRule="auto"/>
        <w:ind w:firstLine="851"/>
        <w:jc w:val="both"/>
        <w:rPr>
          <w:rFonts w:ascii="Times New Roman" w:hAnsi="Times New Roman"/>
          <w:sz w:val="28"/>
          <w:szCs w:val="28"/>
          <w:lang w:val="uk-UA"/>
        </w:rPr>
      </w:pPr>
    </w:p>
    <w:p w14:paraId="76956E03" w14:textId="398BAB6E" w:rsidR="005A47B1" w:rsidRDefault="00B12489" w:rsidP="009F57D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Згідно з отриманими даними, нами не було зафіксовано змін у інтенсивності карієсу при порівнянні показників у динаміці та при порівнянні показників різних груп. З цього очевидним є висновок, що наявність атопічних захворювань має більшу асоціацію з тканинами пародонту, ніж з твердими тканинами зубів.</w:t>
      </w:r>
    </w:p>
    <w:p w14:paraId="2E1FA50B" w14:textId="26E69350" w:rsidR="002C3D20" w:rsidRPr="00A879D2" w:rsidRDefault="00B12489" w:rsidP="00C23A8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Таким чином</w:t>
      </w:r>
      <w:r w:rsidR="00283C77">
        <w:rPr>
          <w:rFonts w:ascii="Times New Roman" w:hAnsi="Times New Roman"/>
          <w:sz w:val="28"/>
          <w:szCs w:val="28"/>
          <w:lang w:val="uk-UA"/>
        </w:rPr>
        <w:t xml:space="preserve">, </w:t>
      </w:r>
      <w:r>
        <w:rPr>
          <w:rFonts w:ascii="Times New Roman" w:hAnsi="Times New Roman"/>
          <w:sz w:val="28"/>
          <w:szCs w:val="28"/>
          <w:lang w:val="uk-UA"/>
        </w:rPr>
        <w:t xml:space="preserve">у результаті проведення комплексного дослідження стоматологічного статусу встановлено, що </w:t>
      </w:r>
      <w:r w:rsidR="00283C77">
        <w:rPr>
          <w:rFonts w:ascii="Times New Roman" w:hAnsi="Times New Roman"/>
          <w:sz w:val="28"/>
          <w:szCs w:val="28"/>
          <w:lang w:val="uk-UA"/>
        </w:rPr>
        <w:t xml:space="preserve">стан гігієни порожнини рота у дітей з атопічними захворюваннями достовірно відрізнявся від стану гігієни дітей контрольної групи, що свідчить про патогенетичні механізми розвитку гінгівіту у дітей з атопічними захворюваннями, які у тому числі проявляються у підвищенній акумуляції нальоту на поверхні тканин зубів. Лікування хронічного гінгівіту за традиційним протоколом та при дотриманні </w:t>
      </w:r>
      <w:r w:rsidR="00EF0AB1">
        <w:rPr>
          <w:rFonts w:ascii="Times New Roman" w:hAnsi="Times New Roman"/>
          <w:sz w:val="28"/>
          <w:szCs w:val="28"/>
          <w:lang w:val="uk-UA"/>
        </w:rPr>
        <w:t>концептуально нового</w:t>
      </w:r>
      <w:r w:rsidR="00283C77">
        <w:rPr>
          <w:rFonts w:ascii="Times New Roman" w:hAnsi="Times New Roman"/>
          <w:sz w:val="28"/>
          <w:szCs w:val="28"/>
          <w:lang w:val="uk-UA"/>
        </w:rPr>
        <w:t xml:space="preserve"> підходу було майже однаково ефективним</w:t>
      </w:r>
      <w:r w:rsidR="00A62585">
        <w:rPr>
          <w:rFonts w:ascii="Times New Roman" w:hAnsi="Times New Roman"/>
          <w:sz w:val="28"/>
          <w:szCs w:val="28"/>
          <w:lang w:val="uk-UA"/>
        </w:rPr>
        <w:t xml:space="preserve">, а індивідуалізована програма профілактики показала кращий результат згідно зі спрощеним індексом гігієни порожнини рота. </w:t>
      </w:r>
    </w:p>
    <w:p w14:paraId="2F424B32" w14:textId="1B738F27" w:rsidR="00677589" w:rsidRPr="00F659EB" w:rsidRDefault="002C3D20" w:rsidP="00F659EB">
      <w:pPr>
        <w:spacing w:after="0" w:line="360" w:lineRule="auto"/>
        <w:ind w:firstLine="709"/>
        <w:jc w:val="both"/>
        <w:rPr>
          <w:rFonts w:ascii="Times New Roman" w:hAnsi="Times New Roman"/>
          <w:sz w:val="28"/>
          <w:szCs w:val="28"/>
          <w:lang w:val="uk-UA"/>
        </w:rPr>
      </w:pPr>
      <w:r w:rsidRPr="00A879D2">
        <w:rPr>
          <w:rFonts w:ascii="Times New Roman" w:hAnsi="Times New Roman"/>
          <w:sz w:val="28"/>
          <w:szCs w:val="28"/>
          <w:lang w:val="uk-UA"/>
        </w:rPr>
        <w:t xml:space="preserve">Аналіз показників стану </w:t>
      </w:r>
      <w:r w:rsidR="005A47B1">
        <w:rPr>
          <w:rFonts w:ascii="Times New Roman" w:hAnsi="Times New Roman"/>
          <w:sz w:val="28"/>
          <w:szCs w:val="28"/>
          <w:lang w:val="uk-UA"/>
        </w:rPr>
        <w:t xml:space="preserve">гігієни </w:t>
      </w:r>
      <w:r w:rsidRPr="00A879D2">
        <w:rPr>
          <w:rFonts w:ascii="Times New Roman" w:hAnsi="Times New Roman"/>
          <w:sz w:val="28"/>
          <w:szCs w:val="28"/>
          <w:lang w:val="uk-UA"/>
        </w:rPr>
        <w:t xml:space="preserve">у динаміці після лікування у першій групі пацієнтів показав нормалізацію показників, яка була статистично значимою у порівнянні з початковим рівнем. Під час усього строку спостереження позитивний результат лікування залишався стабільним, що свідчить про ефективність запропонованої методики. </w:t>
      </w:r>
      <w:bookmarkStart w:id="22" w:name="_Toc507575315"/>
    </w:p>
    <w:p w14:paraId="1C60A90D" w14:textId="4ADAAC69" w:rsidR="002C3D20" w:rsidRPr="00376DF7" w:rsidRDefault="00FB72F7" w:rsidP="00051EB9">
      <w:pPr>
        <w:pStyle w:val="Heading3"/>
        <w:spacing w:line="360" w:lineRule="auto"/>
        <w:rPr>
          <w:rFonts w:ascii="Times New Roman" w:hAnsi="Times New Roman" w:cs="Times New Roman"/>
          <w:color w:val="auto"/>
          <w:sz w:val="28"/>
          <w:szCs w:val="28"/>
          <w:lang w:val="uk-UA"/>
        </w:rPr>
      </w:pPr>
      <w:r w:rsidRPr="00376DF7">
        <w:rPr>
          <w:rFonts w:ascii="Times New Roman" w:hAnsi="Times New Roman" w:cs="Times New Roman"/>
          <w:color w:val="auto"/>
          <w:sz w:val="28"/>
          <w:szCs w:val="28"/>
          <w:lang w:val="uk-UA"/>
        </w:rPr>
        <w:t>4</w:t>
      </w:r>
      <w:r w:rsidR="00C23A80" w:rsidRPr="00376DF7">
        <w:rPr>
          <w:rFonts w:ascii="Times New Roman" w:hAnsi="Times New Roman" w:cs="Times New Roman"/>
          <w:color w:val="auto"/>
          <w:sz w:val="28"/>
          <w:szCs w:val="28"/>
          <w:lang w:val="uk-UA"/>
        </w:rPr>
        <w:t xml:space="preserve">.3 </w:t>
      </w:r>
      <w:r w:rsidR="00F3276D" w:rsidRPr="00376DF7">
        <w:rPr>
          <w:rFonts w:ascii="Times New Roman" w:hAnsi="Times New Roman" w:cs="Times New Roman"/>
          <w:color w:val="auto"/>
          <w:sz w:val="28"/>
          <w:szCs w:val="28"/>
          <w:lang w:val="uk-UA"/>
        </w:rPr>
        <w:t xml:space="preserve">Визначення </w:t>
      </w:r>
      <w:r w:rsidR="008040A8" w:rsidRPr="00376DF7">
        <w:rPr>
          <w:rFonts w:ascii="Times New Roman" w:hAnsi="Times New Roman" w:cs="Times New Roman"/>
          <w:color w:val="auto"/>
          <w:sz w:val="28"/>
          <w:szCs w:val="28"/>
          <w:lang w:val="uk-UA"/>
        </w:rPr>
        <w:t>властивостей ротової рідини у дітей на тлі атопічних захворювань</w:t>
      </w:r>
      <w:bookmarkEnd w:id="22"/>
    </w:p>
    <w:p w14:paraId="195D66E7" w14:textId="7AAF94F2" w:rsidR="00F3276D" w:rsidRDefault="008040A8" w:rsidP="00376DF7">
      <w:pPr>
        <w:spacing w:after="0" w:line="360" w:lineRule="auto"/>
        <w:ind w:firstLine="709"/>
        <w:jc w:val="both"/>
        <w:rPr>
          <w:rFonts w:ascii="Times New Roman" w:hAnsi="Times New Roman" w:cs="Times New Roman"/>
          <w:color w:val="222222"/>
          <w:sz w:val="28"/>
          <w:szCs w:val="28"/>
          <w:lang w:val="ru-RU"/>
        </w:rPr>
      </w:pPr>
      <w:r w:rsidRPr="00376DF7">
        <w:rPr>
          <w:rFonts w:ascii="Times New Roman" w:hAnsi="Times New Roman" w:cs="Times New Roman"/>
          <w:sz w:val="28"/>
          <w:szCs w:val="28"/>
          <w:lang w:val="uk-UA"/>
        </w:rPr>
        <w:t xml:space="preserve">Для оцінювання властивостей ротової рідини у дітей на тлі атопічних захворювань та у результаті </w:t>
      </w:r>
      <w:r>
        <w:rPr>
          <w:rFonts w:ascii="Times New Roman" w:hAnsi="Times New Roman" w:cs="Times New Roman"/>
          <w:color w:val="222222"/>
          <w:sz w:val="28"/>
          <w:szCs w:val="28"/>
          <w:lang w:val="uk-UA"/>
        </w:rPr>
        <w:t xml:space="preserve">провдення лікувально-профілактичних заходів нами були проаналізовані такі показники, як рівень муцину, та визначена кислотність ротової рідини за рівнем рН. </w:t>
      </w:r>
      <w:r w:rsidR="00F3276D" w:rsidRPr="00F3276D">
        <w:rPr>
          <w:rFonts w:ascii="Times New Roman" w:hAnsi="Times New Roman" w:cs="Times New Roman"/>
          <w:color w:val="222222"/>
          <w:sz w:val="28"/>
          <w:szCs w:val="28"/>
          <w:lang w:val="uk-UA"/>
        </w:rPr>
        <w:t>Бактеріальному кліре</w:t>
      </w:r>
      <w:r>
        <w:rPr>
          <w:rFonts w:ascii="Times New Roman" w:hAnsi="Times New Roman" w:cs="Times New Roman"/>
          <w:color w:val="222222"/>
          <w:sz w:val="28"/>
          <w:szCs w:val="28"/>
          <w:lang w:val="uk-UA"/>
        </w:rPr>
        <w:t>нсу сприяє здатність муцину зв'</w:t>
      </w:r>
      <w:r w:rsidR="00F3276D" w:rsidRPr="00F3276D">
        <w:rPr>
          <w:rFonts w:ascii="Times New Roman" w:hAnsi="Times New Roman" w:cs="Times New Roman"/>
          <w:color w:val="222222"/>
          <w:sz w:val="28"/>
          <w:szCs w:val="28"/>
          <w:lang w:val="uk-UA"/>
        </w:rPr>
        <w:t>язувати деякі бактерії. Захисні ефекти муцину є п</w:t>
      </w:r>
      <w:r>
        <w:rPr>
          <w:rFonts w:ascii="Times New Roman" w:hAnsi="Times New Roman" w:cs="Times New Roman"/>
          <w:color w:val="222222"/>
          <w:sz w:val="28"/>
          <w:szCs w:val="28"/>
          <w:lang w:val="uk-UA"/>
        </w:rPr>
        <w:t>ершочерговими у здійсненні бар’</w:t>
      </w:r>
      <w:r w:rsidR="00F3276D" w:rsidRPr="00F3276D">
        <w:rPr>
          <w:rFonts w:ascii="Times New Roman" w:hAnsi="Times New Roman" w:cs="Times New Roman"/>
          <w:color w:val="222222"/>
          <w:sz w:val="28"/>
          <w:szCs w:val="28"/>
          <w:lang w:val="uk-UA"/>
        </w:rPr>
        <w:t xml:space="preserve">єрної функції слизових оболонок, що підтверджується фактом рефлекторного збільшення продукції слизу при контакті з бактеріальними токсинами, продуктами життєдіяльності мікроорганізмів і шкідливими хімічними речовинами. </w:t>
      </w:r>
      <w:r w:rsidR="00F3276D" w:rsidRPr="00F3276D">
        <w:rPr>
          <w:rFonts w:ascii="Times New Roman" w:hAnsi="Times New Roman" w:cs="Times New Roman"/>
          <w:color w:val="222222"/>
          <w:sz w:val="28"/>
          <w:szCs w:val="28"/>
          <w:lang w:val="ru-RU"/>
        </w:rPr>
        <w:t>При зміні реологічних властивостей слизового секрет</w:t>
      </w:r>
      <w:r w:rsidR="00A9038E">
        <w:rPr>
          <w:rFonts w:ascii="Times New Roman" w:hAnsi="Times New Roman" w:cs="Times New Roman"/>
          <w:color w:val="222222"/>
          <w:sz w:val="28"/>
          <w:szCs w:val="28"/>
          <w:lang w:val="ru-RU"/>
        </w:rPr>
        <w:t>у порушується його захисна бар'</w:t>
      </w:r>
      <w:r w:rsidR="00F3276D" w:rsidRPr="00F3276D">
        <w:rPr>
          <w:rFonts w:ascii="Times New Roman" w:hAnsi="Times New Roman" w:cs="Times New Roman"/>
          <w:color w:val="222222"/>
          <w:sz w:val="28"/>
          <w:szCs w:val="28"/>
          <w:lang w:val="ru-RU"/>
        </w:rPr>
        <w:t>єрна функція</w:t>
      </w:r>
      <w:r w:rsidR="00F3276D">
        <w:rPr>
          <w:rFonts w:ascii="Times New Roman" w:hAnsi="Times New Roman" w:cs="Times New Roman"/>
          <w:color w:val="222222"/>
          <w:sz w:val="28"/>
          <w:szCs w:val="28"/>
          <w:lang w:val="ru-RU"/>
        </w:rPr>
        <w:t>. Клінічно під час огляду ротової порожнини дітей з атопічними захворюваннями нами у більшості випадків була діагностована ксеростомія</w:t>
      </w:r>
      <w:r w:rsidR="00A9038E" w:rsidRPr="00A9038E">
        <w:rPr>
          <w:rFonts w:ascii="Times New Roman" w:hAnsi="Times New Roman" w:cs="Times New Roman"/>
          <w:color w:val="222222"/>
          <w:sz w:val="28"/>
          <w:szCs w:val="28"/>
          <w:lang w:val="ru-RU"/>
        </w:rPr>
        <w:t xml:space="preserve"> </w:t>
      </w:r>
      <w:r w:rsidR="00A9038E">
        <w:rPr>
          <w:rFonts w:ascii="Times New Roman" w:hAnsi="Times New Roman" w:cs="Times New Roman"/>
          <w:color w:val="222222"/>
          <w:sz w:val="28"/>
          <w:szCs w:val="28"/>
          <w:lang w:val="uk-UA"/>
        </w:rPr>
        <w:t>та підвищена в’язкість слини</w:t>
      </w:r>
      <w:r w:rsidR="00F3276D">
        <w:rPr>
          <w:rFonts w:ascii="Times New Roman" w:hAnsi="Times New Roman" w:cs="Times New Roman"/>
          <w:color w:val="222222"/>
          <w:sz w:val="28"/>
          <w:szCs w:val="28"/>
          <w:lang w:val="ru-RU"/>
        </w:rPr>
        <w:t>. У зв'язку з цим нами була поставлена мета дослідити рівень муцину у пацієнтів на тлі атопічних захворювань та без таких.</w:t>
      </w:r>
      <w:r w:rsidR="00A9038E">
        <w:rPr>
          <w:rFonts w:ascii="Times New Roman" w:hAnsi="Times New Roman" w:cs="Times New Roman"/>
          <w:color w:val="222222"/>
          <w:sz w:val="28"/>
          <w:szCs w:val="28"/>
          <w:lang w:val="ru-RU"/>
        </w:rPr>
        <w:t xml:space="preserve"> Результати наведені у таблиці</w:t>
      </w:r>
      <w:r w:rsidR="00FB72F7">
        <w:rPr>
          <w:rFonts w:ascii="Times New Roman" w:hAnsi="Times New Roman" w:cs="Times New Roman"/>
          <w:color w:val="222222"/>
          <w:sz w:val="28"/>
          <w:szCs w:val="28"/>
          <w:lang w:val="ru-RU"/>
        </w:rPr>
        <w:t xml:space="preserve"> 4</w:t>
      </w:r>
      <w:r w:rsidR="001E1BED">
        <w:rPr>
          <w:rFonts w:ascii="Times New Roman" w:hAnsi="Times New Roman" w:cs="Times New Roman"/>
          <w:color w:val="222222"/>
          <w:sz w:val="28"/>
          <w:szCs w:val="28"/>
          <w:lang w:val="ru-RU"/>
        </w:rPr>
        <w:t>.5</w:t>
      </w:r>
      <w:r w:rsidR="00A9038E">
        <w:rPr>
          <w:rFonts w:ascii="Times New Roman" w:hAnsi="Times New Roman" w:cs="Times New Roman"/>
          <w:color w:val="222222"/>
          <w:sz w:val="28"/>
          <w:szCs w:val="28"/>
          <w:lang w:val="ru-RU"/>
        </w:rPr>
        <w:t>.</w:t>
      </w:r>
    </w:p>
    <w:p w14:paraId="626B7876" w14:textId="4FF94514" w:rsidR="00677589" w:rsidRPr="00677589" w:rsidRDefault="00677589" w:rsidP="00376DF7">
      <w:pPr>
        <w:spacing w:after="0" w:line="360" w:lineRule="auto"/>
        <w:ind w:firstLine="709"/>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 xml:space="preserve">Як видно з отриманих результатів, на початку дослідження у всіх чотирьох основних групах спостерігалося достовірне </w:t>
      </w:r>
      <w:r>
        <w:rPr>
          <w:rFonts w:ascii="Times New Roman" w:hAnsi="Times New Roman"/>
          <w:sz w:val="28"/>
          <w:szCs w:val="28"/>
          <w:lang w:val="uk-UA"/>
        </w:rPr>
        <w:t>(</w:t>
      </w:r>
      <w:r w:rsidRPr="002804DE">
        <w:rPr>
          <w:rFonts w:ascii="Times New Roman" w:hAnsi="Times New Roman"/>
          <w:sz w:val="28"/>
          <w:szCs w:val="28"/>
          <w:lang w:val="uk-UA"/>
        </w:rPr>
        <w:t>р˂0,05</w:t>
      </w:r>
      <w:r>
        <w:rPr>
          <w:rFonts w:ascii="Times New Roman" w:hAnsi="Times New Roman"/>
          <w:sz w:val="28"/>
          <w:szCs w:val="28"/>
          <w:lang w:val="uk-UA"/>
        </w:rPr>
        <w:t>)</w:t>
      </w:r>
      <w:r>
        <w:rPr>
          <w:rFonts w:ascii="Times New Roman" w:hAnsi="Times New Roman" w:cs="Times New Roman"/>
          <w:sz w:val="28"/>
          <w:szCs w:val="28"/>
          <w:lang w:val="uk-UA"/>
        </w:rPr>
        <w:t xml:space="preserve"> підвищення рівня вмісту муцину у ротовій рідині, відносно контрольної групи. Отримані дані були підтверджені клінічним оглядом, який виявив високу в’язкість слини. Даний факт може бути пов’язаний з системними змінами, які відбуваються у організмі дітей, хворих на атопічні захворювання, а також може пояснюватися медикаментозною терапією, яку даний контингент пацієнтів вимушений приймати з певною періодичністю у зв’язку з рекурентністю основної хвороби.</w:t>
      </w:r>
    </w:p>
    <w:p w14:paraId="28DBF4AC" w14:textId="276C1CD4" w:rsidR="00677589" w:rsidRPr="00677589" w:rsidRDefault="00677589" w:rsidP="00677589">
      <w:pPr>
        <w:spacing w:after="0" w:line="360" w:lineRule="auto"/>
        <w:ind w:firstLine="709"/>
        <w:jc w:val="both"/>
        <w:rPr>
          <w:rFonts w:ascii="Times New Roman" w:hAnsi="Times New Roman" w:cs="Times New Roman"/>
          <w:color w:val="222222"/>
          <w:sz w:val="28"/>
          <w:szCs w:val="28"/>
          <w:lang w:val="uk-UA"/>
        </w:rPr>
      </w:pPr>
      <w:r w:rsidRPr="00677589">
        <w:rPr>
          <w:rFonts w:ascii="Times New Roman" w:hAnsi="Times New Roman" w:cs="Times New Roman"/>
          <w:color w:val="222222"/>
          <w:sz w:val="28"/>
          <w:szCs w:val="28"/>
          <w:lang w:val="uk-UA"/>
        </w:rPr>
        <w:t>Позитивну динаміку у концентрації муцину у ротовій рідині ми спостерігали з шостого місяця у першій та другій групі пацієнтів</w:t>
      </w:r>
      <w:r>
        <w:rPr>
          <w:rFonts w:ascii="Times New Roman" w:hAnsi="Times New Roman" w:cs="Times New Roman"/>
          <w:color w:val="222222"/>
          <w:sz w:val="28"/>
          <w:szCs w:val="28"/>
          <w:lang w:val="uk-UA"/>
        </w:rPr>
        <w:t>; у третій та четвертій групах достовірної різниці у рівнях муцину не було.</w:t>
      </w:r>
    </w:p>
    <w:p w14:paraId="34429DA8" w14:textId="77777777" w:rsidR="00677589" w:rsidRDefault="00677589" w:rsidP="00677589">
      <w:pPr>
        <w:spacing w:after="0" w:line="360" w:lineRule="auto"/>
        <w:rPr>
          <w:rFonts w:ascii="Times New Roman" w:hAnsi="Times New Roman" w:cs="Times New Roman"/>
          <w:color w:val="222222"/>
          <w:sz w:val="28"/>
          <w:szCs w:val="28"/>
          <w:lang w:val="uk-UA"/>
        </w:rPr>
      </w:pPr>
    </w:p>
    <w:p w14:paraId="799AC78E" w14:textId="77777777" w:rsidR="00677589" w:rsidRPr="00677589" w:rsidRDefault="00677589" w:rsidP="00677589">
      <w:pPr>
        <w:spacing w:after="0" w:line="360" w:lineRule="auto"/>
        <w:rPr>
          <w:rFonts w:ascii="Times New Roman" w:hAnsi="Times New Roman" w:cs="Times New Roman"/>
          <w:color w:val="222222"/>
          <w:sz w:val="28"/>
          <w:szCs w:val="28"/>
          <w:lang w:val="uk-UA"/>
        </w:rPr>
      </w:pPr>
    </w:p>
    <w:p w14:paraId="5C8AF37D" w14:textId="77777777" w:rsidR="00F659EB" w:rsidRPr="00436EF9" w:rsidRDefault="00F659EB" w:rsidP="00677589">
      <w:pPr>
        <w:spacing w:after="0" w:line="360" w:lineRule="auto"/>
        <w:ind w:firstLine="709"/>
        <w:jc w:val="right"/>
        <w:rPr>
          <w:rFonts w:ascii="Times New Roman" w:hAnsi="Times New Roman" w:cs="Times New Roman"/>
          <w:color w:val="222222"/>
          <w:sz w:val="28"/>
          <w:szCs w:val="28"/>
          <w:lang w:val="uk-UA"/>
        </w:rPr>
      </w:pPr>
    </w:p>
    <w:p w14:paraId="5BDAB69C" w14:textId="29D573C0" w:rsidR="00F256FD" w:rsidRDefault="00F256FD" w:rsidP="00677589">
      <w:pPr>
        <w:spacing w:after="0" w:line="360" w:lineRule="auto"/>
        <w:ind w:firstLine="709"/>
        <w:jc w:val="right"/>
        <w:rPr>
          <w:rFonts w:ascii="Times New Roman" w:hAnsi="Times New Roman" w:cs="Times New Roman"/>
          <w:color w:val="222222"/>
          <w:sz w:val="28"/>
          <w:szCs w:val="28"/>
          <w:lang w:val="ru-RU"/>
        </w:rPr>
      </w:pPr>
      <w:r>
        <w:rPr>
          <w:rFonts w:ascii="Times New Roman" w:hAnsi="Times New Roman" w:cs="Times New Roman"/>
          <w:color w:val="222222"/>
          <w:sz w:val="28"/>
          <w:szCs w:val="28"/>
          <w:lang w:val="ru-RU"/>
        </w:rPr>
        <w:t>Таблиця</w:t>
      </w:r>
      <w:r w:rsidR="00FB72F7">
        <w:rPr>
          <w:rFonts w:ascii="Times New Roman" w:hAnsi="Times New Roman" w:cs="Times New Roman"/>
          <w:color w:val="222222"/>
          <w:sz w:val="28"/>
          <w:szCs w:val="28"/>
          <w:lang w:val="ru-RU"/>
        </w:rPr>
        <w:t xml:space="preserve"> 4</w:t>
      </w:r>
      <w:r w:rsidR="001E1BED">
        <w:rPr>
          <w:rFonts w:ascii="Times New Roman" w:hAnsi="Times New Roman" w:cs="Times New Roman"/>
          <w:color w:val="222222"/>
          <w:sz w:val="28"/>
          <w:szCs w:val="28"/>
          <w:lang w:val="ru-RU"/>
        </w:rPr>
        <w:t>.5</w:t>
      </w:r>
    </w:p>
    <w:p w14:paraId="709C5C1B" w14:textId="73DF9DA1" w:rsidR="00F256FD" w:rsidRDefault="00F256FD" w:rsidP="00677589">
      <w:pPr>
        <w:spacing w:after="0" w:line="360" w:lineRule="auto"/>
        <w:ind w:firstLine="709"/>
        <w:jc w:val="center"/>
        <w:rPr>
          <w:rFonts w:ascii="Times New Roman" w:hAnsi="Times New Roman" w:cs="Times New Roman"/>
          <w:color w:val="222222"/>
          <w:sz w:val="28"/>
          <w:szCs w:val="28"/>
          <w:lang w:val="ru-RU"/>
        </w:rPr>
      </w:pPr>
      <w:r>
        <w:rPr>
          <w:rFonts w:ascii="Times New Roman" w:hAnsi="Times New Roman" w:cs="Times New Roman"/>
          <w:color w:val="222222"/>
          <w:sz w:val="28"/>
          <w:szCs w:val="28"/>
          <w:lang w:val="ru-RU"/>
        </w:rPr>
        <w:t>Зміни рівню муцину у досліджуваних групах</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A9038E" w:rsidRPr="00FD6B73" w14:paraId="3B1490F2" w14:textId="77777777" w:rsidTr="00EA04CC">
        <w:trPr>
          <w:trHeight w:val="471"/>
          <w:jc w:val="center"/>
        </w:trPr>
        <w:tc>
          <w:tcPr>
            <w:tcW w:w="1838" w:type="dxa"/>
            <w:vMerge w:val="restart"/>
            <w:shd w:val="clear" w:color="auto" w:fill="auto"/>
          </w:tcPr>
          <w:p w14:paraId="58D69FE1" w14:textId="77777777" w:rsidR="00A9038E" w:rsidRPr="002804DE" w:rsidRDefault="00A9038E" w:rsidP="00677589">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3CC05F4B" w14:textId="4D0B4AAB" w:rsidR="00A9038E" w:rsidRPr="00014A22" w:rsidRDefault="00A9038E" w:rsidP="00677589">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Муцин, г</w:t>
            </w:r>
            <w:r w:rsidRPr="001B46B9">
              <w:rPr>
                <w:rFonts w:ascii="Times New Roman" w:hAnsi="Times New Roman"/>
                <w:sz w:val="28"/>
                <w:szCs w:val="28"/>
                <w:lang w:val="uk-UA"/>
              </w:rPr>
              <w:t>/л</w:t>
            </w:r>
          </w:p>
        </w:tc>
      </w:tr>
      <w:tr w:rsidR="00A9038E" w:rsidRPr="00043875" w14:paraId="59B53298" w14:textId="77777777" w:rsidTr="00EA04CC">
        <w:trPr>
          <w:trHeight w:val="486"/>
          <w:jc w:val="center"/>
        </w:trPr>
        <w:tc>
          <w:tcPr>
            <w:tcW w:w="1838" w:type="dxa"/>
            <w:vMerge/>
            <w:shd w:val="clear" w:color="auto" w:fill="auto"/>
          </w:tcPr>
          <w:p w14:paraId="1F095F72" w14:textId="77777777" w:rsidR="00A9038E" w:rsidRPr="002804DE" w:rsidRDefault="00A9038E" w:rsidP="00677589">
            <w:pPr>
              <w:spacing w:after="0" w:line="360" w:lineRule="auto"/>
              <w:ind w:hanging="5"/>
              <w:jc w:val="center"/>
              <w:rPr>
                <w:rFonts w:ascii="Times New Roman" w:hAnsi="Times New Roman"/>
                <w:sz w:val="28"/>
                <w:szCs w:val="28"/>
                <w:lang w:val="uk-UA"/>
              </w:rPr>
            </w:pPr>
          </w:p>
        </w:tc>
        <w:tc>
          <w:tcPr>
            <w:tcW w:w="1418" w:type="dxa"/>
            <w:shd w:val="clear" w:color="auto" w:fill="auto"/>
          </w:tcPr>
          <w:p w14:paraId="459F4F7D" w14:textId="77777777" w:rsidR="00A9038E" w:rsidRPr="002804DE" w:rsidRDefault="00A9038E" w:rsidP="00677589">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0BB9354C" w14:textId="77777777"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B3E51A4" w14:textId="77777777" w:rsidR="00A9038E" w:rsidRPr="002804DE" w:rsidRDefault="00A9038E" w:rsidP="00677589">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00CEE0CA" w14:textId="7777777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B92618E" w14:textId="7777777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A9038E" w:rsidRPr="00043875" w14:paraId="43C6C07F" w14:textId="77777777" w:rsidTr="00EA04CC">
        <w:trPr>
          <w:trHeight w:val="429"/>
          <w:jc w:val="center"/>
        </w:trPr>
        <w:tc>
          <w:tcPr>
            <w:tcW w:w="1838" w:type="dxa"/>
            <w:shd w:val="clear" w:color="auto" w:fill="auto"/>
          </w:tcPr>
          <w:p w14:paraId="1762C46E" w14:textId="77777777" w:rsidR="00A9038E" w:rsidRPr="002804DE" w:rsidRDefault="00A9038E" w:rsidP="00677589">
            <w:pPr>
              <w:spacing w:after="0" w:line="360" w:lineRule="auto"/>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3166B9B" w14:textId="2BEB7D1A"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5.65</w:t>
            </w:r>
            <w:r>
              <w:rPr>
                <w:rFonts w:ascii="Times New Roman" w:hAnsi="Times New Roman" w:cs="Times New Roman"/>
                <w:sz w:val="28"/>
                <w:szCs w:val="28"/>
                <w:lang w:val="uk-UA"/>
              </w:rPr>
              <w:t>±</w:t>
            </w:r>
            <w:r w:rsidRPr="00A9038E">
              <w:rPr>
                <w:rFonts w:ascii="Times New Roman" w:hAnsi="Times New Roman"/>
                <w:sz w:val="28"/>
                <w:szCs w:val="28"/>
                <w:lang w:val="uk-UA"/>
              </w:rPr>
              <w:t>0.86</w:t>
            </w:r>
          </w:p>
        </w:tc>
        <w:tc>
          <w:tcPr>
            <w:tcW w:w="1417" w:type="dxa"/>
            <w:shd w:val="clear" w:color="auto" w:fill="auto"/>
          </w:tcPr>
          <w:p w14:paraId="4E2AE343" w14:textId="3F2952DD"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5.75</w:t>
            </w:r>
            <w:r>
              <w:rPr>
                <w:rFonts w:ascii="Times New Roman" w:hAnsi="Times New Roman" w:cs="Times New Roman"/>
                <w:sz w:val="28"/>
                <w:szCs w:val="28"/>
                <w:lang w:val="uk-UA"/>
              </w:rPr>
              <w:t>±</w:t>
            </w:r>
            <w:r w:rsidRPr="00A9038E">
              <w:rPr>
                <w:rFonts w:ascii="Times New Roman" w:hAnsi="Times New Roman"/>
                <w:sz w:val="28"/>
                <w:szCs w:val="28"/>
                <w:lang w:val="uk-UA"/>
              </w:rPr>
              <w:t>0.75</w:t>
            </w:r>
          </w:p>
        </w:tc>
        <w:tc>
          <w:tcPr>
            <w:tcW w:w="1559" w:type="dxa"/>
            <w:shd w:val="clear" w:color="auto" w:fill="auto"/>
          </w:tcPr>
          <w:p w14:paraId="5E5D65E4" w14:textId="766AF20C"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5.78</w:t>
            </w:r>
            <w:r>
              <w:rPr>
                <w:rFonts w:ascii="Times New Roman" w:hAnsi="Times New Roman" w:cs="Times New Roman"/>
                <w:sz w:val="28"/>
                <w:szCs w:val="28"/>
                <w:lang w:val="uk-UA"/>
              </w:rPr>
              <w:t>±</w:t>
            </w:r>
            <w:r w:rsidRPr="00A9038E">
              <w:rPr>
                <w:rFonts w:ascii="Times New Roman" w:hAnsi="Times New Roman"/>
                <w:sz w:val="28"/>
                <w:szCs w:val="28"/>
                <w:lang w:val="uk-UA"/>
              </w:rPr>
              <w:t>1.02</w:t>
            </w:r>
          </w:p>
        </w:tc>
        <w:tc>
          <w:tcPr>
            <w:tcW w:w="1570" w:type="dxa"/>
            <w:shd w:val="clear" w:color="auto" w:fill="auto"/>
          </w:tcPr>
          <w:p w14:paraId="401AD2E4" w14:textId="7BFCBA5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5.86</w:t>
            </w:r>
            <w:r>
              <w:rPr>
                <w:rFonts w:ascii="Times New Roman" w:hAnsi="Times New Roman" w:cs="Times New Roman"/>
                <w:sz w:val="28"/>
                <w:szCs w:val="28"/>
                <w:lang w:val="uk-UA"/>
              </w:rPr>
              <w:t>±</w:t>
            </w:r>
            <w:r w:rsidRPr="00A9038E">
              <w:rPr>
                <w:rFonts w:ascii="Times New Roman" w:hAnsi="Times New Roman"/>
                <w:sz w:val="28"/>
                <w:szCs w:val="28"/>
                <w:lang w:val="uk-UA"/>
              </w:rPr>
              <w:t>0.68</w:t>
            </w:r>
          </w:p>
        </w:tc>
        <w:tc>
          <w:tcPr>
            <w:tcW w:w="1483" w:type="dxa"/>
            <w:shd w:val="clear" w:color="auto" w:fill="auto"/>
          </w:tcPr>
          <w:p w14:paraId="6019405B" w14:textId="148F3A4D" w:rsidR="00A9038E" w:rsidRPr="00307B1F"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2.50</w:t>
            </w:r>
            <w:r>
              <w:rPr>
                <w:rFonts w:ascii="Times New Roman" w:hAnsi="Times New Roman" w:cs="Times New Roman"/>
                <w:sz w:val="28"/>
                <w:szCs w:val="28"/>
                <w:lang w:val="uk-UA"/>
              </w:rPr>
              <w:t>±</w:t>
            </w:r>
            <w:r w:rsidRPr="00A9038E">
              <w:rPr>
                <w:rFonts w:ascii="Times New Roman" w:hAnsi="Times New Roman"/>
                <w:sz w:val="28"/>
                <w:szCs w:val="28"/>
                <w:lang w:val="uk-UA"/>
              </w:rPr>
              <w:t>0.60</w:t>
            </w:r>
          </w:p>
        </w:tc>
      </w:tr>
      <w:tr w:rsidR="00A9038E" w:rsidRPr="007451D9" w14:paraId="197912A9" w14:textId="77777777" w:rsidTr="00EA04CC">
        <w:trPr>
          <w:trHeight w:val="427"/>
          <w:jc w:val="center"/>
        </w:trPr>
        <w:tc>
          <w:tcPr>
            <w:tcW w:w="1838" w:type="dxa"/>
            <w:shd w:val="clear" w:color="auto" w:fill="auto"/>
          </w:tcPr>
          <w:p w14:paraId="3AD38F05" w14:textId="77777777" w:rsidR="00A9038E" w:rsidRPr="002804DE" w:rsidRDefault="00A9038E"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61228636" w14:textId="6ED893DA"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3.14</w:t>
            </w:r>
            <w:r>
              <w:rPr>
                <w:rFonts w:ascii="Times New Roman" w:hAnsi="Times New Roman" w:cs="Times New Roman"/>
                <w:sz w:val="28"/>
                <w:szCs w:val="28"/>
                <w:lang w:val="uk-UA"/>
              </w:rPr>
              <w:t>±</w:t>
            </w:r>
            <w:r>
              <w:rPr>
                <w:rFonts w:ascii="Times New Roman" w:hAnsi="Times New Roman"/>
                <w:sz w:val="28"/>
                <w:szCs w:val="28"/>
                <w:lang w:val="uk-UA"/>
              </w:rPr>
              <w:t>0.42</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0483A5D4" w14:textId="3C582A99"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2.51</w:t>
            </w:r>
            <w:r>
              <w:rPr>
                <w:rFonts w:ascii="Times New Roman" w:hAnsi="Times New Roman" w:cs="Times New Roman"/>
                <w:sz w:val="28"/>
                <w:szCs w:val="28"/>
                <w:lang w:val="uk-UA"/>
              </w:rPr>
              <w:t>±</w:t>
            </w:r>
            <w:r w:rsidRPr="00166C6D">
              <w:rPr>
                <w:rFonts w:ascii="Times New Roman" w:hAnsi="Times New Roman"/>
                <w:sz w:val="28"/>
                <w:szCs w:val="28"/>
                <w:lang w:val="uk-UA"/>
              </w:rPr>
              <w:t>0.62</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497D722F" w14:textId="6A724132"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4.53</w:t>
            </w:r>
            <w:r>
              <w:rPr>
                <w:rFonts w:ascii="Times New Roman" w:hAnsi="Times New Roman" w:cs="Times New Roman"/>
                <w:sz w:val="28"/>
                <w:szCs w:val="28"/>
                <w:lang w:val="uk-UA"/>
              </w:rPr>
              <w:t>±</w:t>
            </w:r>
            <w:r>
              <w:rPr>
                <w:rFonts w:ascii="Times New Roman" w:hAnsi="Times New Roman"/>
                <w:sz w:val="28"/>
                <w:szCs w:val="28"/>
                <w:lang w:val="uk-UA"/>
              </w:rPr>
              <w:t>0.65</w:t>
            </w:r>
          </w:p>
        </w:tc>
        <w:tc>
          <w:tcPr>
            <w:tcW w:w="1570" w:type="dxa"/>
            <w:shd w:val="clear" w:color="auto" w:fill="auto"/>
          </w:tcPr>
          <w:p w14:paraId="6C924971" w14:textId="14FA6948"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sidR="00A9038E">
              <w:rPr>
                <w:rFonts w:ascii="Times New Roman" w:hAnsi="Times New Roman" w:cs="Times New Roman"/>
                <w:sz w:val="28"/>
                <w:szCs w:val="28"/>
                <w:lang w:val="uk-UA"/>
              </w:rPr>
              <w:t>±</w:t>
            </w:r>
            <w:r>
              <w:rPr>
                <w:rFonts w:ascii="Times New Roman" w:hAnsi="Times New Roman"/>
                <w:sz w:val="28"/>
                <w:szCs w:val="28"/>
                <w:lang w:val="uk-UA"/>
              </w:rPr>
              <w:t>0.88</w:t>
            </w:r>
          </w:p>
        </w:tc>
        <w:tc>
          <w:tcPr>
            <w:tcW w:w="1483" w:type="dxa"/>
            <w:shd w:val="clear" w:color="auto" w:fill="auto"/>
          </w:tcPr>
          <w:p w14:paraId="4318621F" w14:textId="1AD0ED68"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2.44</w:t>
            </w:r>
            <w:r w:rsidR="00A9038E">
              <w:rPr>
                <w:rFonts w:ascii="Times New Roman" w:hAnsi="Times New Roman" w:cs="Times New Roman"/>
                <w:sz w:val="28"/>
                <w:szCs w:val="28"/>
                <w:lang w:val="uk-UA"/>
              </w:rPr>
              <w:t>±</w:t>
            </w:r>
            <w:r w:rsidR="00A9038E" w:rsidRPr="00166C6D">
              <w:rPr>
                <w:rFonts w:ascii="Times New Roman" w:hAnsi="Times New Roman"/>
                <w:sz w:val="28"/>
                <w:szCs w:val="28"/>
                <w:lang w:val="uk-UA"/>
              </w:rPr>
              <w:t>0.53</w:t>
            </w:r>
          </w:p>
        </w:tc>
      </w:tr>
      <w:tr w:rsidR="00A9038E" w:rsidRPr="00A9038E" w14:paraId="55F2CB8E" w14:textId="77777777" w:rsidTr="00EA04CC">
        <w:trPr>
          <w:trHeight w:val="577"/>
          <w:jc w:val="center"/>
        </w:trPr>
        <w:tc>
          <w:tcPr>
            <w:tcW w:w="1838" w:type="dxa"/>
            <w:shd w:val="clear" w:color="auto" w:fill="auto"/>
          </w:tcPr>
          <w:p w14:paraId="54CD973D" w14:textId="77777777" w:rsidR="00A9038E" w:rsidRPr="002804DE" w:rsidRDefault="00A9038E"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6E2FE1B0" w14:textId="5B588AFB" w:rsidR="00A9038E" w:rsidRPr="002804DE" w:rsidRDefault="00A9038E" w:rsidP="00677589">
            <w:pPr>
              <w:spacing w:after="0" w:line="360" w:lineRule="auto"/>
              <w:rPr>
                <w:rFonts w:ascii="Times New Roman" w:hAnsi="Times New Roman"/>
                <w:sz w:val="28"/>
                <w:szCs w:val="28"/>
                <w:lang w:val="uk-UA"/>
              </w:rPr>
            </w:pPr>
            <w:r>
              <w:rPr>
                <w:rFonts w:ascii="Times New Roman" w:hAnsi="Times New Roman"/>
                <w:sz w:val="28"/>
                <w:szCs w:val="28"/>
                <w:lang w:val="uk-UA"/>
              </w:rPr>
              <w:t>2.48</w:t>
            </w:r>
            <w:r>
              <w:rPr>
                <w:rFonts w:ascii="Times New Roman" w:hAnsi="Times New Roman" w:cs="Times New Roman"/>
                <w:sz w:val="28"/>
                <w:szCs w:val="28"/>
                <w:lang w:val="uk-UA"/>
              </w:rPr>
              <w:t>±</w:t>
            </w:r>
            <w:r>
              <w:rPr>
                <w:rFonts w:ascii="Times New Roman" w:hAnsi="Times New Roman"/>
                <w:sz w:val="28"/>
                <w:szCs w:val="28"/>
                <w:lang w:val="uk-UA"/>
              </w:rPr>
              <w:t>0.5</w:t>
            </w:r>
            <w:r w:rsidRPr="00166C6D">
              <w:rPr>
                <w:rFonts w:ascii="Times New Roman" w:hAnsi="Times New Roman"/>
                <w:sz w:val="28"/>
                <w:szCs w:val="28"/>
                <w:lang w:val="uk-UA"/>
              </w:rPr>
              <w:t>5</w:t>
            </w:r>
            <w:r w:rsidR="00376DF7" w:rsidRPr="00376DF7">
              <w:rPr>
                <w:rFonts w:ascii="Times New Roman" w:hAnsi="Times New Roman"/>
                <w:sz w:val="28"/>
                <w:szCs w:val="28"/>
                <w:vertAlign w:val="superscript"/>
                <w:lang w:val="uk-UA"/>
              </w:rPr>
              <w:t>1</w:t>
            </w:r>
            <w:r w:rsidRPr="002804DE">
              <w:rPr>
                <w:rFonts w:ascii="Times New Roman" w:hAnsi="Times New Roman"/>
                <w:sz w:val="28"/>
                <w:szCs w:val="28"/>
                <w:lang w:val="uk-UA"/>
              </w:rPr>
              <w:t>*</w:t>
            </w:r>
          </w:p>
        </w:tc>
        <w:tc>
          <w:tcPr>
            <w:tcW w:w="1417" w:type="dxa"/>
            <w:shd w:val="clear" w:color="auto" w:fill="auto"/>
          </w:tcPr>
          <w:p w14:paraId="3DF217AC" w14:textId="1D67040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2.37</w:t>
            </w:r>
            <w:r>
              <w:rPr>
                <w:rFonts w:ascii="Times New Roman" w:hAnsi="Times New Roman" w:cs="Times New Roman"/>
                <w:sz w:val="28"/>
                <w:szCs w:val="28"/>
                <w:lang w:val="uk-UA"/>
              </w:rPr>
              <w:t>±</w:t>
            </w:r>
            <w:r>
              <w:rPr>
                <w:rFonts w:ascii="Times New Roman" w:hAnsi="Times New Roman"/>
                <w:sz w:val="28"/>
                <w:szCs w:val="28"/>
                <w:lang w:val="uk-UA"/>
              </w:rPr>
              <w:t>0.5</w:t>
            </w:r>
            <w:r w:rsidRPr="00166C6D">
              <w:rPr>
                <w:rFonts w:ascii="Times New Roman" w:hAnsi="Times New Roman"/>
                <w:sz w:val="28"/>
                <w:szCs w:val="28"/>
                <w:lang w:val="uk-UA"/>
              </w:rPr>
              <w:t>3</w:t>
            </w:r>
            <w:r w:rsidRPr="002804DE">
              <w:rPr>
                <w:rFonts w:ascii="Times New Roman" w:hAnsi="Times New Roman"/>
                <w:sz w:val="28"/>
                <w:szCs w:val="28"/>
                <w:lang w:val="uk-UA"/>
              </w:rPr>
              <w:t>*</w:t>
            </w:r>
            <w:r w:rsidR="00376DF7" w:rsidRPr="00F42F7A">
              <w:rPr>
                <w:rFonts w:ascii="Times New Roman" w:hAnsi="Times New Roman"/>
                <w:sz w:val="28"/>
                <w:szCs w:val="28"/>
                <w:vertAlign w:val="superscript"/>
                <w:lang w:val="uk-UA"/>
              </w:rPr>
              <w:t>2</w:t>
            </w:r>
          </w:p>
        </w:tc>
        <w:tc>
          <w:tcPr>
            <w:tcW w:w="1559" w:type="dxa"/>
            <w:shd w:val="clear" w:color="auto" w:fill="auto"/>
          </w:tcPr>
          <w:p w14:paraId="0B82E958" w14:textId="03DCAB9D"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Pr>
                <w:rFonts w:ascii="Times New Roman" w:hAnsi="Times New Roman"/>
                <w:sz w:val="28"/>
                <w:szCs w:val="28"/>
                <w:lang w:val="uk-UA"/>
              </w:rPr>
              <w:t>0.72</w:t>
            </w:r>
          </w:p>
        </w:tc>
        <w:tc>
          <w:tcPr>
            <w:tcW w:w="1570" w:type="dxa"/>
            <w:shd w:val="clear" w:color="auto" w:fill="auto"/>
          </w:tcPr>
          <w:p w14:paraId="383E8FDD" w14:textId="1D8B1BF7" w:rsidR="00A9038E" w:rsidRPr="002804DE" w:rsidRDefault="00A9038E"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5.20</w:t>
            </w:r>
            <w:r>
              <w:rPr>
                <w:rFonts w:ascii="Times New Roman" w:hAnsi="Times New Roman" w:cs="Times New Roman"/>
                <w:sz w:val="28"/>
                <w:szCs w:val="28"/>
                <w:lang w:val="uk-UA"/>
              </w:rPr>
              <w:t>±</w:t>
            </w:r>
            <w:r w:rsidR="007451D9">
              <w:rPr>
                <w:rFonts w:ascii="Times New Roman" w:hAnsi="Times New Roman"/>
                <w:sz w:val="28"/>
                <w:szCs w:val="28"/>
                <w:lang w:val="uk-UA"/>
              </w:rPr>
              <w:t>0.59</w:t>
            </w:r>
          </w:p>
        </w:tc>
        <w:tc>
          <w:tcPr>
            <w:tcW w:w="1483" w:type="dxa"/>
            <w:shd w:val="clear" w:color="auto" w:fill="auto"/>
          </w:tcPr>
          <w:p w14:paraId="5321E248" w14:textId="0CED37AF" w:rsidR="00A9038E" w:rsidRPr="002804DE" w:rsidRDefault="007451D9"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A9038E">
              <w:rPr>
                <w:rFonts w:ascii="Times New Roman" w:hAnsi="Times New Roman"/>
                <w:sz w:val="28"/>
                <w:szCs w:val="28"/>
                <w:lang w:val="uk-UA"/>
              </w:rPr>
              <w:t>.20</w:t>
            </w:r>
            <w:r w:rsidR="00A9038E">
              <w:rPr>
                <w:rFonts w:ascii="Times New Roman" w:hAnsi="Times New Roman" w:cs="Times New Roman"/>
                <w:sz w:val="28"/>
                <w:szCs w:val="28"/>
                <w:lang w:val="uk-UA"/>
              </w:rPr>
              <w:t>±</w:t>
            </w:r>
            <w:r>
              <w:rPr>
                <w:rFonts w:ascii="Times New Roman" w:hAnsi="Times New Roman"/>
                <w:sz w:val="28"/>
                <w:szCs w:val="28"/>
                <w:lang w:val="uk-UA"/>
              </w:rPr>
              <w:t>0.56</w:t>
            </w:r>
          </w:p>
        </w:tc>
      </w:tr>
    </w:tbl>
    <w:p w14:paraId="5136A272" w14:textId="1335CA20" w:rsidR="00F3276D" w:rsidRDefault="007451D9" w:rsidP="00677589">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59C71DEA" w14:textId="77777777" w:rsidR="00376DF7" w:rsidRPr="00F42F7A" w:rsidRDefault="00376DF7"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D3847B" w14:textId="77777777" w:rsidR="00376DF7" w:rsidRPr="00F42F7A" w:rsidRDefault="00376DF7"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D697F16" w14:textId="067C1CDA" w:rsidR="007451D9" w:rsidRDefault="007451D9" w:rsidP="00677589">
      <w:pPr>
        <w:spacing w:after="0" w:line="360" w:lineRule="auto"/>
        <w:jc w:val="both"/>
        <w:rPr>
          <w:rFonts w:ascii="Times New Roman" w:hAnsi="Times New Roman" w:cs="Times New Roman"/>
          <w:sz w:val="28"/>
          <w:szCs w:val="28"/>
          <w:lang w:val="uk-UA"/>
        </w:rPr>
      </w:pPr>
    </w:p>
    <w:p w14:paraId="5FDAD3BF" w14:textId="57811157" w:rsidR="007451D9" w:rsidRDefault="007451D9" w:rsidP="00A448F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Важливо відзначити, що призначене лікування та профілактика</w:t>
      </w:r>
      <w:r w:rsidR="00F256FD">
        <w:rPr>
          <w:rFonts w:ascii="Times New Roman" w:hAnsi="Times New Roman" w:cs="Times New Roman"/>
          <w:sz w:val="28"/>
          <w:szCs w:val="28"/>
          <w:lang w:val="uk-UA"/>
        </w:rPr>
        <w:t xml:space="preserve">, згідно з показниками першої та другої групи, призвело до зниження концентрації муцину у ротовій рідині. Так, через шість місяців рівень муцину серед дітей першої групи дорівнював </w:t>
      </w:r>
      <w:r w:rsidR="00F256FD">
        <w:rPr>
          <w:rFonts w:ascii="Times New Roman" w:hAnsi="Times New Roman"/>
          <w:sz w:val="28"/>
          <w:szCs w:val="28"/>
          <w:lang w:val="uk-UA"/>
        </w:rPr>
        <w:t xml:space="preserve">3.14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 xml:space="preserve">0.42 г / л, через дванадцять місяців 2.48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0.5</w:t>
      </w:r>
      <w:r w:rsidR="00F256FD" w:rsidRPr="00166C6D">
        <w:rPr>
          <w:rFonts w:ascii="Times New Roman" w:hAnsi="Times New Roman"/>
          <w:sz w:val="28"/>
          <w:szCs w:val="28"/>
          <w:lang w:val="uk-UA"/>
        </w:rPr>
        <w:t>5</w:t>
      </w:r>
      <w:r w:rsidR="00F256FD">
        <w:rPr>
          <w:rFonts w:ascii="Times New Roman" w:hAnsi="Times New Roman"/>
          <w:sz w:val="28"/>
          <w:szCs w:val="28"/>
          <w:lang w:val="uk-UA"/>
        </w:rPr>
        <w:t xml:space="preserve"> г / л, що достовірно відрізняється від початкового рівня 5.65 </w:t>
      </w:r>
      <w:r w:rsidR="00F256FD">
        <w:rPr>
          <w:rFonts w:ascii="Times New Roman" w:hAnsi="Times New Roman" w:cs="Times New Roman"/>
          <w:sz w:val="28"/>
          <w:szCs w:val="28"/>
          <w:lang w:val="uk-UA"/>
        </w:rPr>
        <w:t xml:space="preserve">± </w:t>
      </w:r>
      <w:r w:rsidR="00F256FD" w:rsidRPr="00A9038E">
        <w:rPr>
          <w:rFonts w:ascii="Times New Roman" w:hAnsi="Times New Roman"/>
          <w:sz w:val="28"/>
          <w:szCs w:val="28"/>
          <w:lang w:val="uk-UA"/>
        </w:rPr>
        <w:t>0.86</w:t>
      </w:r>
      <w:r w:rsidR="000D043C">
        <w:rPr>
          <w:rFonts w:ascii="Times New Roman" w:hAnsi="Times New Roman"/>
          <w:sz w:val="28"/>
          <w:szCs w:val="28"/>
          <w:lang w:val="uk-UA"/>
        </w:rPr>
        <w:t xml:space="preserve"> г / л</w:t>
      </w:r>
      <w:r w:rsidR="009A785C">
        <w:rPr>
          <w:rFonts w:ascii="Times New Roman" w:hAnsi="Times New Roman"/>
          <w:sz w:val="28"/>
          <w:szCs w:val="28"/>
          <w:lang w:val="uk-UA"/>
        </w:rPr>
        <w:t>. Схож</w:t>
      </w:r>
      <w:r w:rsidR="00F256FD">
        <w:rPr>
          <w:rFonts w:ascii="Times New Roman" w:hAnsi="Times New Roman"/>
          <w:sz w:val="28"/>
          <w:szCs w:val="28"/>
          <w:lang w:val="uk-UA"/>
        </w:rPr>
        <w:t xml:space="preserve">у позитивну тенденцію ми спостерігали у другій групі пацієнтів, де вміст муцину знаходився на рівні 5.75 </w:t>
      </w:r>
      <w:r w:rsidR="00F256FD">
        <w:rPr>
          <w:rFonts w:ascii="Times New Roman" w:hAnsi="Times New Roman" w:cs="Times New Roman"/>
          <w:sz w:val="28"/>
          <w:szCs w:val="28"/>
          <w:lang w:val="uk-UA"/>
        </w:rPr>
        <w:t xml:space="preserve">± </w:t>
      </w:r>
      <w:r w:rsidR="00F256FD" w:rsidRPr="00A9038E">
        <w:rPr>
          <w:rFonts w:ascii="Times New Roman" w:hAnsi="Times New Roman"/>
          <w:sz w:val="28"/>
          <w:szCs w:val="28"/>
          <w:lang w:val="uk-UA"/>
        </w:rPr>
        <w:t>0.75</w:t>
      </w:r>
      <w:r w:rsidR="00F256FD">
        <w:rPr>
          <w:rFonts w:ascii="Times New Roman" w:hAnsi="Times New Roman"/>
          <w:sz w:val="28"/>
          <w:szCs w:val="28"/>
          <w:lang w:val="uk-UA"/>
        </w:rPr>
        <w:t xml:space="preserve"> г / л на початку дослідження, через шість місяців дорівнював 2.51 </w:t>
      </w:r>
      <w:r w:rsidR="00F256FD">
        <w:rPr>
          <w:rFonts w:ascii="Times New Roman" w:hAnsi="Times New Roman" w:cs="Times New Roman"/>
          <w:sz w:val="28"/>
          <w:szCs w:val="28"/>
          <w:lang w:val="uk-UA"/>
        </w:rPr>
        <w:t xml:space="preserve">± </w:t>
      </w:r>
      <w:r w:rsidR="00F256FD" w:rsidRPr="00166C6D">
        <w:rPr>
          <w:rFonts w:ascii="Times New Roman" w:hAnsi="Times New Roman"/>
          <w:sz w:val="28"/>
          <w:szCs w:val="28"/>
          <w:lang w:val="uk-UA"/>
        </w:rPr>
        <w:t>0.62</w:t>
      </w:r>
      <w:r w:rsidR="00F256FD">
        <w:rPr>
          <w:rFonts w:ascii="Times New Roman" w:hAnsi="Times New Roman"/>
          <w:sz w:val="28"/>
          <w:szCs w:val="28"/>
          <w:lang w:val="uk-UA"/>
        </w:rPr>
        <w:t xml:space="preserve"> г / л, через дванадцять місяців 2.37 </w:t>
      </w:r>
      <w:r w:rsidR="00F256FD">
        <w:rPr>
          <w:rFonts w:ascii="Times New Roman" w:hAnsi="Times New Roman" w:cs="Times New Roman"/>
          <w:sz w:val="28"/>
          <w:szCs w:val="28"/>
          <w:lang w:val="uk-UA"/>
        </w:rPr>
        <w:t xml:space="preserve">± </w:t>
      </w:r>
      <w:r w:rsidR="00F256FD">
        <w:rPr>
          <w:rFonts w:ascii="Times New Roman" w:hAnsi="Times New Roman"/>
          <w:sz w:val="28"/>
          <w:szCs w:val="28"/>
          <w:lang w:val="uk-UA"/>
        </w:rPr>
        <w:t>0.5</w:t>
      </w:r>
      <w:r w:rsidR="00F256FD" w:rsidRPr="00166C6D">
        <w:rPr>
          <w:rFonts w:ascii="Times New Roman" w:hAnsi="Times New Roman"/>
          <w:sz w:val="28"/>
          <w:szCs w:val="28"/>
          <w:lang w:val="uk-UA"/>
        </w:rPr>
        <w:t>3</w:t>
      </w:r>
      <w:r w:rsidR="00F256FD">
        <w:rPr>
          <w:rFonts w:ascii="Times New Roman" w:hAnsi="Times New Roman"/>
          <w:sz w:val="28"/>
          <w:szCs w:val="28"/>
          <w:lang w:val="uk-UA"/>
        </w:rPr>
        <w:t xml:space="preserve"> г / л. Таким чином, корекція антиоксидантних та імуних ланок при лікуванні та профілактиці </w:t>
      </w:r>
      <w:r w:rsidR="009A785C">
        <w:rPr>
          <w:rFonts w:ascii="Times New Roman" w:hAnsi="Times New Roman"/>
          <w:sz w:val="28"/>
          <w:szCs w:val="28"/>
          <w:lang w:val="uk-UA"/>
        </w:rPr>
        <w:t>хронічного гінгівіту у дітей на тлі атопічних захворювань у поєднанні з корекцією схеми індивідуальної гігієни, яка включає застосування гелю, направленого на боротьбу з ксеростомією, дала позитивний клінічний результат.</w:t>
      </w:r>
    </w:p>
    <w:p w14:paraId="23EFCB0F" w14:textId="3CF67F5E" w:rsidR="009A785C" w:rsidRDefault="009A785C"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жаль, традиційний спосіб лікування та профілактики хронічного гінгівіту у дітей на тлі атопічних захворювань не мав позитивного результату як з точки зору клінічних, так і клініко-лабораторних показників. Так, через шість місяців у пацієнтів третьої групи достовірної різниці у рівні муцину у порівнянні з почат</w:t>
      </w:r>
      <w:r w:rsidR="000D043C">
        <w:rPr>
          <w:rFonts w:ascii="Times New Roman" w:hAnsi="Times New Roman"/>
          <w:sz w:val="28"/>
          <w:szCs w:val="28"/>
          <w:lang w:val="uk-UA"/>
        </w:rPr>
        <w:t>ковим рівнем не спостеріга</w:t>
      </w:r>
      <w:r>
        <w:rPr>
          <w:rFonts w:ascii="Times New Roman" w:hAnsi="Times New Roman"/>
          <w:sz w:val="28"/>
          <w:szCs w:val="28"/>
          <w:lang w:val="uk-UA"/>
        </w:rPr>
        <w:t xml:space="preserve">лося, так само як і через дванадцять місяців (4.53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0.65 г / л, 5.12 </w:t>
      </w:r>
      <w:r>
        <w:rPr>
          <w:rFonts w:ascii="Times New Roman" w:hAnsi="Times New Roman" w:cs="Times New Roman"/>
          <w:sz w:val="28"/>
          <w:szCs w:val="28"/>
          <w:lang w:val="uk-UA"/>
        </w:rPr>
        <w:t xml:space="preserve">± </w:t>
      </w:r>
      <w:r>
        <w:rPr>
          <w:rFonts w:ascii="Times New Roman" w:hAnsi="Times New Roman"/>
          <w:sz w:val="28"/>
          <w:szCs w:val="28"/>
          <w:lang w:val="uk-UA"/>
        </w:rPr>
        <w:t xml:space="preserve">0.72 г / л відповідно). Показники четвертої групи пацієнтів так само достовірно не відрізнялися від початкового рівня, вміст муцину дорівнював </w:t>
      </w:r>
      <w:r w:rsidR="00352C0B">
        <w:rPr>
          <w:rFonts w:ascii="Times New Roman" w:hAnsi="Times New Roman"/>
          <w:sz w:val="28"/>
          <w:szCs w:val="28"/>
          <w:lang w:val="uk-UA"/>
        </w:rPr>
        <w:t xml:space="preserve">5.12 ± 0.88 г / л та </w:t>
      </w:r>
      <w:r w:rsidR="00352C0B" w:rsidRPr="00352C0B">
        <w:rPr>
          <w:rFonts w:ascii="Times New Roman" w:hAnsi="Times New Roman"/>
          <w:sz w:val="28"/>
          <w:szCs w:val="28"/>
          <w:lang w:val="uk-UA"/>
        </w:rPr>
        <w:t>5.20</w:t>
      </w:r>
      <w:r w:rsidR="00352C0B">
        <w:rPr>
          <w:rFonts w:ascii="Times New Roman" w:hAnsi="Times New Roman"/>
          <w:sz w:val="28"/>
          <w:szCs w:val="28"/>
          <w:lang w:val="uk-UA"/>
        </w:rPr>
        <w:t xml:space="preserve"> </w:t>
      </w:r>
      <w:r w:rsidR="00352C0B" w:rsidRPr="00352C0B">
        <w:rPr>
          <w:rFonts w:ascii="Times New Roman" w:hAnsi="Times New Roman"/>
          <w:sz w:val="28"/>
          <w:szCs w:val="28"/>
          <w:lang w:val="uk-UA"/>
        </w:rPr>
        <w:t>±</w:t>
      </w:r>
      <w:r w:rsidR="00352C0B">
        <w:rPr>
          <w:rFonts w:ascii="Times New Roman" w:hAnsi="Times New Roman"/>
          <w:sz w:val="28"/>
          <w:szCs w:val="28"/>
          <w:lang w:val="uk-UA"/>
        </w:rPr>
        <w:t xml:space="preserve"> </w:t>
      </w:r>
      <w:r w:rsidR="00352C0B" w:rsidRPr="00352C0B">
        <w:rPr>
          <w:rFonts w:ascii="Times New Roman" w:hAnsi="Times New Roman"/>
          <w:sz w:val="28"/>
          <w:szCs w:val="28"/>
          <w:lang w:val="uk-UA"/>
        </w:rPr>
        <w:t>0.59</w:t>
      </w:r>
      <w:r w:rsidR="00352C0B">
        <w:rPr>
          <w:rFonts w:ascii="Times New Roman" w:hAnsi="Times New Roman"/>
          <w:sz w:val="28"/>
          <w:szCs w:val="28"/>
          <w:lang w:val="uk-UA"/>
        </w:rPr>
        <w:t xml:space="preserve"> г / л через шість та дванадцять місяців відповідно.</w:t>
      </w:r>
    </w:p>
    <w:p w14:paraId="72F96B28" w14:textId="2F284747" w:rsidR="00352C0B" w:rsidRPr="00352C0B" w:rsidRDefault="00352C0B"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проведення дослідження рівню муцину у ротовій рідині дітей з атопічними захворюваннями та соматично здорових дітей виявило підвищення його вмісту на тлі атопічних захворювань. При цьому важливо відмітити, що призначення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програми профілактики та лікування хронічного гінгівіту у дітей з атопічними захворюваннями призвело до нормалізації вмісту муцину у ротовій рідині.</w:t>
      </w:r>
    </w:p>
    <w:p w14:paraId="22D9F845" w14:textId="61382D96" w:rsidR="00B411CE" w:rsidRDefault="007451D9" w:rsidP="00A448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показником, який характеризує мікробіоценоз порожнини рота та підтримує її здоровий гомеостаз, є значення кислотно-</w:t>
      </w:r>
      <w:r w:rsidR="006F3BC1">
        <w:rPr>
          <w:rFonts w:ascii="Times New Roman" w:hAnsi="Times New Roman" w:cs="Times New Roman"/>
          <w:sz w:val="28"/>
          <w:szCs w:val="28"/>
          <w:lang w:val="uk-UA"/>
        </w:rPr>
        <w:t>лужної</w:t>
      </w:r>
      <w:r>
        <w:rPr>
          <w:rFonts w:ascii="Times New Roman" w:hAnsi="Times New Roman" w:cs="Times New Roman"/>
          <w:sz w:val="28"/>
          <w:szCs w:val="28"/>
          <w:lang w:val="uk-UA"/>
        </w:rPr>
        <w:t xml:space="preserve"> рівноваги. </w:t>
      </w:r>
      <w:r w:rsidR="006F3BC1">
        <w:rPr>
          <w:rFonts w:ascii="Times New Roman" w:hAnsi="Times New Roman" w:cs="Times New Roman"/>
          <w:sz w:val="28"/>
          <w:szCs w:val="28"/>
          <w:lang w:val="uk-UA"/>
        </w:rPr>
        <w:t>Як відомо, нормативні значення рН ротової рідини знаходяться у межах 6.5 - 7.5. Деякими авторами в</w:t>
      </w:r>
      <w:r w:rsidR="006F3BC1" w:rsidRPr="006F3BC1">
        <w:rPr>
          <w:rFonts w:ascii="Times New Roman" w:hAnsi="Times New Roman" w:cs="Times New Roman"/>
          <w:sz w:val="28"/>
          <w:szCs w:val="28"/>
          <w:lang w:val="uk-UA"/>
        </w:rPr>
        <w:t>становлені незначні коливання рН протягом дня і ночі (зниження в нічний час). Найбільш сильним чинником, що дестабілізує рН слини, є кислотопродукуюча активність після прийому вуглеводної їжі. «Кисла» реакція ротової рідини спостерігається дуже рідко, хоча локальне зниження рН - явище закономірне і обумовлено життєдіяльністю мікрофлори зубного нальоту, каріозних порожнин, осаду слин</w:t>
      </w:r>
      <w:r w:rsidR="006F3BC1">
        <w:rPr>
          <w:rFonts w:ascii="Times New Roman" w:hAnsi="Times New Roman" w:cs="Times New Roman"/>
          <w:sz w:val="28"/>
          <w:szCs w:val="28"/>
          <w:lang w:val="uk-UA"/>
        </w:rPr>
        <w:t xml:space="preserve">и, а також інших факторів. Нами було проведене вивчення кислотності ротової рідини дітей на тлі атопічних захворювань та соматично здорових дітей та їх порівняння. За нашим припущенням та даними науковців, значні системні зміни, що відбуваються в організмі дітей на тлі таких захворювань як бронхіальна атсма, атопічний дерматит та алергічний риніт, не можуть не відображатися на гомеостазі ротової порожнини та впливати на всі процеси, які в ній відбуваються. </w:t>
      </w:r>
      <w:r w:rsidR="00366B26">
        <w:rPr>
          <w:rFonts w:ascii="Times New Roman" w:hAnsi="Times New Roman" w:cs="Times New Roman"/>
          <w:sz w:val="28"/>
          <w:szCs w:val="28"/>
          <w:lang w:val="uk-UA"/>
        </w:rPr>
        <w:t xml:space="preserve">Ми спостерігали зміни у властивостях ротової рідини, які полягали у підвищенні кислотності до рівня 4.94 ± 0.49 в середньому серед усіх груп дітей з атопічними захворюваннями. </w:t>
      </w:r>
      <w:r w:rsidR="006F3BC1">
        <w:rPr>
          <w:rFonts w:ascii="Times New Roman" w:hAnsi="Times New Roman" w:cs="Times New Roman"/>
          <w:sz w:val="28"/>
          <w:szCs w:val="28"/>
          <w:lang w:val="uk-UA"/>
        </w:rPr>
        <w:t>Результати отриманих даних наведені у таблиці</w:t>
      </w:r>
      <w:r w:rsidR="00FB72F7">
        <w:rPr>
          <w:rFonts w:ascii="Times New Roman" w:hAnsi="Times New Roman" w:cs="Times New Roman"/>
          <w:sz w:val="28"/>
          <w:szCs w:val="28"/>
          <w:lang w:val="uk-UA"/>
        </w:rPr>
        <w:t xml:space="preserve"> 4</w:t>
      </w:r>
      <w:r w:rsidR="001E1BED">
        <w:rPr>
          <w:rFonts w:ascii="Times New Roman" w:hAnsi="Times New Roman" w:cs="Times New Roman"/>
          <w:sz w:val="28"/>
          <w:szCs w:val="28"/>
          <w:lang w:val="uk-UA"/>
        </w:rPr>
        <w:t>.6</w:t>
      </w:r>
      <w:r w:rsidR="006F3BC1">
        <w:rPr>
          <w:rFonts w:ascii="Times New Roman" w:hAnsi="Times New Roman" w:cs="Times New Roman"/>
          <w:sz w:val="28"/>
          <w:szCs w:val="28"/>
          <w:lang w:val="uk-UA"/>
        </w:rPr>
        <w:t>.</w:t>
      </w:r>
    </w:p>
    <w:p w14:paraId="30CBB3B4" w14:textId="010C2EB3" w:rsidR="00E66E9E" w:rsidRDefault="00E66E9E" w:rsidP="00E66E9E">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ru-RU"/>
        </w:rPr>
        <w:t>Отримані результати наочно демонструють підвищення кислотності у основних групах та нормальний р</w:t>
      </w:r>
      <w:r>
        <w:rPr>
          <w:rFonts w:ascii="Times New Roman" w:hAnsi="Times New Roman"/>
          <w:sz w:val="28"/>
          <w:szCs w:val="28"/>
          <w:lang w:val="uk-UA"/>
        </w:rPr>
        <w:t>івень кислотності у контрольній групі. Даний факт вже згадувався у літературі та був пояснений медикаментозною терапією, яку приймають пацієнти з атопічними захворюваннями, особливо з інгаляційними кортикостероїдами, які застосовуються у дітей з астмою.</w:t>
      </w:r>
    </w:p>
    <w:p w14:paraId="4B6847F7" w14:textId="77777777" w:rsidR="00E66E9E" w:rsidRPr="00FB72F7" w:rsidRDefault="00E66E9E" w:rsidP="00E66E9E">
      <w:pPr>
        <w:spacing w:after="0" w:line="360" w:lineRule="auto"/>
        <w:ind w:firstLine="709"/>
        <w:jc w:val="both"/>
        <w:rPr>
          <w:rFonts w:ascii="Times New Roman" w:hAnsi="Times New Roman" w:cs="Times New Roman"/>
          <w:sz w:val="28"/>
          <w:szCs w:val="28"/>
          <w:lang w:val="uk-UA"/>
        </w:rPr>
      </w:pPr>
    </w:p>
    <w:p w14:paraId="0E8D9644" w14:textId="1B8F6FF1" w:rsidR="006F3BC1" w:rsidRDefault="006F3BC1" w:rsidP="0067758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FB72F7">
        <w:rPr>
          <w:rFonts w:ascii="Times New Roman" w:hAnsi="Times New Roman" w:cs="Times New Roman"/>
          <w:sz w:val="28"/>
          <w:szCs w:val="28"/>
          <w:lang w:val="uk-UA"/>
        </w:rPr>
        <w:t xml:space="preserve"> 4</w:t>
      </w:r>
      <w:r w:rsidR="001E1BED">
        <w:rPr>
          <w:rFonts w:ascii="Times New Roman" w:hAnsi="Times New Roman" w:cs="Times New Roman"/>
          <w:sz w:val="28"/>
          <w:szCs w:val="28"/>
          <w:lang w:val="uk-UA"/>
        </w:rPr>
        <w:t>.6</w:t>
      </w:r>
    </w:p>
    <w:p w14:paraId="39D73158" w14:textId="64B623F5" w:rsidR="006F3BC1" w:rsidRDefault="006F3BC1" w:rsidP="0067758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зміни кислотності ротової рідини основних та контрольної груп</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6F3BC1" w:rsidRPr="00FD6B73" w14:paraId="2907D6BA" w14:textId="77777777" w:rsidTr="00EA04CC">
        <w:trPr>
          <w:trHeight w:val="471"/>
          <w:jc w:val="center"/>
        </w:trPr>
        <w:tc>
          <w:tcPr>
            <w:tcW w:w="1838" w:type="dxa"/>
            <w:vMerge w:val="restart"/>
            <w:shd w:val="clear" w:color="auto" w:fill="auto"/>
          </w:tcPr>
          <w:p w14:paraId="17054CA2" w14:textId="77777777" w:rsidR="006F3BC1" w:rsidRPr="002804DE" w:rsidRDefault="006F3BC1" w:rsidP="00677589">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4159B1D4" w14:textId="645A3071" w:rsidR="006F3BC1" w:rsidRPr="00014A22" w:rsidRDefault="00366B26" w:rsidP="00677589">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Рівень рН ротової рідини</w:t>
            </w:r>
          </w:p>
        </w:tc>
      </w:tr>
      <w:tr w:rsidR="006F3BC1" w:rsidRPr="00043875" w14:paraId="7A9A9F0D" w14:textId="77777777" w:rsidTr="00EA04CC">
        <w:trPr>
          <w:trHeight w:val="486"/>
          <w:jc w:val="center"/>
        </w:trPr>
        <w:tc>
          <w:tcPr>
            <w:tcW w:w="1838" w:type="dxa"/>
            <w:vMerge/>
            <w:shd w:val="clear" w:color="auto" w:fill="auto"/>
          </w:tcPr>
          <w:p w14:paraId="2CC566B4" w14:textId="77777777" w:rsidR="006F3BC1" w:rsidRPr="002804DE" w:rsidRDefault="006F3BC1" w:rsidP="00677589">
            <w:pPr>
              <w:spacing w:after="0" w:line="360" w:lineRule="auto"/>
              <w:ind w:hanging="5"/>
              <w:jc w:val="center"/>
              <w:rPr>
                <w:rFonts w:ascii="Times New Roman" w:hAnsi="Times New Roman"/>
                <w:sz w:val="28"/>
                <w:szCs w:val="28"/>
                <w:lang w:val="uk-UA"/>
              </w:rPr>
            </w:pPr>
          </w:p>
        </w:tc>
        <w:tc>
          <w:tcPr>
            <w:tcW w:w="1418" w:type="dxa"/>
            <w:shd w:val="clear" w:color="auto" w:fill="auto"/>
          </w:tcPr>
          <w:p w14:paraId="2C01C5A8" w14:textId="77777777" w:rsidR="006F3BC1" w:rsidRPr="002804DE" w:rsidRDefault="006F3BC1" w:rsidP="00677589">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B0895B2" w14:textId="77777777" w:rsidR="006F3BC1" w:rsidRPr="002804DE" w:rsidRDefault="006F3BC1" w:rsidP="00677589">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363BB6E" w14:textId="77777777" w:rsidR="006F3BC1" w:rsidRPr="002804DE" w:rsidRDefault="006F3BC1" w:rsidP="00677589">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541A6F22"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5265514"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6F3BC1" w:rsidRPr="00043875" w14:paraId="77DB3049" w14:textId="77777777" w:rsidTr="00EA04CC">
        <w:trPr>
          <w:trHeight w:val="429"/>
          <w:jc w:val="center"/>
        </w:trPr>
        <w:tc>
          <w:tcPr>
            <w:tcW w:w="1838" w:type="dxa"/>
            <w:shd w:val="clear" w:color="auto" w:fill="auto"/>
          </w:tcPr>
          <w:p w14:paraId="18D4BE2B" w14:textId="77777777" w:rsidR="006F3BC1" w:rsidRPr="002804DE" w:rsidRDefault="006F3BC1" w:rsidP="00677589">
            <w:pPr>
              <w:spacing w:after="0" w:line="360" w:lineRule="auto"/>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3490489F" w14:textId="72FADE63"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4.89</w:t>
            </w:r>
            <w:r>
              <w:rPr>
                <w:rFonts w:ascii="Times New Roman" w:hAnsi="Times New Roman" w:cs="Times New Roman"/>
                <w:sz w:val="28"/>
                <w:szCs w:val="28"/>
                <w:lang w:val="uk-UA"/>
              </w:rPr>
              <w:t>±</w:t>
            </w:r>
            <w:r w:rsidRPr="004315AB">
              <w:rPr>
                <w:rFonts w:ascii="Times New Roman" w:hAnsi="Times New Roman"/>
                <w:sz w:val="28"/>
                <w:szCs w:val="28"/>
                <w:lang w:val="uk-UA"/>
              </w:rPr>
              <w:t>0.41</w:t>
            </w:r>
          </w:p>
        </w:tc>
        <w:tc>
          <w:tcPr>
            <w:tcW w:w="1417" w:type="dxa"/>
            <w:shd w:val="clear" w:color="auto" w:fill="auto"/>
          </w:tcPr>
          <w:p w14:paraId="1E3EBCCD" w14:textId="04A1402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4.98</w:t>
            </w:r>
            <w:r>
              <w:rPr>
                <w:rFonts w:ascii="Times New Roman" w:hAnsi="Times New Roman" w:cs="Times New Roman"/>
                <w:sz w:val="28"/>
                <w:szCs w:val="28"/>
                <w:lang w:val="uk-UA"/>
              </w:rPr>
              <w:t>±</w:t>
            </w:r>
            <w:r w:rsidRPr="004315AB">
              <w:rPr>
                <w:rFonts w:ascii="Times New Roman" w:hAnsi="Times New Roman"/>
                <w:sz w:val="28"/>
                <w:szCs w:val="28"/>
                <w:lang w:val="uk-UA"/>
              </w:rPr>
              <w:t>0.40</w:t>
            </w:r>
          </w:p>
        </w:tc>
        <w:tc>
          <w:tcPr>
            <w:tcW w:w="1559" w:type="dxa"/>
            <w:shd w:val="clear" w:color="auto" w:fill="auto"/>
          </w:tcPr>
          <w:p w14:paraId="67DDD16C" w14:textId="25306D6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4.88</w:t>
            </w:r>
            <w:r>
              <w:rPr>
                <w:rFonts w:ascii="Times New Roman" w:hAnsi="Times New Roman" w:cs="Times New Roman"/>
                <w:sz w:val="28"/>
                <w:szCs w:val="28"/>
                <w:lang w:val="uk-UA"/>
              </w:rPr>
              <w:t>±</w:t>
            </w:r>
            <w:r w:rsidRPr="004315AB">
              <w:rPr>
                <w:rFonts w:ascii="Times New Roman" w:hAnsi="Times New Roman"/>
                <w:sz w:val="28"/>
                <w:szCs w:val="28"/>
                <w:lang w:val="uk-UA"/>
              </w:rPr>
              <w:t>0.76</w:t>
            </w:r>
          </w:p>
        </w:tc>
        <w:tc>
          <w:tcPr>
            <w:tcW w:w="1570" w:type="dxa"/>
            <w:shd w:val="clear" w:color="auto" w:fill="auto"/>
          </w:tcPr>
          <w:p w14:paraId="43B80AFA" w14:textId="35CABA36"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5.02</w:t>
            </w:r>
            <w:r>
              <w:rPr>
                <w:rFonts w:ascii="Times New Roman" w:hAnsi="Times New Roman" w:cs="Times New Roman"/>
                <w:sz w:val="28"/>
                <w:szCs w:val="28"/>
                <w:lang w:val="uk-UA"/>
              </w:rPr>
              <w:t>±</w:t>
            </w:r>
            <w:r w:rsidRPr="004315AB">
              <w:rPr>
                <w:rFonts w:ascii="Times New Roman" w:hAnsi="Times New Roman"/>
                <w:sz w:val="28"/>
                <w:szCs w:val="28"/>
                <w:lang w:val="uk-UA"/>
              </w:rPr>
              <w:t>0.49</w:t>
            </w:r>
          </w:p>
        </w:tc>
        <w:tc>
          <w:tcPr>
            <w:tcW w:w="1483" w:type="dxa"/>
            <w:shd w:val="clear" w:color="auto" w:fill="auto"/>
          </w:tcPr>
          <w:p w14:paraId="068A047F" w14:textId="26E74173" w:rsidR="006F3BC1" w:rsidRPr="00307B1F"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6.39</w:t>
            </w:r>
            <w:r>
              <w:rPr>
                <w:rFonts w:ascii="Times New Roman" w:hAnsi="Times New Roman" w:cs="Times New Roman"/>
                <w:sz w:val="28"/>
                <w:szCs w:val="28"/>
                <w:lang w:val="uk-UA"/>
              </w:rPr>
              <w:t>±</w:t>
            </w:r>
            <w:r w:rsidRPr="004315AB">
              <w:rPr>
                <w:rFonts w:ascii="Times New Roman" w:hAnsi="Times New Roman"/>
                <w:sz w:val="28"/>
                <w:szCs w:val="28"/>
                <w:lang w:val="uk-UA"/>
              </w:rPr>
              <w:t>0.63</w:t>
            </w:r>
          </w:p>
        </w:tc>
      </w:tr>
      <w:tr w:rsidR="006F3BC1" w:rsidRPr="007451D9" w14:paraId="320FDF80" w14:textId="77777777" w:rsidTr="00EA04CC">
        <w:trPr>
          <w:trHeight w:val="427"/>
          <w:jc w:val="center"/>
        </w:trPr>
        <w:tc>
          <w:tcPr>
            <w:tcW w:w="1838" w:type="dxa"/>
            <w:shd w:val="clear" w:color="auto" w:fill="auto"/>
          </w:tcPr>
          <w:p w14:paraId="2ED84A8B" w14:textId="77777777" w:rsidR="006F3BC1" w:rsidRPr="002804DE" w:rsidRDefault="006F3BC1"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3AB0913C" w14:textId="2181B970"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6.44</w:t>
            </w:r>
            <w:r>
              <w:rPr>
                <w:rFonts w:ascii="Times New Roman" w:hAnsi="Times New Roman" w:cs="Times New Roman"/>
                <w:sz w:val="28"/>
                <w:szCs w:val="28"/>
                <w:lang w:val="uk-UA"/>
              </w:rPr>
              <w:t>±</w:t>
            </w:r>
            <w:r w:rsidRPr="004315AB">
              <w:rPr>
                <w:rFonts w:ascii="Times New Roman" w:hAnsi="Times New Roman"/>
                <w:sz w:val="28"/>
                <w:szCs w:val="28"/>
                <w:lang w:val="uk-UA"/>
              </w:rPr>
              <w:t>0.45</w:t>
            </w:r>
            <w:r w:rsidR="00677589" w:rsidRPr="00677589">
              <w:rPr>
                <w:rFonts w:ascii="Times New Roman" w:hAnsi="Times New Roman"/>
                <w:sz w:val="28"/>
                <w:szCs w:val="28"/>
                <w:vertAlign w:val="superscript"/>
                <w:lang w:val="uk-UA"/>
              </w:rPr>
              <w:t>1</w:t>
            </w:r>
            <w:r w:rsidR="006F3BC1" w:rsidRPr="002804DE">
              <w:rPr>
                <w:rFonts w:ascii="Times New Roman" w:hAnsi="Times New Roman"/>
                <w:sz w:val="28"/>
                <w:szCs w:val="28"/>
                <w:lang w:val="uk-UA"/>
              </w:rPr>
              <w:t>*</w:t>
            </w:r>
          </w:p>
        </w:tc>
        <w:tc>
          <w:tcPr>
            <w:tcW w:w="1417" w:type="dxa"/>
            <w:shd w:val="clear" w:color="auto" w:fill="auto"/>
          </w:tcPr>
          <w:p w14:paraId="22C0835D" w14:textId="65500FE6"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6.45</w:t>
            </w:r>
            <w:r>
              <w:rPr>
                <w:rFonts w:ascii="Times New Roman" w:hAnsi="Times New Roman" w:cs="Times New Roman"/>
                <w:sz w:val="28"/>
                <w:szCs w:val="28"/>
                <w:lang w:val="uk-UA"/>
              </w:rPr>
              <w:t>±</w:t>
            </w:r>
            <w:r w:rsidRPr="004315AB">
              <w:rPr>
                <w:rFonts w:ascii="Times New Roman" w:hAnsi="Times New Roman"/>
                <w:sz w:val="28"/>
                <w:szCs w:val="28"/>
                <w:lang w:val="uk-UA"/>
              </w:rPr>
              <w:t>0.45</w:t>
            </w:r>
            <w:r w:rsidR="006F3BC1" w:rsidRPr="002804DE">
              <w:rPr>
                <w:rFonts w:ascii="Times New Roman" w:hAnsi="Times New Roman"/>
                <w:sz w:val="28"/>
                <w:szCs w:val="28"/>
                <w:lang w:val="uk-UA"/>
              </w:rPr>
              <w:t>*</w:t>
            </w:r>
          </w:p>
        </w:tc>
        <w:tc>
          <w:tcPr>
            <w:tcW w:w="1559" w:type="dxa"/>
            <w:shd w:val="clear" w:color="auto" w:fill="auto"/>
          </w:tcPr>
          <w:p w14:paraId="4E7C5516" w14:textId="15F62E92"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4.95</w:t>
            </w:r>
            <w:r>
              <w:rPr>
                <w:rFonts w:ascii="Times New Roman" w:hAnsi="Times New Roman" w:cs="Times New Roman"/>
                <w:sz w:val="28"/>
                <w:szCs w:val="28"/>
                <w:lang w:val="uk-UA"/>
              </w:rPr>
              <w:t>±</w:t>
            </w:r>
            <w:r w:rsidR="00E66E9E">
              <w:rPr>
                <w:rFonts w:ascii="Times New Roman" w:hAnsi="Times New Roman"/>
                <w:sz w:val="28"/>
                <w:szCs w:val="28"/>
                <w:lang w:val="uk-UA"/>
              </w:rPr>
              <w:t>0.98</w:t>
            </w:r>
          </w:p>
        </w:tc>
        <w:tc>
          <w:tcPr>
            <w:tcW w:w="1570" w:type="dxa"/>
            <w:shd w:val="clear" w:color="auto" w:fill="auto"/>
          </w:tcPr>
          <w:p w14:paraId="12D8FFB7" w14:textId="77777777" w:rsidR="006F3BC1" w:rsidRPr="002804DE" w:rsidRDefault="006F3BC1"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Pr>
                <w:rFonts w:ascii="Times New Roman" w:hAnsi="Times New Roman"/>
                <w:sz w:val="28"/>
                <w:szCs w:val="28"/>
                <w:lang w:val="uk-UA"/>
              </w:rPr>
              <w:t>0.88</w:t>
            </w:r>
          </w:p>
        </w:tc>
        <w:tc>
          <w:tcPr>
            <w:tcW w:w="1483" w:type="dxa"/>
            <w:shd w:val="clear" w:color="auto" w:fill="auto"/>
          </w:tcPr>
          <w:p w14:paraId="29D6D757" w14:textId="3BBE5E9E"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6.42</w:t>
            </w:r>
            <w:r>
              <w:rPr>
                <w:rFonts w:ascii="Times New Roman" w:hAnsi="Times New Roman" w:cs="Times New Roman"/>
                <w:sz w:val="28"/>
                <w:szCs w:val="28"/>
                <w:lang w:val="uk-UA"/>
              </w:rPr>
              <w:t>±</w:t>
            </w:r>
            <w:r w:rsidRPr="004315AB">
              <w:rPr>
                <w:rFonts w:ascii="Times New Roman" w:hAnsi="Times New Roman"/>
                <w:sz w:val="28"/>
                <w:szCs w:val="28"/>
                <w:lang w:val="uk-UA"/>
              </w:rPr>
              <w:t>0.50</w:t>
            </w:r>
          </w:p>
        </w:tc>
      </w:tr>
      <w:tr w:rsidR="006F3BC1" w:rsidRPr="00A9038E" w14:paraId="477E2163" w14:textId="77777777" w:rsidTr="00EA04CC">
        <w:trPr>
          <w:trHeight w:val="577"/>
          <w:jc w:val="center"/>
        </w:trPr>
        <w:tc>
          <w:tcPr>
            <w:tcW w:w="1838" w:type="dxa"/>
            <w:shd w:val="clear" w:color="auto" w:fill="auto"/>
          </w:tcPr>
          <w:p w14:paraId="25FE0280" w14:textId="77777777" w:rsidR="006F3BC1" w:rsidRPr="002804DE" w:rsidRDefault="006F3BC1" w:rsidP="00677589">
            <w:pPr>
              <w:spacing w:after="0" w:line="360" w:lineRule="auto"/>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1CB2A98A" w14:textId="7E10A177" w:rsidR="006F3BC1" w:rsidRPr="002804DE" w:rsidRDefault="004315AB" w:rsidP="00677589">
            <w:pPr>
              <w:spacing w:after="0" w:line="360" w:lineRule="auto"/>
              <w:rPr>
                <w:rFonts w:ascii="Times New Roman" w:hAnsi="Times New Roman"/>
                <w:sz w:val="28"/>
                <w:szCs w:val="28"/>
                <w:lang w:val="uk-UA"/>
              </w:rPr>
            </w:pPr>
            <w:r>
              <w:rPr>
                <w:rFonts w:ascii="Times New Roman" w:hAnsi="Times New Roman"/>
                <w:sz w:val="28"/>
                <w:szCs w:val="28"/>
                <w:lang w:val="uk-UA"/>
              </w:rPr>
              <w:t>6.53</w:t>
            </w:r>
            <w:r>
              <w:rPr>
                <w:rFonts w:ascii="Times New Roman" w:hAnsi="Times New Roman" w:cs="Times New Roman"/>
                <w:sz w:val="28"/>
                <w:szCs w:val="28"/>
                <w:lang w:val="uk-UA"/>
              </w:rPr>
              <w:t>±</w:t>
            </w:r>
            <w:r w:rsidRPr="004315AB">
              <w:rPr>
                <w:rFonts w:ascii="Times New Roman" w:hAnsi="Times New Roman"/>
                <w:sz w:val="28"/>
                <w:szCs w:val="28"/>
                <w:lang w:val="uk-UA"/>
              </w:rPr>
              <w:t>0.39</w:t>
            </w:r>
            <w:r w:rsidR="00677589" w:rsidRPr="00677589">
              <w:rPr>
                <w:rFonts w:ascii="Times New Roman" w:hAnsi="Times New Roman"/>
                <w:sz w:val="28"/>
                <w:szCs w:val="28"/>
                <w:vertAlign w:val="superscript"/>
                <w:lang w:val="uk-UA"/>
              </w:rPr>
              <w:t>1</w:t>
            </w:r>
            <w:r w:rsidR="006F3BC1" w:rsidRPr="002804DE">
              <w:rPr>
                <w:rFonts w:ascii="Times New Roman" w:hAnsi="Times New Roman"/>
                <w:sz w:val="28"/>
                <w:szCs w:val="28"/>
                <w:lang w:val="uk-UA"/>
              </w:rPr>
              <w:t>*</w:t>
            </w:r>
          </w:p>
        </w:tc>
        <w:tc>
          <w:tcPr>
            <w:tcW w:w="1417" w:type="dxa"/>
            <w:shd w:val="clear" w:color="auto" w:fill="auto"/>
          </w:tcPr>
          <w:p w14:paraId="0D1EE016" w14:textId="0B200DDA"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6.55</w:t>
            </w:r>
            <w:r>
              <w:rPr>
                <w:rFonts w:ascii="Times New Roman" w:hAnsi="Times New Roman" w:cs="Times New Roman"/>
                <w:sz w:val="28"/>
                <w:szCs w:val="28"/>
                <w:lang w:val="uk-UA"/>
              </w:rPr>
              <w:t>±</w:t>
            </w:r>
            <w:r w:rsidRPr="004315AB">
              <w:rPr>
                <w:rFonts w:ascii="Times New Roman" w:hAnsi="Times New Roman"/>
                <w:sz w:val="28"/>
                <w:szCs w:val="28"/>
                <w:lang w:val="uk-UA"/>
              </w:rPr>
              <w:t>0.43</w:t>
            </w:r>
            <w:r w:rsidR="006F3BC1" w:rsidRPr="002804DE">
              <w:rPr>
                <w:rFonts w:ascii="Times New Roman" w:hAnsi="Times New Roman"/>
                <w:sz w:val="28"/>
                <w:szCs w:val="28"/>
                <w:lang w:val="uk-UA"/>
              </w:rPr>
              <w:t>*</w:t>
            </w:r>
            <w:r w:rsidR="00677589" w:rsidRPr="00F42F7A">
              <w:rPr>
                <w:rFonts w:ascii="Times New Roman" w:hAnsi="Times New Roman"/>
                <w:sz w:val="28"/>
                <w:szCs w:val="28"/>
                <w:vertAlign w:val="superscript"/>
                <w:lang w:val="uk-UA"/>
              </w:rPr>
              <w:t>2</w:t>
            </w:r>
          </w:p>
        </w:tc>
        <w:tc>
          <w:tcPr>
            <w:tcW w:w="1559" w:type="dxa"/>
            <w:shd w:val="clear" w:color="auto" w:fill="auto"/>
          </w:tcPr>
          <w:p w14:paraId="7487745F" w14:textId="6B1EC225"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5.17</w:t>
            </w:r>
            <w:r>
              <w:rPr>
                <w:rFonts w:ascii="Times New Roman" w:hAnsi="Times New Roman" w:cs="Times New Roman"/>
                <w:sz w:val="28"/>
                <w:szCs w:val="28"/>
                <w:lang w:val="uk-UA"/>
              </w:rPr>
              <w:t>±</w:t>
            </w:r>
            <w:r w:rsidR="00E66E9E">
              <w:rPr>
                <w:rFonts w:ascii="Times New Roman" w:hAnsi="Times New Roman"/>
                <w:sz w:val="28"/>
                <w:szCs w:val="28"/>
                <w:lang w:val="uk-UA"/>
              </w:rPr>
              <w:t>0.64</w:t>
            </w:r>
          </w:p>
        </w:tc>
        <w:tc>
          <w:tcPr>
            <w:tcW w:w="1570" w:type="dxa"/>
            <w:shd w:val="clear" w:color="auto" w:fill="auto"/>
          </w:tcPr>
          <w:p w14:paraId="0B884C30" w14:textId="07B9D99F"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5.21</w:t>
            </w:r>
            <w:r>
              <w:rPr>
                <w:rFonts w:ascii="Times New Roman" w:hAnsi="Times New Roman" w:cs="Times New Roman"/>
                <w:sz w:val="28"/>
                <w:szCs w:val="28"/>
                <w:lang w:val="uk-UA"/>
              </w:rPr>
              <w:t>±</w:t>
            </w:r>
            <w:r w:rsidRPr="004315AB">
              <w:rPr>
                <w:rFonts w:ascii="Times New Roman" w:hAnsi="Times New Roman"/>
                <w:sz w:val="28"/>
                <w:szCs w:val="28"/>
                <w:lang w:val="uk-UA"/>
              </w:rPr>
              <w:t>0.38</w:t>
            </w:r>
          </w:p>
        </w:tc>
        <w:tc>
          <w:tcPr>
            <w:tcW w:w="1483" w:type="dxa"/>
            <w:shd w:val="clear" w:color="auto" w:fill="auto"/>
          </w:tcPr>
          <w:p w14:paraId="06DF81AB" w14:textId="744DDF09" w:rsidR="006F3BC1" w:rsidRPr="002804DE" w:rsidRDefault="004315AB" w:rsidP="00677589">
            <w:pPr>
              <w:spacing w:after="0" w:line="360" w:lineRule="auto"/>
              <w:jc w:val="center"/>
              <w:rPr>
                <w:rFonts w:ascii="Times New Roman" w:hAnsi="Times New Roman"/>
                <w:sz w:val="28"/>
                <w:szCs w:val="28"/>
                <w:lang w:val="uk-UA"/>
              </w:rPr>
            </w:pPr>
            <w:r>
              <w:rPr>
                <w:rFonts w:ascii="Times New Roman" w:hAnsi="Times New Roman"/>
                <w:sz w:val="28"/>
                <w:szCs w:val="28"/>
                <w:lang w:val="uk-UA"/>
              </w:rPr>
              <w:t>6.44</w:t>
            </w:r>
            <w:r>
              <w:rPr>
                <w:rFonts w:ascii="Times New Roman" w:hAnsi="Times New Roman" w:cs="Times New Roman"/>
                <w:sz w:val="28"/>
                <w:szCs w:val="28"/>
                <w:lang w:val="uk-UA"/>
              </w:rPr>
              <w:t>±</w:t>
            </w:r>
            <w:r w:rsidRPr="004315AB">
              <w:rPr>
                <w:rFonts w:ascii="Times New Roman" w:hAnsi="Times New Roman"/>
                <w:sz w:val="28"/>
                <w:szCs w:val="28"/>
                <w:lang w:val="uk-UA"/>
              </w:rPr>
              <w:t>0.50</w:t>
            </w:r>
          </w:p>
        </w:tc>
      </w:tr>
    </w:tbl>
    <w:p w14:paraId="5C362FE7" w14:textId="30EE569C" w:rsidR="00376DF7" w:rsidRPr="00F42F7A" w:rsidRDefault="006F3BC1" w:rsidP="00677589">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79E7B9C" w14:textId="77777777" w:rsidR="00E66E9E" w:rsidRPr="00F42F7A" w:rsidRDefault="00E66E9E"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5F90A08" w14:textId="77777777" w:rsidR="00E66E9E" w:rsidRPr="00F42F7A" w:rsidRDefault="00E66E9E" w:rsidP="00677589">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4124F38" w14:textId="4F1A3C1C" w:rsidR="00376DF7" w:rsidRDefault="00376DF7" w:rsidP="00A448F8">
      <w:pPr>
        <w:spacing w:after="0" w:line="360" w:lineRule="auto"/>
        <w:jc w:val="both"/>
        <w:rPr>
          <w:rFonts w:ascii="Times New Roman" w:hAnsi="Times New Roman"/>
          <w:sz w:val="28"/>
          <w:szCs w:val="28"/>
          <w:lang w:val="uk-UA"/>
        </w:rPr>
      </w:pPr>
    </w:p>
    <w:p w14:paraId="3C3C0EC7" w14:textId="3B934683" w:rsidR="004315AB" w:rsidRDefault="00EB41F5"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пров</w:t>
      </w:r>
      <w:r w:rsidR="00E66E9E">
        <w:rPr>
          <w:rFonts w:ascii="Times New Roman" w:hAnsi="Times New Roman"/>
          <w:sz w:val="28"/>
          <w:szCs w:val="28"/>
          <w:lang w:val="uk-UA"/>
        </w:rPr>
        <w:t>е</w:t>
      </w:r>
      <w:r>
        <w:rPr>
          <w:rFonts w:ascii="Times New Roman" w:hAnsi="Times New Roman"/>
          <w:sz w:val="28"/>
          <w:szCs w:val="28"/>
          <w:lang w:val="uk-UA"/>
        </w:rPr>
        <w:t xml:space="preserve">денні нашого дослідження у всіх групах обстежених дітей, у яких лікарями-алергологами був встановлений діагноз атопічних захворювань, на початку дослідження </w:t>
      </w:r>
      <w:r w:rsidR="00C50C1A">
        <w:rPr>
          <w:rFonts w:ascii="Times New Roman" w:hAnsi="Times New Roman"/>
          <w:sz w:val="28"/>
          <w:szCs w:val="28"/>
          <w:lang w:val="uk-UA"/>
        </w:rPr>
        <w:t>ми спостерігали зміну кислотності ротової рідини. Так, у пацієнтів першої групи рН дорівнював 4.89</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0.41</w:t>
      </w:r>
      <w:r w:rsidR="00C50C1A">
        <w:rPr>
          <w:rFonts w:ascii="Times New Roman" w:hAnsi="Times New Roman"/>
          <w:sz w:val="28"/>
          <w:szCs w:val="28"/>
          <w:lang w:val="uk-UA"/>
        </w:rPr>
        <w:t>, другої групи 4.98</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0.40</w:t>
      </w:r>
      <w:r w:rsidR="00C50C1A">
        <w:rPr>
          <w:rFonts w:ascii="Times New Roman" w:hAnsi="Times New Roman"/>
          <w:sz w:val="28"/>
          <w:szCs w:val="28"/>
          <w:lang w:val="uk-UA"/>
        </w:rPr>
        <w:t>, третьої групи 4.88</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0.76</w:t>
      </w:r>
      <w:r w:rsidR="00C50C1A">
        <w:rPr>
          <w:rFonts w:ascii="Times New Roman" w:hAnsi="Times New Roman"/>
          <w:sz w:val="28"/>
          <w:szCs w:val="28"/>
          <w:lang w:val="uk-UA"/>
        </w:rPr>
        <w:t>, четвертої групи 5.02</w:t>
      </w:r>
      <w:r w:rsidR="00366B26">
        <w:rPr>
          <w:rFonts w:ascii="Times New Roman" w:hAnsi="Times New Roman"/>
          <w:sz w:val="28"/>
          <w:szCs w:val="28"/>
          <w:lang w:val="uk-UA"/>
        </w:rPr>
        <w:t xml:space="preserve"> </w:t>
      </w:r>
      <w:r w:rsidR="00C50C1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C50C1A" w:rsidRPr="004315AB">
        <w:rPr>
          <w:rFonts w:ascii="Times New Roman" w:hAnsi="Times New Roman"/>
          <w:sz w:val="28"/>
          <w:szCs w:val="28"/>
          <w:lang w:val="uk-UA"/>
        </w:rPr>
        <w:t>0.49</w:t>
      </w:r>
      <w:r w:rsidR="00C50C1A">
        <w:rPr>
          <w:rFonts w:ascii="Times New Roman" w:hAnsi="Times New Roman"/>
          <w:sz w:val="28"/>
          <w:szCs w:val="28"/>
          <w:lang w:val="uk-UA"/>
        </w:rPr>
        <w:t xml:space="preserve">. Усі перераховані показники достовірно відрізнялися від показників контрольної групи, </w:t>
      </w:r>
      <w:r w:rsidR="00F2569A">
        <w:rPr>
          <w:rFonts w:ascii="Times New Roman" w:hAnsi="Times New Roman"/>
          <w:sz w:val="28"/>
          <w:szCs w:val="28"/>
          <w:lang w:val="uk-UA"/>
        </w:rPr>
        <w:t>де рівень рН в середньому дорівнював 6.39</w:t>
      </w:r>
      <w:r w:rsidR="00366B26">
        <w:rPr>
          <w:rFonts w:ascii="Times New Roman" w:hAnsi="Times New Roman"/>
          <w:sz w:val="28"/>
          <w:szCs w:val="28"/>
          <w:lang w:val="uk-UA"/>
        </w:rPr>
        <w:t xml:space="preserve"> </w:t>
      </w:r>
      <w:r w:rsidR="00F2569A">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F2569A" w:rsidRPr="004315AB">
        <w:rPr>
          <w:rFonts w:ascii="Times New Roman" w:hAnsi="Times New Roman"/>
          <w:sz w:val="28"/>
          <w:szCs w:val="28"/>
          <w:lang w:val="uk-UA"/>
        </w:rPr>
        <w:t>0.63</w:t>
      </w:r>
      <w:r w:rsidR="00F2569A">
        <w:rPr>
          <w:rFonts w:ascii="Times New Roman" w:hAnsi="Times New Roman"/>
          <w:sz w:val="28"/>
          <w:szCs w:val="28"/>
          <w:lang w:val="uk-UA"/>
        </w:rPr>
        <w:t>.</w:t>
      </w:r>
    </w:p>
    <w:p w14:paraId="2DC27AF9" w14:textId="7A92D54E" w:rsidR="00F2569A" w:rsidRDefault="00F2569A"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проведення лікувально-профілактичних заходів кислотно-лужний баланс у першій та другій групі нормалізувався</w:t>
      </w:r>
      <w:r w:rsidR="005D72EF">
        <w:rPr>
          <w:rFonts w:ascii="Times New Roman" w:hAnsi="Times New Roman"/>
          <w:sz w:val="28"/>
          <w:szCs w:val="28"/>
          <w:lang w:val="uk-UA"/>
        </w:rPr>
        <w:t xml:space="preserve">. Внаслідок здійснення </w:t>
      </w:r>
      <w:r w:rsidR="00EF0AB1">
        <w:rPr>
          <w:rFonts w:ascii="Times New Roman" w:hAnsi="Times New Roman"/>
          <w:sz w:val="28"/>
          <w:szCs w:val="28"/>
          <w:lang w:val="uk-UA"/>
        </w:rPr>
        <w:t>концептуально нового</w:t>
      </w:r>
      <w:r w:rsidR="005D72EF">
        <w:rPr>
          <w:rFonts w:ascii="Times New Roman" w:hAnsi="Times New Roman"/>
          <w:sz w:val="28"/>
          <w:szCs w:val="28"/>
          <w:lang w:val="uk-UA"/>
        </w:rPr>
        <w:t xml:space="preserve"> підходу до лікування та профілактики хронічного гінгівіту, патогенетичної корекції індивідуальної гігієни, яка передбачала використання ополіскувача з нейтральним рН після застосування інгаляційних препаратів, зволожувального гелю для ясен, покзаники рН змістилися до нормальних та дорівнювали 6.44</w:t>
      </w:r>
      <w:r w:rsidR="00366B26">
        <w:rPr>
          <w:rFonts w:ascii="Times New Roman" w:hAnsi="Times New Roman"/>
          <w:sz w:val="28"/>
          <w:szCs w:val="28"/>
          <w:lang w:val="uk-UA"/>
        </w:rPr>
        <w:t xml:space="preserve"> </w:t>
      </w:r>
      <w:r w:rsidR="005D72EF">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5D72EF" w:rsidRPr="004315AB">
        <w:rPr>
          <w:rFonts w:ascii="Times New Roman" w:hAnsi="Times New Roman"/>
          <w:sz w:val="28"/>
          <w:szCs w:val="28"/>
          <w:lang w:val="uk-UA"/>
        </w:rPr>
        <w:t>0.45</w:t>
      </w:r>
      <w:r w:rsidR="005D72EF">
        <w:rPr>
          <w:rFonts w:ascii="Times New Roman" w:hAnsi="Times New Roman"/>
          <w:sz w:val="28"/>
          <w:szCs w:val="28"/>
          <w:lang w:val="uk-UA"/>
        </w:rPr>
        <w:t xml:space="preserve"> через шість місяців, 6.53</w:t>
      </w:r>
      <w:r w:rsidR="00366B26">
        <w:rPr>
          <w:rFonts w:ascii="Times New Roman" w:hAnsi="Times New Roman"/>
          <w:sz w:val="28"/>
          <w:szCs w:val="28"/>
          <w:lang w:val="uk-UA"/>
        </w:rPr>
        <w:t xml:space="preserve"> </w:t>
      </w:r>
      <w:r w:rsidR="005D72EF">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5D72EF" w:rsidRPr="004315AB">
        <w:rPr>
          <w:rFonts w:ascii="Times New Roman" w:hAnsi="Times New Roman"/>
          <w:sz w:val="28"/>
          <w:szCs w:val="28"/>
          <w:lang w:val="uk-UA"/>
        </w:rPr>
        <w:t>0.39</w:t>
      </w:r>
      <w:r w:rsidR="005D72EF">
        <w:rPr>
          <w:rFonts w:ascii="Times New Roman" w:hAnsi="Times New Roman"/>
          <w:sz w:val="28"/>
          <w:szCs w:val="28"/>
          <w:lang w:val="uk-UA"/>
        </w:rPr>
        <w:t xml:space="preserve"> через дванадцять місяців у першій групі пацієнтів.</w:t>
      </w:r>
    </w:p>
    <w:p w14:paraId="5B02C61B" w14:textId="2CC9EC93" w:rsidR="005D72EF" w:rsidRDefault="005D72EF"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другій групі пацієнтів так само спостерігали позитивну динаміку, яка проявлялася нормалізацією показників до рівня </w:t>
      </w:r>
      <w:r w:rsidR="00A37607">
        <w:rPr>
          <w:rFonts w:ascii="Times New Roman" w:hAnsi="Times New Roman"/>
          <w:sz w:val="28"/>
          <w:szCs w:val="28"/>
          <w:lang w:val="uk-UA"/>
        </w:rPr>
        <w:t>6.45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0.45</w:t>
      </w:r>
      <w:r w:rsidR="00A37607">
        <w:rPr>
          <w:rFonts w:ascii="Times New Roman" w:hAnsi="Times New Roman"/>
          <w:sz w:val="28"/>
          <w:szCs w:val="28"/>
          <w:lang w:val="uk-UA"/>
        </w:rPr>
        <w:t xml:space="preserve"> через шість місяців та 6.55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0.43</w:t>
      </w:r>
      <w:r w:rsidR="00A37607">
        <w:rPr>
          <w:rFonts w:ascii="Times New Roman" w:hAnsi="Times New Roman"/>
          <w:sz w:val="28"/>
          <w:szCs w:val="28"/>
          <w:lang w:val="uk-UA"/>
        </w:rPr>
        <w:t xml:space="preserve"> через дванадцять місяців. У той же час рівень рН третьої та четвертої групи пацієнтів достовірно не відрізнявся від початкового рівню та дорівнював 4.95</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1.11</w:t>
      </w:r>
      <w:r w:rsidR="00A37607">
        <w:rPr>
          <w:rFonts w:ascii="Times New Roman" w:hAnsi="Times New Roman"/>
          <w:sz w:val="28"/>
          <w:szCs w:val="28"/>
          <w:lang w:val="uk-UA"/>
        </w:rPr>
        <w:t>, 5.17</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1.13</w:t>
      </w:r>
      <w:r w:rsidR="00A37607">
        <w:rPr>
          <w:rFonts w:ascii="Times New Roman" w:hAnsi="Times New Roman"/>
          <w:sz w:val="28"/>
          <w:szCs w:val="28"/>
          <w:lang w:val="uk-UA"/>
        </w:rPr>
        <w:t xml:space="preserve"> через шість та дванадцять місяців відповідно у третій групі, 5.12</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Pr>
          <w:rFonts w:ascii="Times New Roman" w:hAnsi="Times New Roman"/>
          <w:sz w:val="28"/>
          <w:szCs w:val="28"/>
          <w:lang w:val="uk-UA"/>
        </w:rPr>
        <w:t>0.88 та 5.21</w:t>
      </w:r>
      <w:r w:rsidR="00366B26">
        <w:rPr>
          <w:rFonts w:ascii="Times New Roman" w:hAnsi="Times New Roman"/>
          <w:sz w:val="28"/>
          <w:szCs w:val="28"/>
          <w:lang w:val="uk-UA"/>
        </w:rPr>
        <w:t xml:space="preserve"> </w:t>
      </w:r>
      <w:r w:rsidR="00A37607">
        <w:rPr>
          <w:rFonts w:ascii="Times New Roman" w:hAnsi="Times New Roman" w:cs="Times New Roman"/>
          <w:sz w:val="28"/>
          <w:szCs w:val="28"/>
          <w:lang w:val="uk-UA"/>
        </w:rPr>
        <w:t>±</w:t>
      </w:r>
      <w:r w:rsidR="00366B26">
        <w:rPr>
          <w:rFonts w:ascii="Times New Roman" w:hAnsi="Times New Roman" w:cs="Times New Roman"/>
          <w:sz w:val="28"/>
          <w:szCs w:val="28"/>
          <w:lang w:val="uk-UA"/>
        </w:rPr>
        <w:t xml:space="preserve"> </w:t>
      </w:r>
      <w:r w:rsidR="00A37607" w:rsidRPr="004315AB">
        <w:rPr>
          <w:rFonts w:ascii="Times New Roman" w:hAnsi="Times New Roman"/>
          <w:sz w:val="28"/>
          <w:szCs w:val="28"/>
          <w:lang w:val="uk-UA"/>
        </w:rPr>
        <w:t>0.38</w:t>
      </w:r>
      <w:r w:rsidR="00A37607">
        <w:rPr>
          <w:rFonts w:ascii="Times New Roman" w:hAnsi="Times New Roman"/>
          <w:sz w:val="28"/>
          <w:szCs w:val="28"/>
          <w:lang w:val="uk-UA"/>
        </w:rPr>
        <w:t xml:space="preserve"> у четвертій групі.</w:t>
      </w:r>
    </w:p>
    <w:p w14:paraId="21FA3724" w14:textId="44F49297" w:rsidR="00A37607" w:rsidRDefault="00A37607"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логічним висновком проведення дослідження рівня кислотності ротової рідини є констатація того факту, що атопічні захворювання впливають на гоместаз ротової рідини, що призводить до підвищення рівня кислотності, а отже й підвищує ризик стоматологічних захворювань за рахунок зниження резистентності до бактеріальної колонізації та результатів її діяльності. Застосування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підходу при виборі тактики лікування та профілактики дало змогу</w:t>
      </w:r>
      <w:r w:rsidR="0096095F">
        <w:rPr>
          <w:rFonts w:ascii="Times New Roman" w:hAnsi="Times New Roman"/>
          <w:sz w:val="28"/>
          <w:szCs w:val="28"/>
          <w:lang w:val="uk-UA"/>
        </w:rPr>
        <w:t xml:space="preserve"> нормалізувати</w:t>
      </w:r>
      <w:r>
        <w:rPr>
          <w:rFonts w:ascii="Times New Roman" w:hAnsi="Times New Roman"/>
          <w:sz w:val="28"/>
          <w:szCs w:val="28"/>
          <w:lang w:val="uk-UA"/>
        </w:rPr>
        <w:t xml:space="preserve"> кислотно-лужний баланс ротової рідини, що є обов’язковою умовою підтримання здорового гомеостазу ротової порожнини.</w:t>
      </w:r>
    </w:p>
    <w:p w14:paraId="0A6677E8" w14:textId="24B60829" w:rsidR="00974C00" w:rsidRDefault="00B12489"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комплексного дослідження стоматологічного статусу пацієнтів з атопічними захворюваннями, його аналіз у динаміці та порівняння отриманих даних з показниками контрольної групи, показав ураженість тканин пародонту у дітей з атопією. </w:t>
      </w:r>
      <w:r w:rsidR="00677589">
        <w:rPr>
          <w:rFonts w:ascii="Times New Roman" w:hAnsi="Times New Roman"/>
          <w:sz w:val="28"/>
          <w:szCs w:val="28"/>
          <w:lang w:val="uk-UA"/>
        </w:rPr>
        <w:t xml:space="preserve">Згідно з отриманими результатами, у дітей на тлі атопічних захворювань спостерігали запалення тканин пародонту; за індексом </w:t>
      </w:r>
      <w:r w:rsidR="00677589">
        <w:rPr>
          <w:rFonts w:ascii="Times New Roman" w:hAnsi="Times New Roman"/>
          <w:sz w:val="28"/>
          <w:szCs w:val="28"/>
        </w:rPr>
        <w:t>SBI</w:t>
      </w:r>
      <w:r w:rsidR="00677589" w:rsidRPr="00677589">
        <w:rPr>
          <w:rFonts w:ascii="Times New Roman" w:hAnsi="Times New Roman"/>
          <w:sz w:val="28"/>
          <w:szCs w:val="28"/>
          <w:lang w:val="uk-UA"/>
        </w:rPr>
        <w:t xml:space="preserve"> </w:t>
      </w:r>
      <w:r w:rsidR="00677589">
        <w:rPr>
          <w:rFonts w:ascii="Times New Roman" w:hAnsi="Times New Roman"/>
          <w:sz w:val="28"/>
          <w:szCs w:val="28"/>
          <w:lang w:val="uk-UA"/>
        </w:rPr>
        <w:t>та РМА ступінь тяжкості гінгівіту та кровоточивість ясен були достовірно вищі у пацієнтів з атопією у порівнянні з контрольною групою</w:t>
      </w:r>
      <w:r>
        <w:rPr>
          <w:rFonts w:ascii="Times New Roman" w:hAnsi="Times New Roman"/>
          <w:sz w:val="28"/>
          <w:szCs w:val="28"/>
          <w:lang w:val="uk-UA"/>
        </w:rPr>
        <w:t>Крім цього, у дітей з атопією констатована підвищена в</w:t>
      </w:r>
      <w:r w:rsidRPr="00B12489">
        <w:rPr>
          <w:rFonts w:ascii="Times New Roman" w:hAnsi="Times New Roman"/>
          <w:sz w:val="28"/>
          <w:szCs w:val="28"/>
          <w:lang w:val="uk-UA"/>
        </w:rPr>
        <w:t>’</w:t>
      </w:r>
      <w:r>
        <w:rPr>
          <w:rFonts w:ascii="Times New Roman" w:hAnsi="Times New Roman"/>
          <w:sz w:val="28"/>
          <w:szCs w:val="28"/>
          <w:lang w:val="uk-UA"/>
        </w:rPr>
        <w:t xml:space="preserve">язкість та підвищення кислотності ротової рідини. Впровадження концептуально нової програми лікування та профілактики гінгівіту у дітей з атопією дозволила нормалізувати стан тканин пародонту, досягти зменшення показників індексів </w:t>
      </w:r>
      <w:r>
        <w:rPr>
          <w:rFonts w:ascii="Times New Roman" w:hAnsi="Times New Roman"/>
          <w:sz w:val="28"/>
          <w:szCs w:val="28"/>
        </w:rPr>
        <w:t>SBI</w:t>
      </w:r>
      <w:r>
        <w:rPr>
          <w:rFonts w:ascii="Times New Roman" w:hAnsi="Times New Roman"/>
          <w:sz w:val="28"/>
          <w:szCs w:val="28"/>
          <w:lang w:val="uk-UA"/>
        </w:rPr>
        <w:t xml:space="preserve"> та</w:t>
      </w:r>
      <w:r w:rsidRPr="00B12489">
        <w:rPr>
          <w:rFonts w:ascii="Times New Roman" w:hAnsi="Times New Roman"/>
          <w:sz w:val="28"/>
          <w:szCs w:val="28"/>
          <w:lang w:val="uk-UA"/>
        </w:rPr>
        <w:t xml:space="preserve"> </w:t>
      </w:r>
      <w:r>
        <w:rPr>
          <w:rFonts w:ascii="Times New Roman" w:hAnsi="Times New Roman"/>
          <w:sz w:val="28"/>
          <w:szCs w:val="28"/>
        </w:rPr>
        <w:t>PMA</w:t>
      </w:r>
      <w:r>
        <w:rPr>
          <w:rFonts w:ascii="Times New Roman" w:hAnsi="Times New Roman"/>
          <w:sz w:val="28"/>
          <w:szCs w:val="28"/>
          <w:lang w:val="uk-UA"/>
        </w:rPr>
        <w:t>, знизити вміст муцину</w:t>
      </w:r>
      <w:r w:rsidR="002E1F26">
        <w:rPr>
          <w:rFonts w:ascii="Times New Roman" w:hAnsi="Times New Roman"/>
          <w:sz w:val="28"/>
          <w:szCs w:val="28"/>
          <w:lang w:val="uk-UA"/>
        </w:rPr>
        <w:t xml:space="preserve"> та кислотність ротової рідини, що підтверджує ефективність запропонованої програми.</w:t>
      </w:r>
    </w:p>
    <w:p w14:paraId="05982898" w14:textId="77777777" w:rsidR="00677589" w:rsidRPr="00B12489" w:rsidRDefault="00677589" w:rsidP="00677589">
      <w:pPr>
        <w:spacing w:after="0" w:line="360" w:lineRule="auto"/>
        <w:jc w:val="both"/>
        <w:rPr>
          <w:rFonts w:ascii="Times New Roman" w:hAnsi="Times New Roman"/>
          <w:sz w:val="28"/>
          <w:szCs w:val="28"/>
          <w:lang w:val="uk-UA"/>
        </w:rPr>
      </w:pPr>
    </w:p>
    <w:p w14:paraId="796D2D17" w14:textId="360B98FE"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75F9184B" w14:textId="6E852A4E" w:rsidR="00974C00" w:rsidRPr="005A47B1" w:rsidRDefault="00974C00"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w:t>
      </w:r>
    </w:p>
    <w:p w14:paraId="22B59B42" w14:textId="77777777" w:rsidR="00974C00" w:rsidRPr="005A47B1" w:rsidRDefault="00974C00"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4B786390" w14:textId="64905D95" w:rsidR="00974C00" w:rsidRPr="005A47B1" w:rsidRDefault="00974C00"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5A47B1">
        <w:rPr>
          <w:rFonts w:ascii="Times New Roman" w:eastAsia="Times New Roman" w:hAnsi="Times New Roman"/>
          <w:sz w:val="28"/>
          <w:szCs w:val="28"/>
          <w:lang w:val="uk-UA" w:eastAsia="ar-SA"/>
        </w:rPr>
        <w:br/>
        <w:t>Л. С. Кривенко // Новини стоматології. – 2017. – №4 (93). – С.72-74</w:t>
      </w:r>
    </w:p>
    <w:p w14:paraId="34B4E620" w14:textId="4BAD1637" w:rsidR="00974C00" w:rsidRPr="005A47B1" w:rsidRDefault="00974C00"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301679F7" w14:textId="77777777" w:rsidR="00974C00" w:rsidRPr="005A47B1" w:rsidRDefault="00974C00" w:rsidP="00974C00">
      <w:pPr>
        <w:widowControl w:val="0"/>
        <w:numPr>
          <w:ilvl w:val="0"/>
          <w:numId w:val="11"/>
        </w:numPr>
        <w:suppressAutoHyphens/>
        <w:autoSpaceDE w:val="0"/>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eastAsia="ar-SA"/>
        </w:rPr>
        <w:t>Kryvenko</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Correlation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of</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the</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antioxidant</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level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in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saliva</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and</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periodontal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status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in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Ukrainian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children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with</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atopy</w:t>
      </w:r>
      <w:r w:rsidRPr="005A47B1">
        <w:rPr>
          <w:rFonts w:ascii="Times New Roman" w:eastAsia="Times New Roman" w:hAnsi="Times New Roman"/>
          <w:sz w:val="28"/>
          <w:szCs w:val="28"/>
          <w:lang w:val="uk-UA" w:eastAsia="ar-SA"/>
        </w:rPr>
        <w:t xml:space="preserve"> / </w:t>
      </w:r>
      <w:r w:rsidRPr="005A47B1">
        <w:rPr>
          <w:rFonts w:ascii="Times New Roman" w:eastAsia="Times New Roman" w:hAnsi="Times New Roman"/>
          <w:sz w:val="28"/>
          <w:szCs w:val="28"/>
          <w:lang w:eastAsia="ar-SA"/>
        </w:rPr>
        <w:t>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S</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Kryvenko</w:t>
      </w:r>
      <w:r w:rsidRPr="005A47B1">
        <w:rPr>
          <w:rFonts w:ascii="Times New Roman" w:eastAsia="Times New Roman" w:hAnsi="Times New Roman"/>
          <w:sz w:val="28"/>
          <w:szCs w:val="28"/>
          <w:lang w:val="uk-UA" w:eastAsia="ar-SA"/>
        </w:rPr>
        <w:t xml:space="preserve"> // </w:t>
      </w:r>
      <w:r w:rsidRPr="005A47B1">
        <w:rPr>
          <w:rFonts w:ascii="Times New Roman" w:eastAsia="Times New Roman" w:hAnsi="Times New Roman"/>
          <w:sz w:val="28"/>
          <w:szCs w:val="28"/>
          <w:lang w:eastAsia="ar-SA"/>
        </w:rPr>
        <w:t>Iraqi</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Journal</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of</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Public</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Health</w:t>
      </w:r>
      <w:r w:rsidRPr="005A47B1">
        <w:rPr>
          <w:rFonts w:ascii="Times New Roman" w:eastAsia="Times New Roman" w:hAnsi="Times New Roman"/>
          <w:sz w:val="28"/>
          <w:szCs w:val="28"/>
          <w:lang w:val="uk-UA" w:eastAsia="ar-SA"/>
        </w:rPr>
        <w:t>. –</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 xml:space="preserve">2017. </w:t>
      </w:r>
      <w:r w:rsidRPr="005A47B1">
        <w:rPr>
          <w:rFonts w:ascii="Times New Roman" w:eastAsia="Times New Roman" w:hAnsi="Times New Roman"/>
          <w:sz w:val="28"/>
          <w:szCs w:val="28"/>
          <w:lang w:eastAsia="ar-SA"/>
        </w:rPr>
        <w:t>–</w:t>
      </w:r>
      <w:r w:rsidRPr="005A47B1">
        <w:rPr>
          <w:rFonts w:ascii="Times New Roman" w:eastAsia="Times New Roman" w:hAnsi="Times New Roman"/>
          <w:sz w:val="28"/>
          <w:szCs w:val="28"/>
          <w:lang w:val="uk-UA" w:eastAsia="ar-SA"/>
        </w:rPr>
        <w:t xml:space="preserve"> № 1. –</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С. 26-29. http: // www.jocms.org / index.php / ijph / article/ view/ 233</w:t>
      </w:r>
    </w:p>
    <w:p w14:paraId="31D1FF0D" w14:textId="1CFBDDBC" w:rsidR="00974C00" w:rsidRPr="005A47B1" w:rsidRDefault="00125FC7"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val="uk-UA" w:eastAsia="ar-SA"/>
        </w:rPr>
        <w:t>Bezruk</w:t>
      </w:r>
      <w:r w:rsidRPr="005A47B1">
        <w:rPr>
          <w:rFonts w:ascii="Times New Roman" w:eastAsia="Times New Roman" w:hAnsi="Times New Roman"/>
          <w:sz w:val="28"/>
          <w:szCs w:val="28"/>
          <w:lang w:eastAsia="ar-SA"/>
        </w:rPr>
        <w:t xml:space="preserve"> V.M</w:t>
      </w:r>
      <w:r w:rsidRPr="005A47B1">
        <w:rPr>
          <w:rFonts w:ascii="Times New Roman" w:eastAsia="Times New Roman" w:hAnsi="Times New Roman"/>
          <w:sz w:val="28"/>
          <w:szCs w:val="28"/>
          <w:lang w:val="uk-UA" w:eastAsia="ar-SA"/>
        </w:rPr>
        <w:t>. The Pareto chart for caries intensity evaluation in children with allergic diseases / V.M.Bezruk, S.S.Kryvenko</w:t>
      </w:r>
      <w:r w:rsidRPr="005A47B1">
        <w:rPr>
          <w:rFonts w:ascii="Times New Roman" w:eastAsia="Times New Roman" w:hAnsi="Times New Roman"/>
          <w:sz w:val="28"/>
          <w:szCs w:val="28"/>
          <w:lang w:eastAsia="ar-SA"/>
        </w:rPr>
        <w:t xml:space="preserve">, </w:t>
      </w:r>
      <w:r w:rsidRPr="005A47B1">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r w:rsidRPr="005A47B1">
        <w:rPr>
          <w:rFonts w:ascii="Times New Roman" w:eastAsia="Times New Roman" w:hAnsi="Times New Roman"/>
          <w:sz w:val="28"/>
          <w:szCs w:val="28"/>
          <w:lang w:eastAsia="ar-SA"/>
        </w:rPr>
        <w:t>.</w:t>
      </w:r>
    </w:p>
    <w:p w14:paraId="4537D801" w14:textId="4E9B683E" w:rsidR="00974C00" w:rsidRPr="005A47B1" w:rsidRDefault="00125FC7" w:rsidP="00974C00">
      <w:pPr>
        <w:pStyle w:val="ListParagraph"/>
        <w:numPr>
          <w:ilvl w:val="0"/>
          <w:numId w:val="11"/>
        </w:numPr>
        <w:spacing w:after="0" w:line="360" w:lineRule="auto"/>
        <w:jc w:val="both"/>
        <w:rPr>
          <w:rFonts w:ascii="Times New Roman" w:eastAsia="Times New Roman" w:hAnsi="Times New Roman"/>
          <w:sz w:val="28"/>
          <w:szCs w:val="28"/>
          <w:lang w:val="uk-UA" w:eastAsia="ar-SA"/>
        </w:rPr>
      </w:pPr>
      <w:r w:rsidRPr="005A47B1">
        <w:rPr>
          <w:rFonts w:ascii="Times New Roman" w:eastAsia="Times New Roman" w:hAnsi="Times New Roman"/>
          <w:sz w:val="28"/>
          <w:szCs w:val="28"/>
          <w:lang w:eastAsia="ar-SA"/>
        </w:rPr>
        <w:t>Nazaryan</w:t>
      </w:r>
      <w:r w:rsidRPr="005A47B1">
        <w:rPr>
          <w:rFonts w:ascii="Times New Roman" w:eastAsia="Times New Roman" w:hAnsi="Times New Roman"/>
          <w:sz w:val="28"/>
          <w:szCs w:val="28"/>
          <w:lang w:val="uk-UA" w:eastAsia="ar-SA"/>
        </w:rPr>
        <w:t xml:space="preserve"> </w:t>
      </w:r>
      <w:r w:rsidRPr="005A47B1">
        <w:rPr>
          <w:rFonts w:ascii="Times New Roman" w:eastAsia="Times New Roman" w:hAnsi="Times New Roman"/>
          <w:sz w:val="28"/>
          <w:szCs w:val="28"/>
          <w:lang w:eastAsia="ar-SA"/>
        </w:rPr>
        <w:t>R</w:t>
      </w:r>
      <w:r w:rsidRPr="005A47B1">
        <w:rPr>
          <w:rFonts w:ascii="Times New Roman" w:eastAsia="Times New Roman" w:hAnsi="Times New Roman"/>
          <w:sz w:val="28"/>
          <w:szCs w:val="28"/>
          <w:lang w:val="uk-UA" w:eastAsia="ar-SA"/>
        </w:rPr>
        <w:t>.</w:t>
      </w:r>
      <w:r w:rsidRPr="005A47B1">
        <w:rPr>
          <w:rFonts w:ascii="Times New Roman" w:eastAsia="Times New Roman" w:hAnsi="Times New Roman"/>
          <w:sz w:val="28"/>
          <w:szCs w:val="28"/>
          <w:lang w:eastAsia="ar-SA"/>
        </w:rPr>
        <w:t>S</w:t>
      </w:r>
      <w:r w:rsidR="00974C00" w:rsidRPr="005A47B1">
        <w:rPr>
          <w:rFonts w:ascii="Times New Roman" w:eastAsia="Times New Roman" w:hAnsi="Times New Roman"/>
          <w:sz w:val="28"/>
          <w:szCs w:val="28"/>
          <w:lang w:val="uk-UA" w:eastAsia="ar-SA"/>
        </w:rPr>
        <w:t>. Salivary oxidative analysis and periodontal status in Ukrainian children with atopy / R. S. Nazaryan</w:t>
      </w:r>
      <w:r w:rsidRPr="005A47B1">
        <w:rPr>
          <w:rFonts w:ascii="Times New Roman" w:eastAsia="Times New Roman" w:hAnsi="Times New Roman"/>
          <w:sz w:val="28"/>
          <w:szCs w:val="28"/>
          <w:lang w:val="uk-UA" w:eastAsia="ar-SA"/>
        </w:rPr>
        <w:t>, L. S. Kryvenko</w:t>
      </w:r>
      <w:r w:rsidR="00974C00" w:rsidRPr="005A47B1">
        <w:rPr>
          <w:rFonts w:ascii="Times New Roman" w:eastAsia="Times New Roman" w:hAnsi="Times New Roman"/>
          <w:sz w:val="28"/>
          <w:szCs w:val="28"/>
          <w:lang w:val="uk-UA" w:eastAsia="ar-SA"/>
        </w:rPr>
        <w:t xml:space="preserve"> // Interventional Medicine &amp; Applied Science. – 2017. – Vol. 9, №4. – P. 199-203. https://doi.org/10.1556/1646.9.2017.32</w:t>
      </w:r>
    </w:p>
    <w:p w14:paraId="65AD5236" w14:textId="77777777" w:rsidR="00974C00" w:rsidRPr="005A47B1" w:rsidRDefault="00974C00" w:rsidP="00974C00">
      <w:pPr>
        <w:pStyle w:val="ListParagraph"/>
        <w:spacing w:after="0" w:line="360" w:lineRule="auto"/>
        <w:ind w:left="1069"/>
        <w:jc w:val="both"/>
        <w:rPr>
          <w:rFonts w:ascii="Times New Roman" w:eastAsia="Times New Roman" w:hAnsi="Times New Roman"/>
          <w:sz w:val="28"/>
          <w:szCs w:val="28"/>
          <w:lang w:val="uk-UA" w:eastAsia="ar-SA"/>
        </w:rPr>
      </w:pPr>
    </w:p>
    <w:p w14:paraId="418DE7DF" w14:textId="77777777" w:rsidR="00974C00" w:rsidRPr="00EB41F5" w:rsidRDefault="00974C00" w:rsidP="00974C00">
      <w:pPr>
        <w:spacing w:after="0" w:line="360" w:lineRule="auto"/>
        <w:jc w:val="both"/>
        <w:rPr>
          <w:rFonts w:ascii="Times New Roman" w:hAnsi="Times New Roman"/>
          <w:sz w:val="28"/>
          <w:szCs w:val="28"/>
          <w:lang w:val="uk-UA"/>
        </w:rPr>
      </w:pPr>
    </w:p>
    <w:p w14:paraId="670FCC8C" w14:textId="33D2A54B" w:rsidR="00E6538B" w:rsidRDefault="00E6538B" w:rsidP="00974C0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3C34D4C" w14:textId="77777777" w:rsidR="00376DF7" w:rsidRDefault="00376DF7" w:rsidP="00376DF7">
      <w:pPr>
        <w:pStyle w:val="Heading1"/>
        <w:spacing w:before="0" w:line="360" w:lineRule="auto"/>
        <w:jc w:val="center"/>
        <w:rPr>
          <w:rFonts w:ascii="Times New Roman" w:hAnsi="Times New Roman" w:cs="Times New Roman"/>
          <w:color w:val="auto"/>
          <w:sz w:val="28"/>
          <w:szCs w:val="28"/>
          <w:lang w:val="uk-UA"/>
        </w:rPr>
      </w:pPr>
      <w:bookmarkStart w:id="23" w:name="_Toc507575316"/>
      <w:r w:rsidRPr="00376DF7">
        <w:rPr>
          <w:rFonts w:ascii="Times New Roman" w:hAnsi="Times New Roman" w:cs="Times New Roman"/>
          <w:color w:val="auto"/>
          <w:sz w:val="28"/>
          <w:szCs w:val="28"/>
          <w:lang w:val="uk-UA"/>
        </w:rPr>
        <w:t>РОЗДІЛ 5</w:t>
      </w:r>
      <w:bookmarkEnd w:id="23"/>
      <w:r w:rsidRPr="00376DF7">
        <w:rPr>
          <w:rFonts w:ascii="Times New Roman" w:hAnsi="Times New Roman" w:cs="Times New Roman"/>
          <w:color w:val="auto"/>
          <w:sz w:val="28"/>
          <w:szCs w:val="28"/>
          <w:lang w:val="uk-UA"/>
        </w:rPr>
        <w:t xml:space="preserve"> </w:t>
      </w:r>
    </w:p>
    <w:p w14:paraId="13074E06" w14:textId="77777777" w:rsidR="00376DF7" w:rsidRPr="00376DF7" w:rsidRDefault="00376DF7" w:rsidP="00376DF7">
      <w:pPr>
        <w:rPr>
          <w:lang w:val="uk-UA"/>
        </w:rPr>
      </w:pPr>
    </w:p>
    <w:p w14:paraId="60C68EDE" w14:textId="66792750" w:rsidR="00A22147" w:rsidRDefault="00376DF7" w:rsidP="00376DF7">
      <w:pPr>
        <w:pStyle w:val="Heading1"/>
        <w:spacing w:before="0" w:line="360" w:lineRule="auto"/>
        <w:jc w:val="center"/>
        <w:rPr>
          <w:rFonts w:ascii="Times New Roman" w:hAnsi="Times New Roman" w:cs="Times New Roman"/>
          <w:color w:val="auto"/>
          <w:sz w:val="28"/>
          <w:szCs w:val="28"/>
          <w:lang w:val="uk-UA"/>
        </w:rPr>
      </w:pPr>
      <w:bookmarkStart w:id="24" w:name="_Toc507575317"/>
      <w:r w:rsidRPr="00376DF7">
        <w:rPr>
          <w:rFonts w:ascii="Times New Roman" w:hAnsi="Times New Roman" w:cs="Times New Roman"/>
          <w:color w:val="auto"/>
          <w:sz w:val="28"/>
          <w:szCs w:val="28"/>
          <w:lang w:val="uk-UA"/>
        </w:rPr>
        <w:t>ОСОБЛИВОСТІ ІМУНОМЕТАБОЛІЧНОГО СТАТУСУ ПАЦІЄНТІВ НА ТЛІ АТОПІЧНИХ ЗАХВОРЮВАНЬ ТА ЙОГО ЗМІНИ У ВІДПОВІДЬ НА ДІЮ КОНЦЕПТУАЛЬНО НОВОЇ ПРОГРАМИ ЛІКУВАННЯ ТА ПРОФІЛАКТИКИ ГІНГІВІТУ</w:t>
      </w:r>
      <w:bookmarkEnd w:id="24"/>
    </w:p>
    <w:p w14:paraId="1A49035D" w14:textId="77777777" w:rsidR="00376DF7" w:rsidRPr="00376DF7" w:rsidRDefault="00376DF7" w:rsidP="00376DF7">
      <w:pPr>
        <w:rPr>
          <w:lang w:val="uk-UA"/>
        </w:rPr>
      </w:pPr>
    </w:p>
    <w:p w14:paraId="4A90CC71" w14:textId="73D88042" w:rsidR="00DA4C4F" w:rsidRDefault="00DA4C4F"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Значення біомаркерів ротової рідини зростає з кожним днем як у якості показників</w:t>
      </w:r>
      <w:r w:rsidRPr="00DA4C4F">
        <w:rPr>
          <w:rFonts w:ascii="Times New Roman" w:hAnsi="Times New Roman"/>
          <w:sz w:val="28"/>
          <w:szCs w:val="28"/>
          <w:lang w:val="uk-UA"/>
        </w:rPr>
        <w:t xml:space="preserve"> по</w:t>
      </w:r>
      <w:r>
        <w:rPr>
          <w:rFonts w:ascii="Times New Roman" w:hAnsi="Times New Roman"/>
          <w:sz w:val="28"/>
          <w:szCs w:val="28"/>
          <w:lang w:val="uk-UA"/>
        </w:rPr>
        <w:t>точної активності захворювання, так і для п</w:t>
      </w:r>
      <w:r w:rsidRPr="00DA4C4F">
        <w:rPr>
          <w:rFonts w:ascii="Times New Roman" w:hAnsi="Times New Roman"/>
          <w:sz w:val="28"/>
          <w:szCs w:val="28"/>
          <w:lang w:val="uk-UA"/>
        </w:rPr>
        <w:t>рогноз</w:t>
      </w:r>
      <w:r>
        <w:rPr>
          <w:rFonts w:ascii="Times New Roman" w:hAnsi="Times New Roman"/>
          <w:sz w:val="28"/>
          <w:szCs w:val="28"/>
          <w:lang w:val="uk-UA"/>
        </w:rPr>
        <w:t>у</w:t>
      </w:r>
      <w:r w:rsidRPr="00DA4C4F">
        <w:rPr>
          <w:rFonts w:ascii="Times New Roman" w:hAnsi="Times New Roman"/>
          <w:sz w:val="28"/>
          <w:szCs w:val="28"/>
          <w:lang w:val="uk-UA"/>
        </w:rPr>
        <w:t xml:space="preserve"> розвитку </w:t>
      </w:r>
      <w:r>
        <w:rPr>
          <w:rFonts w:ascii="Times New Roman" w:hAnsi="Times New Roman"/>
          <w:sz w:val="28"/>
          <w:szCs w:val="28"/>
          <w:lang w:val="uk-UA"/>
        </w:rPr>
        <w:t xml:space="preserve">захворювань тканин пародонту, а також для прогнозу </w:t>
      </w:r>
      <w:r w:rsidRPr="00DA4C4F">
        <w:rPr>
          <w:rFonts w:ascii="Times New Roman" w:hAnsi="Times New Roman"/>
          <w:sz w:val="28"/>
          <w:szCs w:val="28"/>
          <w:lang w:val="uk-UA"/>
        </w:rPr>
        <w:t>майбутньої ініціації захворювання</w:t>
      </w:r>
      <w:r>
        <w:rPr>
          <w:rFonts w:ascii="Times New Roman" w:hAnsi="Times New Roman"/>
          <w:sz w:val="28"/>
          <w:szCs w:val="28"/>
          <w:lang w:val="uk-UA"/>
        </w:rPr>
        <w:t xml:space="preserve"> у теперішніх пародонтологічно здорових осіб</w:t>
      </w:r>
      <w:r w:rsidRPr="00DA4C4F">
        <w:rPr>
          <w:rFonts w:ascii="Times New Roman" w:hAnsi="Times New Roman"/>
          <w:sz w:val="28"/>
          <w:szCs w:val="28"/>
          <w:lang w:val="uk-UA"/>
        </w:rPr>
        <w:t>.</w:t>
      </w:r>
    </w:p>
    <w:p w14:paraId="18DAD4A7" w14:textId="5D834F79" w:rsidR="00DA4C4F" w:rsidRDefault="00DA4C4F" w:rsidP="00A448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через важливість антиоксидантного балансу у патогенезі захворювань тканин пародонту, ми провели детальний аналіз стану антиоксидантної системи, перекисного окислення ліпідів у дітей з атопічними захворюваннями та без соматичної патології, з клінічними проявами хронічного гінгівіту та з клінічно інтактними тканинами пародонту. Для оцінювання антиоксидантного статусу нами був здійснений порівняльний аналіз до проведення лікувально-профілактичних заходів, через шість та дванадцять місяців</w:t>
      </w:r>
      <w:r w:rsidR="002E1F26" w:rsidRPr="002E1F26">
        <w:rPr>
          <w:rFonts w:ascii="Times New Roman" w:hAnsi="Times New Roman"/>
          <w:sz w:val="28"/>
          <w:szCs w:val="28"/>
          <w:lang w:val="ru-RU"/>
        </w:rPr>
        <w:t xml:space="preserve"> [258-260]</w:t>
      </w:r>
      <w:r>
        <w:rPr>
          <w:rFonts w:ascii="Times New Roman" w:hAnsi="Times New Roman"/>
          <w:sz w:val="28"/>
          <w:szCs w:val="28"/>
          <w:lang w:val="uk-UA"/>
        </w:rPr>
        <w:t>.</w:t>
      </w:r>
    </w:p>
    <w:p w14:paraId="2297EA6F" w14:textId="5B370682" w:rsidR="00E45A7E" w:rsidRDefault="005C5123" w:rsidP="00B411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Одним з показників антиоксидантного захисту, який ми досліджували, був рівень каталази, його ди</w:t>
      </w:r>
      <w:r w:rsidR="00C23A80">
        <w:rPr>
          <w:rFonts w:ascii="Times New Roman" w:hAnsi="Times New Roman"/>
          <w:sz w:val="28"/>
          <w:szCs w:val="28"/>
          <w:lang w:val="uk-UA"/>
        </w:rPr>
        <w:t>наміка предста</w:t>
      </w:r>
      <w:r w:rsidR="0096095F">
        <w:rPr>
          <w:rFonts w:ascii="Times New Roman" w:hAnsi="Times New Roman"/>
          <w:sz w:val="28"/>
          <w:szCs w:val="28"/>
          <w:lang w:val="uk-UA"/>
        </w:rPr>
        <w:t>влена у</w:t>
      </w:r>
      <w:r w:rsidR="00FB72F7">
        <w:rPr>
          <w:rFonts w:ascii="Times New Roman" w:hAnsi="Times New Roman"/>
          <w:sz w:val="28"/>
          <w:szCs w:val="28"/>
          <w:lang w:val="uk-UA"/>
        </w:rPr>
        <w:t xml:space="preserve"> таблиці 5</w:t>
      </w:r>
      <w:r>
        <w:rPr>
          <w:rFonts w:ascii="Times New Roman" w:hAnsi="Times New Roman"/>
          <w:sz w:val="28"/>
          <w:szCs w:val="28"/>
          <w:lang w:val="uk-UA"/>
        </w:rPr>
        <w:t>.1.</w:t>
      </w:r>
    </w:p>
    <w:p w14:paraId="46343BD9" w14:textId="5CE8BB16" w:rsidR="009953B6" w:rsidRPr="009953B6" w:rsidRDefault="009953B6" w:rsidP="00B411C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показниками каталази ми констатували зниження антиоксидантного захисту у всіх групах, крім контрольної, без достовірної різниці у показниках. Проте подальше дослідження протягом одного року продемонструвало різну динаміку змін антиоксидантного статусу. Так, у першій групі пацієнтів з атопічними захворюваннями, хронічний гінгівіт протікав з зниженням рівню антиоксидантів, а саме каталаза дорівнювала </w:t>
      </w:r>
      <w:r w:rsidRPr="00595B7D">
        <w:rPr>
          <w:rFonts w:ascii="Times New Roman" w:hAnsi="Times New Roman"/>
          <w:sz w:val="28"/>
          <w:szCs w:val="28"/>
          <w:lang w:val="uk-UA"/>
        </w:rPr>
        <w:t>1.88</w:t>
      </w:r>
      <w:r>
        <w:rPr>
          <w:rFonts w:ascii="Times New Roman" w:hAnsi="Times New Roman"/>
          <w:sz w:val="28"/>
          <w:szCs w:val="28"/>
          <w:lang w:val="uk-UA"/>
        </w:rPr>
        <w:t xml:space="preserve"> </w:t>
      </w:r>
      <w:r w:rsidRPr="00595B7D">
        <w:rPr>
          <w:rFonts w:ascii="Times New Roman" w:hAnsi="Times New Roman"/>
          <w:sz w:val="28"/>
          <w:szCs w:val="28"/>
          <w:lang w:val="uk-UA"/>
        </w:rPr>
        <w:t>±</w:t>
      </w:r>
      <w:r>
        <w:rPr>
          <w:rFonts w:ascii="Times New Roman" w:hAnsi="Times New Roman"/>
          <w:sz w:val="28"/>
          <w:szCs w:val="28"/>
          <w:lang w:val="uk-UA"/>
        </w:rPr>
        <w:t xml:space="preserve"> </w:t>
      </w:r>
      <w:r w:rsidRPr="00595B7D">
        <w:rPr>
          <w:rFonts w:ascii="Times New Roman" w:hAnsi="Times New Roman"/>
          <w:sz w:val="28"/>
          <w:szCs w:val="28"/>
          <w:lang w:val="uk-UA"/>
        </w:rPr>
        <w:t>0.48</w:t>
      </w:r>
      <w:r>
        <w:rPr>
          <w:rFonts w:ascii="Times New Roman" w:hAnsi="Times New Roman"/>
          <w:sz w:val="28"/>
          <w:szCs w:val="28"/>
          <w:lang w:val="uk-UA"/>
        </w:rPr>
        <w:t xml:space="preserve"> кат/л. Зниження рівню антиоксидантів пояснюється системним впливом атопічних захворювань, тому патогенетичне лікування хронічного гінгівіту включало ендогенний прийом антиоксидантів.</w:t>
      </w:r>
    </w:p>
    <w:p w14:paraId="1A69F9BD" w14:textId="378EBF41" w:rsidR="000358C9" w:rsidRDefault="00FB72F7" w:rsidP="000358C9">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0358C9">
        <w:rPr>
          <w:rFonts w:ascii="Times New Roman" w:hAnsi="Times New Roman"/>
          <w:sz w:val="28"/>
          <w:szCs w:val="28"/>
          <w:lang w:val="uk-UA"/>
        </w:rPr>
        <w:t>.1</w:t>
      </w:r>
    </w:p>
    <w:p w14:paraId="3644917F" w14:textId="37C1E814" w:rsidR="005C5123" w:rsidRDefault="005C5123" w:rsidP="00E45A7E">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каталази у ротовій рідині різних груп пацієнтів</w:t>
      </w:r>
    </w:p>
    <w:tbl>
      <w:tblPr>
        <w:tblStyle w:val="TableGrid1"/>
        <w:tblW w:w="9285" w:type="dxa"/>
        <w:tblLayout w:type="fixed"/>
        <w:tblLook w:val="00A0" w:firstRow="1" w:lastRow="0" w:firstColumn="1" w:lastColumn="0" w:noHBand="0" w:noVBand="0"/>
      </w:tblPr>
      <w:tblGrid>
        <w:gridCol w:w="1838"/>
        <w:gridCol w:w="1418"/>
        <w:gridCol w:w="1417"/>
        <w:gridCol w:w="1559"/>
        <w:gridCol w:w="1570"/>
        <w:gridCol w:w="1483"/>
      </w:tblGrid>
      <w:tr w:rsidR="005C5123" w:rsidRPr="00FD6B73" w14:paraId="683889F1" w14:textId="77777777" w:rsidTr="00A9038E">
        <w:trPr>
          <w:trHeight w:val="471"/>
        </w:trPr>
        <w:tc>
          <w:tcPr>
            <w:tcW w:w="1838" w:type="dxa"/>
            <w:vMerge w:val="restart"/>
          </w:tcPr>
          <w:p w14:paraId="7F8E9557" w14:textId="77777777" w:rsidR="005C5123" w:rsidRPr="002804DE" w:rsidRDefault="005C5123" w:rsidP="006079DD">
            <w:pPr>
              <w:spacing w:line="360" w:lineRule="auto"/>
              <w:ind w:hanging="5"/>
              <w:jc w:val="center"/>
              <w:rPr>
                <w:sz w:val="28"/>
                <w:szCs w:val="28"/>
                <w:lang w:val="uk-UA"/>
              </w:rPr>
            </w:pPr>
            <w:r>
              <w:rPr>
                <w:sz w:val="28"/>
                <w:szCs w:val="28"/>
                <w:lang w:val="uk-UA"/>
              </w:rPr>
              <w:t>Строк спостереження</w:t>
            </w:r>
          </w:p>
        </w:tc>
        <w:tc>
          <w:tcPr>
            <w:tcW w:w="7447" w:type="dxa"/>
            <w:gridSpan w:val="5"/>
          </w:tcPr>
          <w:p w14:paraId="1C043381" w14:textId="171A85DC" w:rsidR="005C5123" w:rsidRPr="00014A22" w:rsidRDefault="005C5123" w:rsidP="005C5123">
            <w:pPr>
              <w:spacing w:line="360" w:lineRule="auto"/>
              <w:ind w:firstLine="709"/>
              <w:jc w:val="center"/>
              <w:rPr>
                <w:sz w:val="28"/>
                <w:szCs w:val="28"/>
                <w:lang w:val="uk-UA"/>
              </w:rPr>
            </w:pPr>
            <w:r>
              <w:rPr>
                <w:sz w:val="28"/>
                <w:szCs w:val="28"/>
                <w:lang w:val="uk-UA"/>
              </w:rPr>
              <w:t>Каталаза, кат/л</w:t>
            </w:r>
          </w:p>
        </w:tc>
      </w:tr>
      <w:tr w:rsidR="005C5123" w:rsidRPr="00043875" w14:paraId="58E72614" w14:textId="77777777" w:rsidTr="00A9038E">
        <w:trPr>
          <w:trHeight w:val="486"/>
        </w:trPr>
        <w:tc>
          <w:tcPr>
            <w:tcW w:w="1838" w:type="dxa"/>
            <w:vMerge/>
          </w:tcPr>
          <w:p w14:paraId="5C10D796" w14:textId="77777777" w:rsidR="005C5123" w:rsidRPr="002804DE" w:rsidRDefault="005C5123" w:rsidP="006079DD">
            <w:pPr>
              <w:spacing w:line="360" w:lineRule="auto"/>
              <w:ind w:hanging="5"/>
              <w:jc w:val="center"/>
              <w:rPr>
                <w:sz w:val="28"/>
                <w:szCs w:val="28"/>
                <w:lang w:val="uk-UA"/>
              </w:rPr>
            </w:pPr>
          </w:p>
        </w:tc>
        <w:tc>
          <w:tcPr>
            <w:tcW w:w="1418" w:type="dxa"/>
          </w:tcPr>
          <w:p w14:paraId="0D2B8B0F" w14:textId="77777777" w:rsidR="005C5123" w:rsidRPr="002804DE" w:rsidRDefault="005C5123" w:rsidP="006079DD">
            <w:pPr>
              <w:spacing w:line="360" w:lineRule="auto"/>
              <w:rPr>
                <w:sz w:val="28"/>
                <w:szCs w:val="28"/>
                <w:lang w:val="uk-UA"/>
              </w:rPr>
            </w:pPr>
            <w:r w:rsidRPr="002804DE">
              <w:rPr>
                <w:sz w:val="28"/>
                <w:szCs w:val="28"/>
                <w:lang w:val="uk-UA"/>
              </w:rPr>
              <w:t>Група 1 (</w:t>
            </w:r>
            <w:r w:rsidRPr="002804DE">
              <w:rPr>
                <w:sz w:val="28"/>
                <w:szCs w:val="28"/>
              </w:rPr>
              <w:t>n=</w:t>
            </w:r>
            <w:r>
              <w:rPr>
                <w:sz w:val="28"/>
                <w:szCs w:val="28"/>
                <w:lang w:val="ru-RU"/>
              </w:rPr>
              <w:t>76</w:t>
            </w:r>
            <w:r w:rsidRPr="002804DE">
              <w:rPr>
                <w:sz w:val="28"/>
                <w:szCs w:val="28"/>
                <w:lang w:val="uk-UA"/>
              </w:rPr>
              <w:t>)</w:t>
            </w:r>
          </w:p>
        </w:tc>
        <w:tc>
          <w:tcPr>
            <w:tcW w:w="1417" w:type="dxa"/>
          </w:tcPr>
          <w:p w14:paraId="5A8271B3" w14:textId="77777777" w:rsidR="005C5123" w:rsidRPr="002804DE" w:rsidRDefault="005C5123" w:rsidP="006079DD">
            <w:pPr>
              <w:spacing w:line="360" w:lineRule="auto"/>
              <w:rPr>
                <w:sz w:val="28"/>
                <w:szCs w:val="28"/>
                <w:lang w:val="uk-UA"/>
              </w:rPr>
            </w:pPr>
            <w:r>
              <w:rPr>
                <w:sz w:val="28"/>
                <w:szCs w:val="28"/>
                <w:lang w:val="uk-UA"/>
              </w:rPr>
              <w:t>Група 2 (n=5</w:t>
            </w:r>
            <w:r w:rsidRPr="002804DE">
              <w:rPr>
                <w:sz w:val="28"/>
                <w:szCs w:val="28"/>
                <w:lang w:val="uk-UA"/>
              </w:rPr>
              <w:t>0)</w:t>
            </w:r>
          </w:p>
        </w:tc>
        <w:tc>
          <w:tcPr>
            <w:tcW w:w="1559" w:type="dxa"/>
          </w:tcPr>
          <w:p w14:paraId="5950C328" w14:textId="77777777" w:rsidR="005C5123" w:rsidRPr="002804DE" w:rsidRDefault="005C5123" w:rsidP="006079DD">
            <w:pPr>
              <w:spacing w:line="360" w:lineRule="auto"/>
              <w:jc w:val="center"/>
              <w:rPr>
                <w:sz w:val="28"/>
                <w:szCs w:val="28"/>
                <w:lang w:val="uk-UA"/>
              </w:rPr>
            </w:pPr>
            <w:r w:rsidRPr="002804DE">
              <w:rPr>
                <w:sz w:val="28"/>
                <w:szCs w:val="28"/>
                <w:lang w:val="uk-UA"/>
              </w:rPr>
              <w:t>Група 3 (n=30)</w:t>
            </w:r>
          </w:p>
        </w:tc>
        <w:tc>
          <w:tcPr>
            <w:tcW w:w="1570" w:type="dxa"/>
          </w:tcPr>
          <w:p w14:paraId="0A5BBB4A" w14:textId="77777777" w:rsidR="005C5123" w:rsidRPr="002804DE" w:rsidRDefault="005C5123" w:rsidP="006079DD">
            <w:pPr>
              <w:spacing w:line="360" w:lineRule="auto"/>
              <w:jc w:val="center"/>
              <w:rPr>
                <w:sz w:val="28"/>
                <w:szCs w:val="28"/>
                <w:lang w:val="uk-UA"/>
              </w:rPr>
            </w:pPr>
            <w:r>
              <w:rPr>
                <w:sz w:val="28"/>
                <w:szCs w:val="28"/>
                <w:lang w:val="uk-UA"/>
              </w:rPr>
              <w:t>Група 4</w:t>
            </w:r>
            <w:r>
              <w:rPr>
                <w:sz w:val="28"/>
                <w:szCs w:val="28"/>
                <w:lang w:val="uk-UA"/>
              </w:rPr>
              <w:br/>
            </w:r>
            <w:r w:rsidRPr="002804DE">
              <w:rPr>
                <w:sz w:val="28"/>
                <w:szCs w:val="28"/>
                <w:lang w:val="uk-UA"/>
              </w:rPr>
              <w:t>(n=30)</w:t>
            </w:r>
          </w:p>
        </w:tc>
        <w:tc>
          <w:tcPr>
            <w:tcW w:w="1483" w:type="dxa"/>
          </w:tcPr>
          <w:p w14:paraId="7C2CAC9E" w14:textId="77777777" w:rsidR="005C5123" w:rsidRPr="002804DE" w:rsidRDefault="005C5123" w:rsidP="006079DD">
            <w:pPr>
              <w:spacing w:line="360" w:lineRule="auto"/>
              <w:jc w:val="center"/>
              <w:rPr>
                <w:sz w:val="28"/>
                <w:szCs w:val="28"/>
                <w:lang w:val="uk-UA"/>
              </w:rPr>
            </w:pPr>
            <w:r>
              <w:rPr>
                <w:sz w:val="28"/>
                <w:szCs w:val="28"/>
                <w:lang w:val="uk-UA"/>
              </w:rPr>
              <w:t xml:space="preserve">Група 5 </w:t>
            </w:r>
            <w:r>
              <w:rPr>
                <w:sz w:val="28"/>
                <w:szCs w:val="28"/>
                <w:lang w:val="uk-UA"/>
              </w:rPr>
              <w:br/>
              <w:t>(n=35</w:t>
            </w:r>
            <w:r w:rsidRPr="002804DE">
              <w:rPr>
                <w:sz w:val="28"/>
                <w:szCs w:val="28"/>
                <w:lang w:val="uk-UA"/>
              </w:rPr>
              <w:t>)</w:t>
            </w:r>
          </w:p>
        </w:tc>
      </w:tr>
      <w:tr w:rsidR="005C5123" w:rsidRPr="00043875" w14:paraId="29DF3D86" w14:textId="77777777" w:rsidTr="00A9038E">
        <w:trPr>
          <w:trHeight w:val="429"/>
        </w:trPr>
        <w:tc>
          <w:tcPr>
            <w:tcW w:w="1838" w:type="dxa"/>
          </w:tcPr>
          <w:p w14:paraId="36ACB0B2" w14:textId="77777777" w:rsidR="005C5123" w:rsidRPr="002804DE" w:rsidRDefault="005C5123" w:rsidP="006079DD">
            <w:pPr>
              <w:ind w:hanging="5"/>
              <w:rPr>
                <w:sz w:val="28"/>
                <w:szCs w:val="28"/>
                <w:lang w:val="uk-UA"/>
              </w:rPr>
            </w:pPr>
            <w:r w:rsidRPr="002804DE">
              <w:rPr>
                <w:sz w:val="28"/>
                <w:szCs w:val="28"/>
                <w:lang w:val="uk-UA"/>
              </w:rPr>
              <w:t>До лікування</w:t>
            </w:r>
          </w:p>
        </w:tc>
        <w:tc>
          <w:tcPr>
            <w:tcW w:w="1418" w:type="dxa"/>
          </w:tcPr>
          <w:p w14:paraId="1A0377EE" w14:textId="18EA8C86" w:rsidR="005C5123" w:rsidRPr="002804DE" w:rsidRDefault="005C5123" w:rsidP="005C5123">
            <w:pPr>
              <w:spacing w:line="360" w:lineRule="auto"/>
              <w:rPr>
                <w:sz w:val="28"/>
                <w:szCs w:val="28"/>
                <w:lang w:val="uk-UA"/>
              </w:rPr>
            </w:pPr>
            <w:r w:rsidRPr="005C5123">
              <w:rPr>
                <w:sz w:val="28"/>
                <w:szCs w:val="28"/>
                <w:lang w:val="uk-UA"/>
              </w:rPr>
              <w:t>1.88</w:t>
            </w:r>
            <w:r>
              <w:rPr>
                <w:sz w:val="28"/>
                <w:szCs w:val="28"/>
                <w:lang w:val="uk-UA"/>
              </w:rPr>
              <w:t>±</w:t>
            </w:r>
            <w:r w:rsidRPr="005C5123">
              <w:rPr>
                <w:sz w:val="28"/>
                <w:szCs w:val="28"/>
                <w:lang w:val="uk-UA"/>
              </w:rPr>
              <w:t>0.48</w:t>
            </w:r>
          </w:p>
        </w:tc>
        <w:tc>
          <w:tcPr>
            <w:tcW w:w="1417" w:type="dxa"/>
          </w:tcPr>
          <w:p w14:paraId="121CA215" w14:textId="25E38F90" w:rsidR="005C5123" w:rsidRPr="002804DE" w:rsidRDefault="005C5123" w:rsidP="005C5123">
            <w:pPr>
              <w:spacing w:line="360" w:lineRule="auto"/>
              <w:jc w:val="center"/>
              <w:rPr>
                <w:sz w:val="28"/>
                <w:szCs w:val="28"/>
                <w:lang w:val="uk-UA"/>
              </w:rPr>
            </w:pPr>
            <w:r w:rsidRPr="005C5123">
              <w:rPr>
                <w:sz w:val="28"/>
                <w:szCs w:val="28"/>
                <w:lang w:val="uk-UA"/>
              </w:rPr>
              <w:t>1.93</w:t>
            </w:r>
            <w:r>
              <w:rPr>
                <w:sz w:val="28"/>
                <w:szCs w:val="28"/>
                <w:lang w:val="uk-UA"/>
              </w:rPr>
              <w:t>±</w:t>
            </w:r>
            <w:r w:rsidRPr="005C5123">
              <w:rPr>
                <w:sz w:val="28"/>
                <w:szCs w:val="28"/>
                <w:lang w:val="uk-UA"/>
              </w:rPr>
              <w:t>0.54</w:t>
            </w:r>
          </w:p>
        </w:tc>
        <w:tc>
          <w:tcPr>
            <w:tcW w:w="1559" w:type="dxa"/>
          </w:tcPr>
          <w:p w14:paraId="6F82B114" w14:textId="00BA39CA" w:rsidR="005C5123" w:rsidRPr="002804DE" w:rsidRDefault="005C5123" w:rsidP="005C5123">
            <w:pPr>
              <w:spacing w:line="360" w:lineRule="auto"/>
              <w:jc w:val="center"/>
              <w:rPr>
                <w:sz w:val="28"/>
                <w:szCs w:val="28"/>
                <w:lang w:val="uk-UA"/>
              </w:rPr>
            </w:pPr>
            <w:r w:rsidRPr="005C5123">
              <w:rPr>
                <w:sz w:val="28"/>
                <w:szCs w:val="28"/>
                <w:lang w:val="uk-UA"/>
              </w:rPr>
              <w:t>1.89</w:t>
            </w:r>
            <w:r>
              <w:rPr>
                <w:sz w:val="28"/>
                <w:szCs w:val="28"/>
                <w:lang w:val="uk-UA"/>
              </w:rPr>
              <w:t>±</w:t>
            </w:r>
            <w:r w:rsidRPr="005C5123">
              <w:rPr>
                <w:sz w:val="28"/>
                <w:szCs w:val="28"/>
                <w:lang w:val="uk-UA"/>
              </w:rPr>
              <w:t>0.49</w:t>
            </w:r>
          </w:p>
        </w:tc>
        <w:tc>
          <w:tcPr>
            <w:tcW w:w="1570" w:type="dxa"/>
          </w:tcPr>
          <w:p w14:paraId="03D047FA" w14:textId="70AA89BC" w:rsidR="005C5123" w:rsidRPr="002804DE" w:rsidRDefault="005C5123" w:rsidP="005C5123">
            <w:pPr>
              <w:spacing w:line="360" w:lineRule="auto"/>
              <w:jc w:val="center"/>
              <w:rPr>
                <w:sz w:val="28"/>
                <w:szCs w:val="28"/>
                <w:lang w:val="uk-UA"/>
              </w:rPr>
            </w:pPr>
            <w:r w:rsidRPr="005C5123">
              <w:rPr>
                <w:sz w:val="28"/>
                <w:szCs w:val="28"/>
                <w:lang w:val="uk-UA"/>
              </w:rPr>
              <w:t>1.86</w:t>
            </w:r>
            <w:r>
              <w:rPr>
                <w:sz w:val="28"/>
                <w:szCs w:val="28"/>
                <w:lang w:val="uk-UA"/>
              </w:rPr>
              <w:t>±</w:t>
            </w:r>
            <w:r w:rsidRPr="005C5123">
              <w:rPr>
                <w:sz w:val="28"/>
                <w:szCs w:val="28"/>
                <w:lang w:val="uk-UA"/>
              </w:rPr>
              <w:t>0.48</w:t>
            </w:r>
          </w:p>
        </w:tc>
        <w:tc>
          <w:tcPr>
            <w:tcW w:w="1483" w:type="dxa"/>
          </w:tcPr>
          <w:p w14:paraId="6865F119" w14:textId="26601C15" w:rsidR="005C5123" w:rsidRPr="00307B1F" w:rsidRDefault="005C5123" w:rsidP="005C5123">
            <w:pPr>
              <w:spacing w:line="360" w:lineRule="auto"/>
              <w:jc w:val="center"/>
              <w:rPr>
                <w:sz w:val="28"/>
                <w:szCs w:val="28"/>
                <w:lang w:val="uk-UA"/>
              </w:rPr>
            </w:pPr>
            <w:r w:rsidRPr="005C5123">
              <w:rPr>
                <w:sz w:val="28"/>
                <w:szCs w:val="28"/>
                <w:lang w:val="uk-UA"/>
              </w:rPr>
              <w:t>3.57</w:t>
            </w:r>
            <w:r>
              <w:rPr>
                <w:sz w:val="28"/>
                <w:szCs w:val="28"/>
                <w:lang w:val="uk-UA"/>
              </w:rPr>
              <w:t>±</w:t>
            </w:r>
            <w:r w:rsidRPr="005C5123">
              <w:rPr>
                <w:sz w:val="28"/>
                <w:szCs w:val="28"/>
                <w:lang w:val="uk-UA"/>
              </w:rPr>
              <w:t>0.58</w:t>
            </w:r>
          </w:p>
        </w:tc>
      </w:tr>
      <w:tr w:rsidR="005C5123" w:rsidRPr="00043875" w14:paraId="443BE48B" w14:textId="77777777" w:rsidTr="00A9038E">
        <w:trPr>
          <w:trHeight w:val="427"/>
        </w:trPr>
        <w:tc>
          <w:tcPr>
            <w:tcW w:w="1838" w:type="dxa"/>
          </w:tcPr>
          <w:p w14:paraId="744817AA" w14:textId="77777777" w:rsidR="005C5123" w:rsidRPr="002804DE" w:rsidRDefault="005C5123" w:rsidP="006079DD">
            <w:pPr>
              <w:ind w:hanging="5"/>
              <w:rPr>
                <w:sz w:val="28"/>
                <w:szCs w:val="28"/>
                <w:lang w:val="uk-UA"/>
              </w:rPr>
            </w:pPr>
            <w:r>
              <w:rPr>
                <w:sz w:val="28"/>
                <w:szCs w:val="28"/>
                <w:lang w:val="uk-UA"/>
              </w:rPr>
              <w:t>Через 6 місяців</w:t>
            </w:r>
            <w:r w:rsidRPr="002804DE">
              <w:rPr>
                <w:sz w:val="28"/>
                <w:szCs w:val="28"/>
                <w:lang w:val="uk-UA"/>
              </w:rPr>
              <w:t xml:space="preserve"> </w:t>
            </w:r>
          </w:p>
        </w:tc>
        <w:tc>
          <w:tcPr>
            <w:tcW w:w="1418" w:type="dxa"/>
          </w:tcPr>
          <w:p w14:paraId="0CC0DABC" w14:textId="6A3DEDAC" w:rsidR="005C5123" w:rsidRPr="002804DE" w:rsidRDefault="005C5123" w:rsidP="005C5123">
            <w:pPr>
              <w:spacing w:line="360" w:lineRule="auto"/>
              <w:rPr>
                <w:sz w:val="28"/>
                <w:szCs w:val="28"/>
                <w:lang w:val="uk-UA"/>
              </w:rPr>
            </w:pPr>
            <w:r>
              <w:rPr>
                <w:sz w:val="28"/>
                <w:szCs w:val="28"/>
                <w:lang w:val="uk-UA"/>
              </w:rPr>
              <w:t>3.83±</w:t>
            </w:r>
            <w:r w:rsidRPr="005C5123">
              <w:rPr>
                <w:sz w:val="28"/>
                <w:szCs w:val="28"/>
                <w:lang w:val="uk-UA"/>
              </w:rPr>
              <w:t>0.59</w:t>
            </w:r>
            <w:r w:rsidRPr="002804DE">
              <w:rPr>
                <w:sz w:val="28"/>
                <w:szCs w:val="28"/>
                <w:lang w:val="uk-UA"/>
              </w:rPr>
              <w:t>*</w:t>
            </w:r>
            <w:r w:rsidR="009953B6" w:rsidRPr="009953B6">
              <w:rPr>
                <w:sz w:val="28"/>
                <w:szCs w:val="28"/>
                <w:vertAlign w:val="superscript"/>
                <w:lang w:val="uk-UA"/>
              </w:rPr>
              <w:t>1</w:t>
            </w:r>
          </w:p>
        </w:tc>
        <w:tc>
          <w:tcPr>
            <w:tcW w:w="1417" w:type="dxa"/>
          </w:tcPr>
          <w:p w14:paraId="5D940914" w14:textId="7B519B95" w:rsidR="005C5123" w:rsidRPr="002804DE" w:rsidRDefault="005C5123" w:rsidP="005C5123">
            <w:pPr>
              <w:spacing w:line="360" w:lineRule="auto"/>
              <w:jc w:val="center"/>
              <w:rPr>
                <w:sz w:val="28"/>
                <w:szCs w:val="28"/>
                <w:lang w:val="uk-UA"/>
              </w:rPr>
            </w:pPr>
            <w:r>
              <w:rPr>
                <w:sz w:val="28"/>
                <w:szCs w:val="28"/>
                <w:lang w:val="uk-UA"/>
              </w:rPr>
              <w:t>4.02±</w:t>
            </w:r>
            <w:r w:rsidRPr="005C5123">
              <w:rPr>
                <w:sz w:val="28"/>
                <w:szCs w:val="28"/>
                <w:lang w:val="uk-UA"/>
              </w:rPr>
              <w:t>0.61</w:t>
            </w:r>
            <w:r w:rsidRPr="002804DE">
              <w:rPr>
                <w:sz w:val="28"/>
                <w:szCs w:val="28"/>
                <w:lang w:val="uk-UA"/>
              </w:rPr>
              <w:t>*</w:t>
            </w:r>
            <w:r w:rsidR="009953B6" w:rsidRPr="00F42F7A">
              <w:rPr>
                <w:sz w:val="28"/>
                <w:szCs w:val="28"/>
                <w:vertAlign w:val="superscript"/>
                <w:lang w:val="uk-UA"/>
              </w:rPr>
              <w:t>2</w:t>
            </w:r>
          </w:p>
        </w:tc>
        <w:tc>
          <w:tcPr>
            <w:tcW w:w="1559" w:type="dxa"/>
          </w:tcPr>
          <w:p w14:paraId="132D399B" w14:textId="0686FED0" w:rsidR="005C5123" w:rsidRPr="002804DE" w:rsidRDefault="005C5123" w:rsidP="005C5123">
            <w:pPr>
              <w:spacing w:line="360" w:lineRule="auto"/>
              <w:jc w:val="center"/>
              <w:rPr>
                <w:sz w:val="28"/>
                <w:szCs w:val="28"/>
                <w:lang w:val="uk-UA"/>
              </w:rPr>
            </w:pPr>
            <w:r>
              <w:rPr>
                <w:sz w:val="28"/>
                <w:szCs w:val="28"/>
                <w:lang w:val="uk-UA"/>
              </w:rPr>
              <w:t>1.82±</w:t>
            </w:r>
            <w:r w:rsidRPr="005C5123">
              <w:rPr>
                <w:sz w:val="28"/>
                <w:szCs w:val="28"/>
                <w:lang w:val="uk-UA"/>
              </w:rPr>
              <w:t>0.42</w:t>
            </w:r>
          </w:p>
        </w:tc>
        <w:tc>
          <w:tcPr>
            <w:tcW w:w="1570" w:type="dxa"/>
          </w:tcPr>
          <w:p w14:paraId="4907B405" w14:textId="4C7DD36E" w:rsidR="005C5123" w:rsidRPr="002804DE" w:rsidRDefault="005C5123" w:rsidP="005C5123">
            <w:pPr>
              <w:spacing w:line="360" w:lineRule="auto"/>
              <w:jc w:val="center"/>
              <w:rPr>
                <w:sz w:val="28"/>
                <w:szCs w:val="28"/>
                <w:lang w:val="uk-UA"/>
              </w:rPr>
            </w:pPr>
            <w:r>
              <w:rPr>
                <w:sz w:val="28"/>
                <w:szCs w:val="28"/>
                <w:lang w:val="uk-UA"/>
              </w:rPr>
              <w:t>1.96±</w:t>
            </w:r>
            <w:r w:rsidRPr="005C5123">
              <w:rPr>
                <w:sz w:val="28"/>
                <w:szCs w:val="28"/>
                <w:lang w:val="uk-UA"/>
              </w:rPr>
              <w:t>0.55</w:t>
            </w:r>
          </w:p>
        </w:tc>
        <w:tc>
          <w:tcPr>
            <w:tcW w:w="1483" w:type="dxa"/>
          </w:tcPr>
          <w:p w14:paraId="4791ECF2" w14:textId="49A84F3D" w:rsidR="005C5123" w:rsidRPr="002804DE" w:rsidRDefault="005C5123" w:rsidP="005C5123">
            <w:pPr>
              <w:spacing w:line="360" w:lineRule="auto"/>
              <w:jc w:val="center"/>
              <w:rPr>
                <w:sz w:val="28"/>
                <w:szCs w:val="28"/>
                <w:lang w:val="uk-UA"/>
              </w:rPr>
            </w:pPr>
            <w:r>
              <w:rPr>
                <w:sz w:val="28"/>
                <w:szCs w:val="28"/>
                <w:lang w:val="uk-UA"/>
              </w:rPr>
              <w:t>3.26±</w:t>
            </w:r>
            <w:r w:rsidRPr="005C5123">
              <w:rPr>
                <w:sz w:val="28"/>
                <w:szCs w:val="28"/>
                <w:lang w:val="uk-UA"/>
              </w:rPr>
              <w:t>0.59</w:t>
            </w:r>
          </w:p>
        </w:tc>
      </w:tr>
      <w:tr w:rsidR="005C5123" w:rsidRPr="002804DE" w14:paraId="6D5CDE2A" w14:textId="77777777" w:rsidTr="00A9038E">
        <w:trPr>
          <w:trHeight w:val="577"/>
        </w:trPr>
        <w:tc>
          <w:tcPr>
            <w:tcW w:w="1838" w:type="dxa"/>
          </w:tcPr>
          <w:p w14:paraId="48BB8029" w14:textId="77777777" w:rsidR="005C5123" w:rsidRPr="002804DE" w:rsidRDefault="005C5123" w:rsidP="006079DD">
            <w:pPr>
              <w:ind w:hanging="5"/>
              <w:rPr>
                <w:sz w:val="28"/>
                <w:szCs w:val="28"/>
                <w:lang w:val="uk-UA"/>
              </w:rPr>
            </w:pPr>
            <w:r>
              <w:rPr>
                <w:sz w:val="28"/>
                <w:szCs w:val="28"/>
                <w:lang w:val="uk-UA"/>
              </w:rPr>
              <w:t>Через 12</w:t>
            </w:r>
            <w:r w:rsidRPr="002804DE">
              <w:rPr>
                <w:sz w:val="28"/>
                <w:szCs w:val="28"/>
                <w:lang w:val="uk-UA"/>
              </w:rPr>
              <w:t xml:space="preserve"> місяців</w:t>
            </w:r>
          </w:p>
        </w:tc>
        <w:tc>
          <w:tcPr>
            <w:tcW w:w="1418" w:type="dxa"/>
          </w:tcPr>
          <w:p w14:paraId="5C3092AA" w14:textId="64D3C89B" w:rsidR="005C5123" w:rsidRPr="002804DE" w:rsidRDefault="005C5123" w:rsidP="005C5123">
            <w:pPr>
              <w:spacing w:line="360" w:lineRule="auto"/>
              <w:rPr>
                <w:sz w:val="28"/>
                <w:szCs w:val="28"/>
                <w:lang w:val="uk-UA"/>
              </w:rPr>
            </w:pPr>
            <w:r>
              <w:rPr>
                <w:sz w:val="28"/>
                <w:szCs w:val="28"/>
                <w:lang w:val="uk-UA"/>
              </w:rPr>
              <w:t>4.07±</w:t>
            </w:r>
            <w:r w:rsidRPr="005C5123">
              <w:rPr>
                <w:sz w:val="28"/>
                <w:szCs w:val="28"/>
                <w:lang w:val="uk-UA"/>
              </w:rPr>
              <w:t>0.59</w:t>
            </w:r>
            <w:r w:rsidRPr="002804DE">
              <w:rPr>
                <w:sz w:val="28"/>
                <w:szCs w:val="28"/>
                <w:lang w:val="uk-UA"/>
              </w:rPr>
              <w:t>*</w:t>
            </w:r>
            <w:r w:rsidR="009953B6" w:rsidRPr="009953B6">
              <w:rPr>
                <w:sz w:val="28"/>
                <w:szCs w:val="28"/>
                <w:vertAlign w:val="superscript"/>
                <w:lang w:val="uk-UA"/>
              </w:rPr>
              <w:t>1</w:t>
            </w:r>
          </w:p>
        </w:tc>
        <w:tc>
          <w:tcPr>
            <w:tcW w:w="1417" w:type="dxa"/>
          </w:tcPr>
          <w:p w14:paraId="4E776191" w14:textId="04CA9FBD" w:rsidR="005C5123" w:rsidRPr="002804DE" w:rsidRDefault="005C5123" w:rsidP="005C5123">
            <w:pPr>
              <w:spacing w:line="360" w:lineRule="auto"/>
              <w:jc w:val="center"/>
              <w:rPr>
                <w:sz w:val="28"/>
                <w:szCs w:val="28"/>
                <w:lang w:val="uk-UA"/>
              </w:rPr>
            </w:pPr>
            <w:r>
              <w:rPr>
                <w:sz w:val="28"/>
                <w:szCs w:val="28"/>
                <w:lang w:val="uk-UA"/>
              </w:rPr>
              <w:t>3.87±</w:t>
            </w:r>
            <w:r w:rsidRPr="005C5123">
              <w:rPr>
                <w:sz w:val="28"/>
                <w:szCs w:val="28"/>
                <w:lang w:val="uk-UA"/>
              </w:rPr>
              <w:t>0.57</w:t>
            </w:r>
            <w:r w:rsidRPr="002804DE">
              <w:rPr>
                <w:sz w:val="28"/>
                <w:szCs w:val="28"/>
                <w:lang w:val="uk-UA"/>
              </w:rPr>
              <w:t>*</w:t>
            </w:r>
            <w:r w:rsidR="009953B6" w:rsidRPr="00F42F7A">
              <w:rPr>
                <w:sz w:val="28"/>
                <w:szCs w:val="28"/>
                <w:vertAlign w:val="superscript"/>
                <w:lang w:val="uk-UA"/>
              </w:rPr>
              <w:t>2</w:t>
            </w:r>
          </w:p>
        </w:tc>
        <w:tc>
          <w:tcPr>
            <w:tcW w:w="1559" w:type="dxa"/>
          </w:tcPr>
          <w:p w14:paraId="54E6E166" w14:textId="0E5DECC9" w:rsidR="005C5123" w:rsidRPr="002804DE" w:rsidRDefault="005C5123" w:rsidP="005C5123">
            <w:pPr>
              <w:spacing w:line="360" w:lineRule="auto"/>
              <w:jc w:val="center"/>
              <w:rPr>
                <w:sz w:val="28"/>
                <w:szCs w:val="28"/>
                <w:lang w:val="uk-UA"/>
              </w:rPr>
            </w:pPr>
            <w:r>
              <w:rPr>
                <w:sz w:val="28"/>
                <w:szCs w:val="28"/>
                <w:lang w:val="uk-UA"/>
              </w:rPr>
              <w:t>2.12±</w:t>
            </w:r>
            <w:r w:rsidRPr="005C5123">
              <w:rPr>
                <w:sz w:val="28"/>
                <w:szCs w:val="28"/>
                <w:lang w:val="uk-UA"/>
              </w:rPr>
              <w:t>0.52</w:t>
            </w:r>
          </w:p>
        </w:tc>
        <w:tc>
          <w:tcPr>
            <w:tcW w:w="1570" w:type="dxa"/>
          </w:tcPr>
          <w:p w14:paraId="3861EB35" w14:textId="4B30E48F" w:rsidR="005C5123" w:rsidRPr="002804DE" w:rsidRDefault="005C5123" w:rsidP="005C5123">
            <w:pPr>
              <w:spacing w:line="360" w:lineRule="auto"/>
              <w:jc w:val="center"/>
              <w:rPr>
                <w:sz w:val="28"/>
                <w:szCs w:val="28"/>
                <w:lang w:val="uk-UA"/>
              </w:rPr>
            </w:pPr>
            <w:r>
              <w:rPr>
                <w:sz w:val="28"/>
                <w:szCs w:val="28"/>
                <w:lang w:val="uk-UA"/>
              </w:rPr>
              <w:t>2.02±</w:t>
            </w:r>
            <w:r w:rsidRPr="005C5123">
              <w:rPr>
                <w:sz w:val="28"/>
                <w:szCs w:val="28"/>
                <w:lang w:val="uk-UA"/>
              </w:rPr>
              <w:t>0.65</w:t>
            </w:r>
          </w:p>
        </w:tc>
        <w:tc>
          <w:tcPr>
            <w:tcW w:w="1483" w:type="dxa"/>
          </w:tcPr>
          <w:p w14:paraId="1F893256" w14:textId="40DAA048" w:rsidR="005C5123" w:rsidRPr="002804DE" w:rsidRDefault="005C5123" w:rsidP="005C5123">
            <w:pPr>
              <w:spacing w:line="360" w:lineRule="auto"/>
              <w:jc w:val="center"/>
              <w:rPr>
                <w:sz w:val="28"/>
                <w:szCs w:val="28"/>
                <w:lang w:val="uk-UA"/>
              </w:rPr>
            </w:pPr>
            <w:r>
              <w:rPr>
                <w:sz w:val="28"/>
                <w:szCs w:val="28"/>
                <w:lang w:val="uk-UA"/>
              </w:rPr>
              <w:t>3.37±</w:t>
            </w:r>
            <w:r w:rsidRPr="005C5123">
              <w:rPr>
                <w:sz w:val="28"/>
                <w:szCs w:val="28"/>
                <w:lang w:val="uk-UA"/>
              </w:rPr>
              <w:t>0.75</w:t>
            </w:r>
          </w:p>
        </w:tc>
      </w:tr>
    </w:tbl>
    <w:p w14:paraId="1EC3D1B1" w14:textId="77777777" w:rsidR="005C5123" w:rsidRDefault="005C5123" w:rsidP="005C5123">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32B68907" w14:textId="77777777" w:rsidR="00376DF7" w:rsidRPr="00F42F7A"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7E12CFB0" w14:textId="1FB38F36" w:rsidR="00376DF7" w:rsidRDefault="00376DF7" w:rsidP="00376DF7">
      <w:pPr>
        <w:spacing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5B8D07B5" w14:textId="7E48B427" w:rsidR="005C5123" w:rsidRDefault="0022561F"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Обрана тактика лікування позитивно вплинула на антиоксидантний статус дітей з атопічними захворюваннями, що проявилося у збільшенні </w:t>
      </w:r>
      <w:r w:rsidR="00DC02A3">
        <w:rPr>
          <w:rFonts w:ascii="Times New Roman" w:hAnsi="Times New Roman"/>
          <w:sz w:val="28"/>
          <w:szCs w:val="28"/>
          <w:lang w:val="uk-UA"/>
        </w:rPr>
        <w:t xml:space="preserve">рівню каталази до 3.83 </w:t>
      </w:r>
      <w:r w:rsidR="00DC02A3">
        <w:rPr>
          <w:rFonts w:ascii="Times New Roman" w:hAnsi="Times New Roman" w:cs="Times New Roman"/>
          <w:sz w:val="28"/>
          <w:szCs w:val="28"/>
          <w:lang w:val="uk-UA"/>
        </w:rPr>
        <w:t xml:space="preserve">± </w:t>
      </w:r>
      <w:r w:rsidR="00DC02A3" w:rsidRPr="005C5123">
        <w:rPr>
          <w:rFonts w:ascii="Times New Roman" w:hAnsi="Times New Roman"/>
          <w:sz w:val="28"/>
          <w:szCs w:val="28"/>
          <w:lang w:val="uk-UA"/>
        </w:rPr>
        <w:t>0.59</w:t>
      </w:r>
      <w:r w:rsidR="00DC02A3">
        <w:rPr>
          <w:rFonts w:ascii="Times New Roman" w:hAnsi="Times New Roman"/>
          <w:sz w:val="28"/>
          <w:szCs w:val="28"/>
          <w:lang w:val="uk-UA"/>
        </w:rPr>
        <w:t xml:space="preserve"> кат/л через шість місяців та 4.07 </w:t>
      </w:r>
      <w:r w:rsidR="00DC02A3">
        <w:rPr>
          <w:rFonts w:ascii="Times New Roman" w:hAnsi="Times New Roman" w:cs="Times New Roman"/>
          <w:sz w:val="28"/>
          <w:szCs w:val="28"/>
          <w:lang w:val="uk-UA"/>
        </w:rPr>
        <w:t xml:space="preserve">± </w:t>
      </w:r>
      <w:r w:rsidR="00DC02A3" w:rsidRPr="005C5123">
        <w:rPr>
          <w:rFonts w:ascii="Times New Roman" w:hAnsi="Times New Roman"/>
          <w:sz w:val="28"/>
          <w:szCs w:val="28"/>
          <w:lang w:val="uk-UA"/>
        </w:rPr>
        <w:t>0.59</w:t>
      </w:r>
      <w:r w:rsidR="00DC02A3">
        <w:rPr>
          <w:rFonts w:ascii="Times New Roman" w:hAnsi="Times New Roman"/>
          <w:sz w:val="28"/>
          <w:szCs w:val="28"/>
          <w:lang w:val="uk-UA"/>
        </w:rPr>
        <w:t xml:space="preserve"> кат/л через дванадцять місяців. Оскільки різниця між даними показниками та початковими є достовірною, отже, обрана тактика лікування є ефективною та має довготривалий вплив на антиоксидантний статус дітей з атопічними захворюваннями.</w:t>
      </w:r>
      <w:r w:rsidR="00A3455E">
        <w:rPr>
          <w:rFonts w:ascii="Times New Roman" w:hAnsi="Times New Roman"/>
          <w:sz w:val="28"/>
          <w:szCs w:val="28"/>
          <w:lang w:val="uk-UA"/>
        </w:rPr>
        <w:t xml:space="preserve"> При цьому аналіз показників третьої групи пацієнтів, де були застосовані</w:t>
      </w:r>
      <w:r w:rsidR="00990F38">
        <w:rPr>
          <w:rFonts w:ascii="Times New Roman" w:hAnsi="Times New Roman"/>
          <w:sz w:val="28"/>
          <w:szCs w:val="28"/>
          <w:lang w:val="uk-UA"/>
        </w:rPr>
        <w:t xml:space="preserve"> традиційні</w:t>
      </w:r>
      <w:r w:rsidR="00A3455E">
        <w:rPr>
          <w:rFonts w:ascii="Times New Roman" w:hAnsi="Times New Roman"/>
          <w:sz w:val="28"/>
          <w:szCs w:val="28"/>
          <w:lang w:val="uk-UA"/>
        </w:rPr>
        <w:t xml:space="preserve"> лікувальні заходи згідно за протоколами надання медичної допомоги</w:t>
      </w:r>
      <w:r w:rsidR="00990F38">
        <w:rPr>
          <w:rFonts w:ascii="Times New Roman" w:hAnsi="Times New Roman"/>
          <w:sz w:val="28"/>
          <w:szCs w:val="28"/>
          <w:lang w:val="uk-UA"/>
        </w:rPr>
        <w:t xml:space="preserve">, виявив відсутність достовірної різниці між показниками протягом усього строку спостережень. Через шість місяців дослідження рівень каталази у другій групі дорівнював 1.82 </w:t>
      </w:r>
      <w:r w:rsidR="00990F38">
        <w:rPr>
          <w:rFonts w:ascii="Times New Roman" w:hAnsi="Times New Roman" w:cs="Times New Roman"/>
          <w:sz w:val="28"/>
          <w:szCs w:val="28"/>
          <w:lang w:val="uk-UA"/>
        </w:rPr>
        <w:t xml:space="preserve">± </w:t>
      </w:r>
      <w:r w:rsidR="00990F38" w:rsidRPr="005C5123">
        <w:rPr>
          <w:rFonts w:ascii="Times New Roman" w:hAnsi="Times New Roman"/>
          <w:sz w:val="28"/>
          <w:szCs w:val="28"/>
          <w:lang w:val="uk-UA"/>
        </w:rPr>
        <w:t>0.42</w:t>
      </w:r>
      <w:r w:rsidR="00990F38">
        <w:rPr>
          <w:rFonts w:ascii="Times New Roman" w:hAnsi="Times New Roman"/>
          <w:sz w:val="28"/>
          <w:szCs w:val="28"/>
          <w:lang w:val="uk-UA"/>
        </w:rPr>
        <w:t xml:space="preserve"> кат/л, через шість місяців 2.12</w:t>
      </w:r>
      <w:r w:rsidR="00990F38">
        <w:rPr>
          <w:rFonts w:ascii="Times New Roman" w:hAnsi="Times New Roman" w:cs="Times New Roman"/>
          <w:sz w:val="28"/>
          <w:szCs w:val="28"/>
          <w:lang w:val="uk-UA"/>
        </w:rPr>
        <w:t>±</w:t>
      </w:r>
      <w:r w:rsidR="00990F38" w:rsidRPr="005C5123">
        <w:rPr>
          <w:rFonts w:ascii="Times New Roman" w:hAnsi="Times New Roman"/>
          <w:sz w:val="28"/>
          <w:szCs w:val="28"/>
          <w:lang w:val="uk-UA"/>
        </w:rPr>
        <w:t>0.52</w:t>
      </w:r>
      <w:r w:rsidR="00990F38">
        <w:rPr>
          <w:rFonts w:ascii="Times New Roman" w:hAnsi="Times New Roman"/>
          <w:sz w:val="28"/>
          <w:szCs w:val="28"/>
          <w:lang w:val="uk-UA"/>
        </w:rPr>
        <w:t xml:space="preserve"> кат/л.</w:t>
      </w:r>
    </w:p>
    <w:p w14:paraId="5FD52B8D" w14:textId="2A466C09" w:rsidR="00DC02A3" w:rsidRPr="006B1C2B" w:rsidRDefault="00DC02A3"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другій групі пацієнтів</w:t>
      </w:r>
      <w:r w:rsidR="00352AD1">
        <w:rPr>
          <w:rFonts w:ascii="Times New Roman" w:hAnsi="Times New Roman"/>
          <w:sz w:val="28"/>
          <w:szCs w:val="28"/>
          <w:lang w:val="uk-UA"/>
        </w:rPr>
        <w:t xml:space="preserve">, які були представлені дітьми з атопічними захворюваннями та без клінічних проявів гінгівіту, також був низький рівень каталази на початку лікування </w:t>
      </w:r>
      <w:r w:rsidR="009F7338">
        <w:rPr>
          <w:rFonts w:ascii="Times New Roman" w:hAnsi="Times New Roman"/>
          <w:sz w:val="28"/>
          <w:szCs w:val="28"/>
          <w:lang w:val="uk-UA"/>
        </w:rPr>
        <w:t>(</w:t>
      </w:r>
      <w:r w:rsidR="009F7338" w:rsidRPr="005C5123">
        <w:rPr>
          <w:rFonts w:ascii="Times New Roman" w:hAnsi="Times New Roman"/>
          <w:sz w:val="28"/>
          <w:szCs w:val="28"/>
          <w:lang w:val="uk-UA"/>
        </w:rPr>
        <w:t>1.93</w:t>
      </w:r>
      <w:r w:rsidR="009F7338">
        <w:rPr>
          <w:rFonts w:ascii="Times New Roman" w:hAnsi="Times New Roman" w:cs="Times New Roman"/>
          <w:sz w:val="28"/>
          <w:szCs w:val="28"/>
          <w:lang w:val="uk-UA"/>
        </w:rPr>
        <w:t>±</w:t>
      </w:r>
      <w:r w:rsidR="009F7338" w:rsidRPr="005C5123">
        <w:rPr>
          <w:rFonts w:ascii="Times New Roman" w:hAnsi="Times New Roman"/>
          <w:sz w:val="28"/>
          <w:szCs w:val="28"/>
          <w:lang w:val="uk-UA"/>
        </w:rPr>
        <w:t>0.54</w:t>
      </w:r>
      <w:r w:rsidR="009F7338">
        <w:rPr>
          <w:rFonts w:ascii="Times New Roman" w:hAnsi="Times New Roman"/>
          <w:sz w:val="28"/>
          <w:szCs w:val="28"/>
          <w:lang w:val="uk-UA"/>
        </w:rPr>
        <w:t xml:space="preserve"> кат/л) відносно групи контролю. Після проведення </w:t>
      </w:r>
      <w:r w:rsidR="00E269E5">
        <w:rPr>
          <w:rFonts w:ascii="Times New Roman" w:hAnsi="Times New Roman"/>
          <w:sz w:val="28"/>
          <w:szCs w:val="28"/>
          <w:lang w:val="uk-UA"/>
        </w:rPr>
        <w:t>концептуально нової</w:t>
      </w:r>
      <w:r w:rsidR="009F7338">
        <w:rPr>
          <w:rFonts w:ascii="Times New Roman" w:hAnsi="Times New Roman"/>
          <w:sz w:val="28"/>
          <w:szCs w:val="28"/>
          <w:lang w:val="uk-UA"/>
        </w:rPr>
        <w:t xml:space="preserve"> програми профілактики, яка включала корекцію антиоксидантного статусу</w:t>
      </w:r>
      <w:r w:rsidR="00A3455E">
        <w:rPr>
          <w:rFonts w:ascii="Times New Roman" w:hAnsi="Times New Roman"/>
          <w:sz w:val="28"/>
          <w:szCs w:val="28"/>
          <w:lang w:val="uk-UA"/>
        </w:rPr>
        <w:t xml:space="preserve">, ми зафіксували підвищення рівню каталази до 4.02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0.61</w:t>
      </w:r>
      <w:r w:rsidR="00A3455E">
        <w:rPr>
          <w:rFonts w:ascii="Times New Roman" w:hAnsi="Times New Roman"/>
          <w:sz w:val="28"/>
          <w:szCs w:val="28"/>
          <w:lang w:val="uk-UA"/>
        </w:rPr>
        <w:t xml:space="preserve"> кат/л через шість місяців та 3.87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0.57</w:t>
      </w:r>
      <w:r w:rsidR="00A3455E">
        <w:rPr>
          <w:rFonts w:ascii="Times New Roman" w:hAnsi="Times New Roman"/>
          <w:sz w:val="28"/>
          <w:szCs w:val="28"/>
          <w:lang w:val="uk-UA"/>
        </w:rPr>
        <w:t xml:space="preserve"> кат/л. При порівнянні з традиційною програмою профілактики наявна достовірна різниця у показниках, оскільки у четвертій групі пацієнтів рівень каталази відповідав 1.96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0.55</w:t>
      </w:r>
      <w:r w:rsidR="00A3455E">
        <w:rPr>
          <w:rFonts w:ascii="Times New Roman" w:hAnsi="Times New Roman"/>
          <w:sz w:val="28"/>
          <w:szCs w:val="28"/>
          <w:lang w:val="uk-UA"/>
        </w:rPr>
        <w:t xml:space="preserve"> кат/л та 2.02 </w:t>
      </w:r>
      <w:r w:rsidR="00A3455E">
        <w:rPr>
          <w:rFonts w:ascii="Times New Roman" w:hAnsi="Times New Roman" w:cs="Times New Roman"/>
          <w:sz w:val="28"/>
          <w:szCs w:val="28"/>
          <w:lang w:val="uk-UA"/>
        </w:rPr>
        <w:t xml:space="preserve">± </w:t>
      </w:r>
      <w:r w:rsidR="00A3455E" w:rsidRPr="005C5123">
        <w:rPr>
          <w:rFonts w:ascii="Times New Roman" w:hAnsi="Times New Roman"/>
          <w:sz w:val="28"/>
          <w:szCs w:val="28"/>
          <w:lang w:val="uk-UA"/>
        </w:rPr>
        <w:t>0.65</w:t>
      </w:r>
      <w:r w:rsidR="00A3455E">
        <w:rPr>
          <w:rFonts w:ascii="Times New Roman" w:hAnsi="Times New Roman"/>
          <w:sz w:val="28"/>
          <w:szCs w:val="28"/>
          <w:lang w:val="uk-UA"/>
        </w:rPr>
        <w:t xml:space="preserve"> кат/л через шість та дванадцять місяців відповідно.</w:t>
      </w:r>
    </w:p>
    <w:p w14:paraId="6DD80FFA" w14:textId="05455309" w:rsidR="00A76D7C" w:rsidRPr="006079DD" w:rsidRDefault="008863A2" w:rsidP="003915D4">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Отже, за наведеними даними можна зробити висновок, що у дітей з атопічними захворюваннями страждає антиоксидантна система, що проявляється дефіцитом каталази. При проведенні лікувально-діагностичних заходів доцільно враховувати ураженість антиоксидантного статусу та притримуватися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підходу до лікування та профілактики хронічного гінгівіту. Патогенетична направленість програми профілактики та лікування хронічного гінгівіту у дітей з атопічними захворюваннями проявляється збільшенням рівня каталази у ротовій рідині та нормалізацією клінічної картини даної групи пацієнтів. Крім того, для визначення подальшого режиму профілактики логічним є використання каталази як неінвазивного діагностичного біомаркеру запалення тканин пародонту. </w:t>
      </w:r>
    </w:p>
    <w:p w14:paraId="74CF16B0" w14:textId="4DFF865B" w:rsidR="009A23DC" w:rsidRDefault="009A23DC"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ru-RU"/>
        </w:rPr>
        <w:t>Для</w:t>
      </w:r>
      <w:r w:rsidRPr="006079DD">
        <w:rPr>
          <w:rFonts w:ascii="Times New Roman" w:hAnsi="Times New Roman"/>
          <w:sz w:val="28"/>
          <w:szCs w:val="28"/>
          <w:lang w:val="ru-RU"/>
        </w:rPr>
        <w:t xml:space="preserve"> </w:t>
      </w:r>
      <w:r>
        <w:rPr>
          <w:rFonts w:ascii="Times New Roman" w:hAnsi="Times New Roman"/>
          <w:sz w:val="28"/>
          <w:szCs w:val="28"/>
          <w:lang w:val="uk-UA"/>
        </w:rPr>
        <w:t>виявлення взаємозв’язку між наявністю атопічних захворювань у дітей та ураженістю антиоксидантного стату</w:t>
      </w:r>
      <w:r w:rsidR="001D3B85">
        <w:rPr>
          <w:rFonts w:ascii="Times New Roman" w:hAnsi="Times New Roman"/>
          <w:sz w:val="28"/>
          <w:szCs w:val="28"/>
          <w:lang w:val="uk-UA"/>
        </w:rPr>
        <w:t>су</w:t>
      </w:r>
      <w:r>
        <w:rPr>
          <w:rFonts w:ascii="Times New Roman" w:hAnsi="Times New Roman"/>
          <w:sz w:val="28"/>
          <w:szCs w:val="28"/>
          <w:lang w:val="uk-UA"/>
        </w:rPr>
        <w:t xml:space="preserve">, нами був проведений аналіз </w:t>
      </w:r>
      <w:r w:rsidR="001D3B85">
        <w:rPr>
          <w:rFonts w:ascii="Times New Roman" w:hAnsi="Times New Roman"/>
          <w:sz w:val="28"/>
          <w:szCs w:val="28"/>
          <w:lang w:val="uk-UA"/>
        </w:rPr>
        <w:t xml:space="preserve">рівню </w:t>
      </w:r>
      <w:r>
        <w:rPr>
          <w:rFonts w:ascii="Times New Roman" w:hAnsi="Times New Roman"/>
          <w:sz w:val="28"/>
          <w:szCs w:val="28"/>
          <w:lang w:val="uk-UA"/>
        </w:rPr>
        <w:t>малонового диальдегіду</w:t>
      </w:r>
      <w:r w:rsidR="00973640">
        <w:rPr>
          <w:rFonts w:ascii="Times New Roman" w:hAnsi="Times New Roman"/>
          <w:sz w:val="28"/>
          <w:szCs w:val="28"/>
          <w:lang w:val="uk-UA"/>
        </w:rPr>
        <w:t xml:space="preserve"> (МДА)</w:t>
      </w:r>
      <w:r>
        <w:rPr>
          <w:rFonts w:ascii="Times New Roman" w:hAnsi="Times New Roman"/>
          <w:sz w:val="28"/>
          <w:szCs w:val="28"/>
          <w:lang w:val="uk-UA"/>
        </w:rPr>
        <w:t xml:space="preserve">, який є визнаним маркером окислювального стресу та перекісного окиснення ліпідів. </w:t>
      </w:r>
      <w:r w:rsidR="00973640">
        <w:rPr>
          <w:rFonts w:ascii="Times New Roman" w:hAnsi="Times New Roman"/>
          <w:sz w:val="28"/>
          <w:szCs w:val="28"/>
          <w:lang w:val="uk-UA"/>
        </w:rPr>
        <w:t>Дані, які були оброблені та проаналізовані, показали підвищення активності МДА на початку дослідження, до проведення лікувально-</w:t>
      </w:r>
      <w:r w:rsidR="001D3B85">
        <w:rPr>
          <w:rFonts w:ascii="Times New Roman" w:hAnsi="Times New Roman"/>
          <w:sz w:val="28"/>
          <w:szCs w:val="28"/>
          <w:lang w:val="uk-UA"/>
        </w:rPr>
        <w:t>профілактичних</w:t>
      </w:r>
      <w:r w:rsidR="00973640">
        <w:rPr>
          <w:rFonts w:ascii="Times New Roman" w:hAnsi="Times New Roman"/>
          <w:sz w:val="28"/>
          <w:szCs w:val="28"/>
          <w:lang w:val="uk-UA"/>
        </w:rPr>
        <w:t xml:space="preserve"> заходів. </w:t>
      </w:r>
      <w:r w:rsidR="000358C9">
        <w:rPr>
          <w:rFonts w:ascii="Times New Roman" w:hAnsi="Times New Roman"/>
          <w:sz w:val="28"/>
          <w:szCs w:val="28"/>
          <w:lang w:val="uk-UA"/>
        </w:rPr>
        <w:t xml:space="preserve">Результати </w:t>
      </w:r>
      <w:r w:rsidR="00FB72F7">
        <w:rPr>
          <w:rFonts w:ascii="Times New Roman" w:hAnsi="Times New Roman"/>
          <w:sz w:val="28"/>
          <w:szCs w:val="28"/>
          <w:lang w:val="uk-UA"/>
        </w:rPr>
        <w:t>дослідження наведені у таблиці 5</w:t>
      </w:r>
      <w:r w:rsidR="000358C9">
        <w:rPr>
          <w:rFonts w:ascii="Times New Roman" w:hAnsi="Times New Roman"/>
          <w:sz w:val="28"/>
          <w:szCs w:val="28"/>
          <w:lang w:val="uk-UA"/>
        </w:rPr>
        <w:t>.2.</w:t>
      </w:r>
    </w:p>
    <w:p w14:paraId="68BF56C8" w14:textId="0F711598" w:rsidR="009953B6" w:rsidRDefault="009953B6" w:rsidP="003915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отриманих даних у першій групі пацієнтів ми встановили підвищення рівня МДА до позначки </w:t>
      </w:r>
      <w:r w:rsidRPr="00166C6D">
        <w:rPr>
          <w:rFonts w:ascii="Times New Roman" w:hAnsi="Times New Roman"/>
          <w:sz w:val="28"/>
          <w:szCs w:val="28"/>
          <w:lang w:val="uk-UA"/>
        </w:rPr>
        <w:t>6.87</w:t>
      </w:r>
      <w:r>
        <w:rPr>
          <w:rFonts w:ascii="Times New Roman" w:hAnsi="Times New Roman" w:cs="Times New Roman"/>
          <w:sz w:val="28"/>
          <w:szCs w:val="28"/>
          <w:lang w:val="uk-UA"/>
        </w:rPr>
        <w:t>±</w:t>
      </w:r>
      <w:r w:rsidRPr="00166C6D">
        <w:rPr>
          <w:rFonts w:ascii="Times New Roman" w:hAnsi="Times New Roman"/>
          <w:sz w:val="28"/>
          <w:szCs w:val="28"/>
          <w:lang w:val="uk-UA"/>
        </w:rPr>
        <w:t>0.91</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 через шість місяців рівень МДА змінився з достовірною різницею і дорівнював 3.44</w:t>
      </w:r>
      <w:r>
        <w:rPr>
          <w:rFonts w:ascii="Times New Roman" w:hAnsi="Times New Roman" w:cs="Times New Roman"/>
          <w:sz w:val="28"/>
          <w:szCs w:val="28"/>
          <w:lang w:val="uk-UA"/>
        </w:rPr>
        <w:t>±</w:t>
      </w:r>
      <w:r w:rsidRPr="00166C6D">
        <w:rPr>
          <w:rFonts w:ascii="Times New Roman" w:hAnsi="Times New Roman"/>
          <w:sz w:val="28"/>
          <w:szCs w:val="28"/>
          <w:lang w:val="uk-UA"/>
        </w:rPr>
        <w:t>0.59</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 через дванадцять місяців 3.38</w:t>
      </w:r>
      <w:r>
        <w:rPr>
          <w:rFonts w:ascii="Times New Roman" w:hAnsi="Times New Roman" w:cs="Times New Roman"/>
          <w:sz w:val="28"/>
          <w:szCs w:val="28"/>
          <w:lang w:val="uk-UA"/>
        </w:rPr>
        <w:t>±</w:t>
      </w:r>
      <w:r w:rsidRPr="00166C6D">
        <w:rPr>
          <w:rFonts w:ascii="Times New Roman" w:hAnsi="Times New Roman"/>
          <w:sz w:val="28"/>
          <w:szCs w:val="28"/>
          <w:lang w:val="uk-UA"/>
        </w:rPr>
        <w:t>0.65</w:t>
      </w:r>
      <w:r>
        <w:rPr>
          <w:rFonts w:ascii="Times New Roman" w:hAnsi="Times New Roman"/>
          <w:sz w:val="28"/>
          <w:szCs w:val="28"/>
          <w:lang w:val="uk-UA"/>
        </w:rPr>
        <w:t xml:space="preserve"> </w:t>
      </w:r>
      <w:r w:rsidRPr="001B46B9">
        <w:rPr>
          <w:rFonts w:ascii="Times New Roman" w:hAnsi="Times New Roman"/>
          <w:sz w:val="28"/>
          <w:szCs w:val="28"/>
          <w:lang w:val="uk-UA"/>
        </w:rPr>
        <w:t>мкмоль/л</w:t>
      </w:r>
      <w:r>
        <w:rPr>
          <w:rFonts w:ascii="Times New Roman" w:hAnsi="Times New Roman"/>
          <w:sz w:val="28"/>
          <w:szCs w:val="28"/>
          <w:lang w:val="uk-UA"/>
        </w:rPr>
        <w:t>.</w:t>
      </w:r>
    </w:p>
    <w:p w14:paraId="00562105" w14:textId="77777777" w:rsidR="009953B6" w:rsidRDefault="009953B6" w:rsidP="003915D4">
      <w:pPr>
        <w:spacing w:after="0" w:line="360" w:lineRule="auto"/>
        <w:ind w:firstLine="709"/>
        <w:jc w:val="both"/>
        <w:rPr>
          <w:rFonts w:ascii="Times New Roman" w:hAnsi="Times New Roman"/>
          <w:sz w:val="28"/>
          <w:szCs w:val="28"/>
          <w:lang w:val="uk-UA"/>
        </w:rPr>
      </w:pPr>
    </w:p>
    <w:p w14:paraId="033D6428" w14:textId="77777777" w:rsidR="009953B6" w:rsidRDefault="009953B6" w:rsidP="003915D4">
      <w:pPr>
        <w:spacing w:after="0" w:line="360" w:lineRule="auto"/>
        <w:ind w:firstLine="709"/>
        <w:jc w:val="both"/>
        <w:rPr>
          <w:rFonts w:ascii="Times New Roman" w:hAnsi="Times New Roman"/>
          <w:sz w:val="28"/>
          <w:szCs w:val="28"/>
          <w:lang w:val="uk-UA"/>
        </w:rPr>
      </w:pPr>
    </w:p>
    <w:p w14:paraId="467C58A6" w14:textId="416DF816" w:rsidR="000358C9" w:rsidRDefault="00FB72F7" w:rsidP="000358C9">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0358C9">
        <w:rPr>
          <w:rFonts w:ascii="Times New Roman" w:hAnsi="Times New Roman"/>
          <w:sz w:val="28"/>
          <w:szCs w:val="28"/>
          <w:lang w:val="uk-UA"/>
        </w:rPr>
        <w:t>.2</w:t>
      </w:r>
    </w:p>
    <w:p w14:paraId="0CCF73CE" w14:textId="73BD769D" w:rsidR="000358C9" w:rsidRDefault="000358C9"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Показники рівня малонового диальдегіду у групах пацієнтів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0358C9" w:rsidRPr="00FD6B73" w14:paraId="6F9949FE" w14:textId="77777777" w:rsidTr="006079DD">
        <w:trPr>
          <w:trHeight w:val="471"/>
          <w:jc w:val="center"/>
        </w:trPr>
        <w:tc>
          <w:tcPr>
            <w:tcW w:w="1838" w:type="dxa"/>
            <w:vMerge w:val="restart"/>
            <w:shd w:val="clear" w:color="auto" w:fill="auto"/>
          </w:tcPr>
          <w:p w14:paraId="22A6FFD8" w14:textId="77777777" w:rsidR="000358C9" w:rsidRPr="002804DE" w:rsidRDefault="000358C9" w:rsidP="006079DD">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BB1D084" w14:textId="4F53FEDD" w:rsidR="000358C9" w:rsidRPr="00014A22" w:rsidRDefault="001B46B9" w:rsidP="006079DD">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МДА</w:t>
            </w:r>
            <w:r w:rsidR="000358C9">
              <w:rPr>
                <w:rFonts w:ascii="Times New Roman" w:hAnsi="Times New Roman"/>
                <w:sz w:val="28"/>
                <w:szCs w:val="28"/>
                <w:lang w:val="uk-UA"/>
              </w:rPr>
              <w:t xml:space="preserve">, </w:t>
            </w:r>
            <w:r w:rsidRPr="001B46B9">
              <w:rPr>
                <w:rFonts w:ascii="Times New Roman" w:hAnsi="Times New Roman"/>
                <w:sz w:val="28"/>
                <w:szCs w:val="28"/>
                <w:lang w:val="uk-UA"/>
              </w:rPr>
              <w:t>мкмоль/л</w:t>
            </w:r>
          </w:p>
        </w:tc>
      </w:tr>
      <w:tr w:rsidR="000358C9" w:rsidRPr="00043875" w14:paraId="23B5D983" w14:textId="77777777" w:rsidTr="006079DD">
        <w:trPr>
          <w:trHeight w:val="486"/>
          <w:jc w:val="center"/>
        </w:trPr>
        <w:tc>
          <w:tcPr>
            <w:tcW w:w="1838" w:type="dxa"/>
            <w:vMerge/>
            <w:shd w:val="clear" w:color="auto" w:fill="auto"/>
          </w:tcPr>
          <w:p w14:paraId="66B880CB" w14:textId="77777777" w:rsidR="000358C9" w:rsidRPr="002804DE" w:rsidRDefault="000358C9" w:rsidP="006079DD">
            <w:pPr>
              <w:spacing w:after="0" w:line="360" w:lineRule="auto"/>
              <w:ind w:hanging="5"/>
              <w:jc w:val="center"/>
              <w:rPr>
                <w:rFonts w:ascii="Times New Roman" w:hAnsi="Times New Roman"/>
                <w:sz w:val="28"/>
                <w:szCs w:val="28"/>
                <w:lang w:val="uk-UA"/>
              </w:rPr>
            </w:pPr>
          </w:p>
        </w:tc>
        <w:tc>
          <w:tcPr>
            <w:tcW w:w="1418" w:type="dxa"/>
            <w:shd w:val="clear" w:color="auto" w:fill="auto"/>
          </w:tcPr>
          <w:p w14:paraId="4F31DEC3" w14:textId="77777777" w:rsidR="000358C9" w:rsidRPr="002804DE" w:rsidRDefault="000358C9" w:rsidP="006079DD">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73BB1B6" w14:textId="77777777" w:rsidR="000358C9" w:rsidRPr="002804DE" w:rsidRDefault="000358C9" w:rsidP="006079DD">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81D68E9" w14:textId="77777777" w:rsidR="000358C9" w:rsidRPr="002804DE" w:rsidRDefault="000358C9" w:rsidP="006079DD">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B4E8BA8" w14:textId="77777777" w:rsidR="000358C9" w:rsidRPr="002804DE" w:rsidRDefault="000358C9"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0F50A425" w14:textId="77777777" w:rsidR="000358C9" w:rsidRPr="002804DE" w:rsidRDefault="000358C9"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0358C9" w:rsidRPr="00043875" w14:paraId="49D470EA" w14:textId="77777777" w:rsidTr="006079DD">
        <w:trPr>
          <w:trHeight w:val="429"/>
          <w:jc w:val="center"/>
        </w:trPr>
        <w:tc>
          <w:tcPr>
            <w:tcW w:w="1838" w:type="dxa"/>
            <w:shd w:val="clear" w:color="auto" w:fill="auto"/>
          </w:tcPr>
          <w:p w14:paraId="126647AA" w14:textId="77777777" w:rsidR="000358C9" w:rsidRPr="002804DE" w:rsidRDefault="000358C9" w:rsidP="006079DD">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78D80CC3" w14:textId="3923D68A" w:rsidR="000358C9" w:rsidRPr="002804DE" w:rsidRDefault="00166C6D" w:rsidP="00166C6D">
            <w:pPr>
              <w:spacing w:after="0" w:line="360" w:lineRule="auto"/>
              <w:rPr>
                <w:rFonts w:ascii="Times New Roman" w:hAnsi="Times New Roman"/>
                <w:sz w:val="28"/>
                <w:szCs w:val="28"/>
                <w:lang w:val="uk-UA"/>
              </w:rPr>
            </w:pPr>
            <w:r w:rsidRPr="00166C6D">
              <w:rPr>
                <w:rFonts w:ascii="Times New Roman" w:hAnsi="Times New Roman"/>
                <w:sz w:val="28"/>
                <w:szCs w:val="28"/>
                <w:lang w:val="uk-UA"/>
              </w:rPr>
              <w:t>6.87</w:t>
            </w:r>
            <w:r>
              <w:rPr>
                <w:rFonts w:ascii="Times New Roman" w:hAnsi="Times New Roman" w:cs="Times New Roman"/>
                <w:sz w:val="28"/>
                <w:szCs w:val="28"/>
                <w:lang w:val="uk-UA"/>
              </w:rPr>
              <w:t>±</w:t>
            </w:r>
            <w:r w:rsidRPr="00166C6D">
              <w:rPr>
                <w:rFonts w:ascii="Times New Roman" w:hAnsi="Times New Roman"/>
                <w:sz w:val="28"/>
                <w:szCs w:val="28"/>
                <w:lang w:val="uk-UA"/>
              </w:rPr>
              <w:t>0.91</w:t>
            </w:r>
          </w:p>
        </w:tc>
        <w:tc>
          <w:tcPr>
            <w:tcW w:w="1417" w:type="dxa"/>
            <w:shd w:val="clear" w:color="auto" w:fill="auto"/>
          </w:tcPr>
          <w:p w14:paraId="136E8409" w14:textId="31936D27"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5.96</w:t>
            </w:r>
            <w:r>
              <w:rPr>
                <w:rFonts w:ascii="Times New Roman" w:hAnsi="Times New Roman" w:cs="Times New Roman"/>
                <w:sz w:val="28"/>
                <w:szCs w:val="28"/>
                <w:lang w:val="uk-UA"/>
              </w:rPr>
              <w:t>±</w:t>
            </w:r>
            <w:r w:rsidRPr="00166C6D">
              <w:rPr>
                <w:rFonts w:ascii="Times New Roman" w:hAnsi="Times New Roman"/>
                <w:sz w:val="28"/>
                <w:szCs w:val="28"/>
                <w:lang w:val="uk-UA"/>
              </w:rPr>
              <w:t>0.79</w:t>
            </w:r>
          </w:p>
        </w:tc>
        <w:tc>
          <w:tcPr>
            <w:tcW w:w="1559" w:type="dxa"/>
            <w:shd w:val="clear" w:color="auto" w:fill="auto"/>
          </w:tcPr>
          <w:p w14:paraId="11CC1607" w14:textId="650EB15C"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6.56</w:t>
            </w:r>
            <w:r>
              <w:rPr>
                <w:rFonts w:ascii="Times New Roman" w:hAnsi="Times New Roman" w:cs="Times New Roman"/>
                <w:sz w:val="28"/>
                <w:szCs w:val="28"/>
                <w:lang w:val="uk-UA"/>
              </w:rPr>
              <w:t>±</w:t>
            </w:r>
            <w:r w:rsidRPr="00166C6D">
              <w:rPr>
                <w:rFonts w:ascii="Times New Roman" w:hAnsi="Times New Roman"/>
                <w:sz w:val="28"/>
                <w:szCs w:val="28"/>
                <w:lang w:val="uk-UA"/>
              </w:rPr>
              <w:t>1.05</w:t>
            </w:r>
          </w:p>
        </w:tc>
        <w:tc>
          <w:tcPr>
            <w:tcW w:w="1570" w:type="dxa"/>
            <w:shd w:val="clear" w:color="auto" w:fill="auto"/>
          </w:tcPr>
          <w:p w14:paraId="5D75CC54" w14:textId="1CFC8742" w:rsidR="000358C9" w:rsidRPr="002804DE"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5.73</w:t>
            </w:r>
            <w:r>
              <w:rPr>
                <w:rFonts w:ascii="Times New Roman" w:hAnsi="Times New Roman" w:cs="Times New Roman"/>
                <w:sz w:val="28"/>
                <w:szCs w:val="28"/>
                <w:lang w:val="uk-UA"/>
              </w:rPr>
              <w:t>±</w:t>
            </w:r>
            <w:r w:rsidRPr="00166C6D">
              <w:rPr>
                <w:rFonts w:ascii="Times New Roman" w:hAnsi="Times New Roman"/>
                <w:sz w:val="28"/>
                <w:szCs w:val="28"/>
                <w:lang w:val="uk-UA"/>
              </w:rPr>
              <w:t>0.78</w:t>
            </w:r>
          </w:p>
        </w:tc>
        <w:tc>
          <w:tcPr>
            <w:tcW w:w="1483" w:type="dxa"/>
            <w:shd w:val="clear" w:color="auto" w:fill="auto"/>
          </w:tcPr>
          <w:p w14:paraId="0B2C9ECA" w14:textId="15ED72F5" w:rsidR="000358C9" w:rsidRPr="00307B1F" w:rsidRDefault="00166C6D" w:rsidP="00166C6D">
            <w:pPr>
              <w:spacing w:after="0" w:line="360" w:lineRule="auto"/>
              <w:jc w:val="center"/>
              <w:rPr>
                <w:rFonts w:ascii="Times New Roman" w:hAnsi="Times New Roman"/>
                <w:sz w:val="28"/>
                <w:szCs w:val="28"/>
                <w:lang w:val="uk-UA"/>
              </w:rPr>
            </w:pPr>
            <w:r w:rsidRPr="00166C6D">
              <w:rPr>
                <w:rFonts w:ascii="Times New Roman" w:hAnsi="Times New Roman"/>
                <w:sz w:val="28"/>
                <w:szCs w:val="28"/>
                <w:lang w:val="uk-UA"/>
              </w:rPr>
              <w:t>3.83</w:t>
            </w:r>
            <w:r>
              <w:rPr>
                <w:rFonts w:ascii="Times New Roman" w:hAnsi="Times New Roman" w:cs="Times New Roman"/>
                <w:sz w:val="28"/>
                <w:szCs w:val="28"/>
                <w:lang w:val="uk-UA"/>
              </w:rPr>
              <w:t>±</w:t>
            </w:r>
            <w:r w:rsidRPr="00166C6D">
              <w:rPr>
                <w:rFonts w:ascii="Times New Roman" w:hAnsi="Times New Roman"/>
                <w:sz w:val="28"/>
                <w:szCs w:val="28"/>
                <w:lang w:val="uk-UA"/>
              </w:rPr>
              <w:t>0.83</w:t>
            </w:r>
          </w:p>
        </w:tc>
      </w:tr>
      <w:tr w:rsidR="000358C9" w:rsidRPr="00043875" w14:paraId="55F7629A" w14:textId="77777777" w:rsidTr="006079DD">
        <w:trPr>
          <w:trHeight w:val="427"/>
          <w:jc w:val="center"/>
        </w:trPr>
        <w:tc>
          <w:tcPr>
            <w:tcW w:w="1838" w:type="dxa"/>
            <w:shd w:val="clear" w:color="auto" w:fill="auto"/>
          </w:tcPr>
          <w:p w14:paraId="75FCB06C" w14:textId="77777777" w:rsidR="000358C9" w:rsidRPr="002804DE" w:rsidRDefault="000358C9" w:rsidP="006079DD">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7A092341" w14:textId="03DCD0F7" w:rsidR="000358C9" w:rsidRPr="002804DE" w:rsidRDefault="00166C6D" w:rsidP="00166C6D">
            <w:pPr>
              <w:spacing w:after="0" w:line="360" w:lineRule="auto"/>
              <w:rPr>
                <w:rFonts w:ascii="Times New Roman" w:hAnsi="Times New Roman"/>
                <w:sz w:val="28"/>
                <w:szCs w:val="28"/>
                <w:lang w:val="uk-UA"/>
              </w:rPr>
            </w:pPr>
            <w:r>
              <w:rPr>
                <w:rFonts w:ascii="Times New Roman" w:hAnsi="Times New Roman"/>
                <w:sz w:val="28"/>
                <w:szCs w:val="28"/>
                <w:lang w:val="uk-UA"/>
              </w:rPr>
              <w:t>3.44</w:t>
            </w:r>
            <w:r>
              <w:rPr>
                <w:rFonts w:ascii="Times New Roman" w:hAnsi="Times New Roman" w:cs="Times New Roman"/>
                <w:sz w:val="28"/>
                <w:szCs w:val="28"/>
                <w:lang w:val="uk-UA"/>
              </w:rPr>
              <w:t>±</w:t>
            </w:r>
            <w:r w:rsidRPr="00166C6D">
              <w:rPr>
                <w:rFonts w:ascii="Times New Roman" w:hAnsi="Times New Roman"/>
                <w:sz w:val="28"/>
                <w:szCs w:val="28"/>
                <w:lang w:val="uk-UA"/>
              </w:rPr>
              <w:t>0.59</w:t>
            </w:r>
            <w:r w:rsidR="000358C9" w:rsidRPr="002804DE">
              <w:rPr>
                <w:rFonts w:ascii="Times New Roman" w:hAnsi="Times New Roman"/>
                <w:sz w:val="28"/>
                <w:szCs w:val="28"/>
                <w:lang w:val="uk-UA"/>
              </w:rPr>
              <w:t>*</w:t>
            </w:r>
          </w:p>
        </w:tc>
        <w:tc>
          <w:tcPr>
            <w:tcW w:w="1417" w:type="dxa"/>
            <w:shd w:val="clear" w:color="auto" w:fill="auto"/>
          </w:tcPr>
          <w:p w14:paraId="4B9A76EA" w14:textId="4949515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3.50</w:t>
            </w:r>
            <w:r>
              <w:rPr>
                <w:rFonts w:ascii="Times New Roman" w:hAnsi="Times New Roman" w:cs="Times New Roman"/>
                <w:sz w:val="28"/>
                <w:szCs w:val="28"/>
                <w:lang w:val="uk-UA"/>
              </w:rPr>
              <w:t>±</w:t>
            </w:r>
            <w:r w:rsidRPr="00166C6D">
              <w:rPr>
                <w:rFonts w:ascii="Times New Roman" w:hAnsi="Times New Roman"/>
                <w:sz w:val="28"/>
                <w:szCs w:val="28"/>
                <w:lang w:val="uk-UA"/>
              </w:rPr>
              <w:t>0.62</w:t>
            </w:r>
            <w:r w:rsidR="000358C9" w:rsidRPr="002804DE">
              <w:rPr>
                <w:rFonts w:ascii="Times New Roman" w:hAnsi="Times New Roman"/>
                <w:sz w:val="28"/>
                <w:szCs w:val="28"/>
                <w:lang w:val="uk-UA"/>
              </w:rPr>
              <w:t>*</w:t>
            </w:r>
          </w:p>
        </w:tc>
        <w:tc>
          <w:tcPr>
            <w:tcW w:w="1559" w:type="dxa"/>
            <w:shd w:val="clear" w:color="auto" w:fill="auto"/>
          </w:tcPr>
          <w:p w14:paraId="7FD0C40C" w14:textId="0BDCC5B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4.64</w:t>
            </w:r>
            <w:r>
              <w:rPr>
                <w:rFonts w:ascii="Times New Roman" w:hAnsi="Times New Roman" w:cs="Times New Roman"/>
                <w:sz w:val="28"/>
                <w:szCs w:val="28"/>
                <w:lang w:val="uk-UA"/>
              </w:rPr>
              <w:t>±</w:t>
            </w:r>
            <w:r w:rsidRPr="00166C6D">
              <w:rPr>
                <w:rFonts w:ascii="Times New Roman" w:hAnsi="Times New Roman"/>
                <w:sz w:val="28"/>
                <w:szCs w:val="28"/>
                <w:lang w:val="uk-UA"/>
              </w:rPr>
              <w:t>0.70</w:t>
            </w:r>
            <w:r>
              <w:rPr>
                <w:rFonts w:ascii="Times New Roman" w:hAnsi="Times New Roman"/>
                <w:sz w:val="28"/>
                <w:szCs w:val="28"/>
                <w:lang w:val="uk-UA"/>
              </w:rPr>
              <w:t>*</w:t>
            </w:r>
          </w:p>
        </w:tc>
        <w:tc>
          <w:tcPr>
            <w:tcW w:w="1570" w:type="dxa"/>
            <w:shd w:val="clear" w:color="auto" w:fill="auto"/>
          </w:tcPr>
          <w:p w14:paraId="06FE06C9" w14:textId="3BF53C8A"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5.02</w:t>
            </w:r>
            <w:r>
              <w:rPr>
                <w:rFonts w:ascii="Times New Roman" w:hAnsi="Times New Roman" w:cs="Times New Roman"/>
                <w:sz w:val="28"/>
                <w:szCs w:val="28"/>
                <w:lang w:val="uk-UA"/>
              </w:rPr>
              <w:t>±</w:t>
            </w:r>
            <w:r w:rsidRPr="00166C6D">
              <w:rPr>
                <w:rFonts w:ascii="Times New Roman" w:hAnsi="Times New Roman"/>
                <w:sz w:val="28"/>
                <w:szCs w:val="28"/>
                <w:lang w:val="uk-UA"/>
              </w:rPr>
              <w:t>0.90</w:t>
            </w:r>
          </w:p>
        </w:tc>
        <w:tc>
          <w:tcPr>
            <w:tcW w:w="1483" w:type="dxa"/>
            <w:shd w:val="clear" w:color="auto" w:fill="auto"/>
          </w:tcPr>
          <w:p w14:paraId="5A56FB66" w14:textId="3D66BB1E"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3.56</w:t>
            </w:r>
            <w:r>
              <w:rPr>
                <w:rFonts w:ascii="Times New Roman" w:hAnsi="Times New Roman" w:cs="Times New Roman"/>
                <w:sz w:val="28"/>
                <w:szCs w:val="28"/>
                <w:lang w:val="uk-UA"/>
              </w:rPr>
              <w:t>±</w:t>
            </w:r>
            <w:r w:rsidRPr="00166C6D">
              <w:rPr>
                <w:rFonts w:ascii="Times New Roman" w:hAnsi="Times New Roman"/>
                <w:sz w:val="28"/>
                <w:szCs w:val="28"/>
                <w:lang w:val="uk-UA"/>
              </w:rPr>
              <w:t>0.53</w:t>
            </w:r>
          </w:p>
        </w:tc>
      </w:tr>
      <w:tr w:rsidR="000358C9" w:rsidRPr="002804DE" w14:paraId="3BA7320B" w14:textId="77777777" w:rsidTr="006079DD">
        <w:trPr>
          <w:trHeight w:val="577"/>
          <w:jc w:val="center"/>
        </w:trPr>
        <w:tc>
          <w:tcPr>
            <w:tcW w:w="1838" w:type="dxa"/>
            <w:shd w:val="clear" w:color="auto" w:fill="auto"/>
          </w:tcPr>
          <w:p w14:paraId="0E8E9307" w14:textId="77777777" w:rsidR="000358C9" w:rsidRPr="002804DE" w:rsidRDefault="000358C9" w:rsidP="006079DD">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0EAB284C" w14:textId="1A95E772" w:rsidR="000358C9" w:rsidRPr="002804DE" w:rsidRDefault="00166C6D" w:rsidP="00166C6D">
            <w:pPr>
              <w:spacing w:after="0" w:line="360" w:lineRule="auto"/>
              <w:rPr>
                <w:rFonts w:ascii="Times New Roman" w:hAnsi="Times New Roman"/>
                <w:sz w:val="28"/>
                <w:szCs w:val="28"/>
                <w:lang w:val="uk-UA"/>
              </w:rPr>
            </w:pPr>
            <w:r>
              <w:rPr>
                <w:rFonts w:ascii="Times New Roman" w:hAnsi="Times New Roman"/>
                <w:sz w:val="28"/>
                <w:szCs w:val="28"/>
                <w:lang w:val="uk-UA"/>
              </w:rPr>
              <w:t>3.38</w:t>
            </w:r>
            <w:r>
              <w:rPr>
                <w:rFonts w:ascii="Times New Roman" w:hAnsi="Times New Roman" w:cs="Times New Roman"/>
                <w:sz w:val="28"/>
                <w:szCs w:val="28"/>
                <w:lang w:val="uk-UA"/>
              </w:rPr>
              <w:t>±</w:t>
            </w:r>
            <w:r w:rsidRPr="00166C6D">
              <w:rPr>
                <w:rFonts w:ascii="Times New Roman" w:hAnsi="Times New Roman"/>
                <w:sz w:val="28"/>
                <w:szCs w:val="28"/>
                <w:lang w:val="uk-UA"/>
              </w:rPr>
              <w:t>0.65</w:t>
            </w:r>
            <w:r w:rsidR="000358C9"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57359A4A" w14:textId="0BBE90BC"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3.37</w:t>
            </w:r>
            <w:r>
              <w:rPr>
                <w:rFonts w:ascii="Times New Roman" w:hAnsi="Times New Roman" w:cs="Times New Roman"/>
                <w:sz w:val="28"/>
                <w:szCs w:val="28"/>
                <w:lang w:val="uk-UA"/>
              </w:rPr>
              <w:t>±</w:t>
            </w:r>
            <w:r w:rsidRPr="00166C6D">
              <w:rPr>
                <w:rFonts w:ascii="Times New Roman" w:hAnsi="Times New Roman"/>
                <w:sz w:val="28"/>
                <w:szCs w:val="28"/>
                <w:lang w:val="uk-UA"/>
              </w:rPr>
              <w:t>0.63</w:t>
            </w:r>
            <w:r w:rsidR="000358C9"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3E6CE8F1" w14:textId="546EBAB2"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5.00</w:t>
            </w:r>
            <w:r>
              <w:rPr>
                <w:rFonts w:ascii="Times New Roman" w:hAnsi="Times New Roman" w:cs="Times New Roman"/>
                <w:sz w:val="28"/>
                <w:szCs w:val="28"/>
                <w:lang w:val="uk-UA"/>
              </w:rPr>
              <w:t>±</w:t>
            </w:r>
            <w:r w:rsidRPr="00166C6D">
              <w:rPr>
                <w:rFonts w:ascii="Times New Roman" w:hAnsi="Times New Roman"/>
                <w:sz w:val="28"/>
                <w:szCs w:val="28"/>
                <w:lang w:val="uk-UA"/>
              </w:rPr>
              <w:t>0.70</w:t>
            </w:r>
          </w:p>
        </w:tc>
        <w:tc>
          <w:tcPr>
            <w:tcW w:w="1570" w:type="dxa"/>
            <w:shd w:val="clear" w:color="auto" w:fill="auto"/>
          </w:tcPr>
          <w:p w14:paraId="73313A24" w14:textId="559B651E"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5.20</w:t>
            </w:r>
            <w:r>
              <w:rPr>
                <w:rFonts w:ascii="Times New Roman" w:hAnsi="Times New Roman" w:cs="Times New Roman"/>
                <w:sz w:val="28"/>
                <w:szCs w:val="28"/>
                <w:lang w:val="uk-UA"/>
              </w:rPr>
              <w:t>±</w:t>
            </w:r>
            <w:r w:rsidRPr="00166C6D">
              <w:rPr>
                <w:rFonts w:ascii="Times New Roman" w:hAnsi="Times New Roman"/>
                <w:sz w:val="28"/>
                <w:szCs w:val="28"/>
                <w:lang w:val="uk-UA"/>
              </w:rPr>
              <w:t>0.69</w:t>
            </w:r>
          </w:p>
        </w:tc>
        <w:tc>
          <w:tcPr>
            <w:tcW w:w="1483" w:type="dxa"/>
            <w:shd w:val="clear" w:color="auto" w:fill="auto"/>
          </w:tcPr>
          <w:p w14:paraId="42907A0E" w14:textId="7A891AEB" w:rsidR="000358C9" w:rsidRPr="002804DE" w:rsidRDefault="00166C6D" w:rsidP="00166C6D">
            <w:pPr>
              <w:spacing w:after="0" w:line="360" w:lineRule="auto"/>
              <w:jc w:val="center"/>
              <w:rPr>
                <w:rFonts w:ascii="Times New Roman" w:hAnsi="Times New Roman"/>
                <w:sz w:val="28"/>
                <w:szCs w:val="28"/>
                <w:lang w:val="uk-UA"/>
              </w:rPr>
            </w:pPr>
            <w:r>
              <w:rPr>
                <w:rFonts w:ascii="Times New Roman" w:hAnsi="Times New Roman"/>
                <w:sz w:val="28"/>
                <w:szCs w:val="28"/>
                <w:lang w:val="uk-UA"/>
              </w:rPr>
              <w:t>3.20</w:t>
            </w:r>
            <w:r>
              <w:rPr>
                <w:rFonts w:ascii="Times New Roman" w:hAnsi="Times New Roman" w:cs="Times New Roman"/>
                <w:sz w:val="28"/>
                <w:szCs w:val="28"/>
                <w:lang w:val="uk-UA"/>
              </w:rPr>
              <w:t>±</w:t>
            </w:r>
            <w:r w:rsidRPr="00166C6D">
              <w:rPr>
                <w:rFonts w:ascii="Times New Roman" w:hAnsi="Times New Roman"/>
                <w:sz w:val="28"/>
                <w:szCs w:val="28"/>
                <w:lang w:val="uk-UA"/>
              </w:rPr>
              <w:t>0.55</w:t>
            </w:r>
          </w:p>
        </w:tc>
      </w:tr>
    </w:tbl>
    <w:p w14:paraId="4257E06C" w14:textId="77777777" w:rsidR="000358C9" w:rsidRDefault="000358C9" w:rsidP="000358C9">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301FEFEE"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89D0E6" w14:textId="54445846"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647CE0C5" w14:textId="77777777" w:rsidR="00376DF7" w:rsidRDefault="00376DF7" w:rsidP="00376DF7">
      <w:pPr>
        <w:spacing w:after="0" w:line="360" w:lineRule="auto"/>
        <w:ind w:firstLine="709"/>
        <w:jc w:val="both"/>
        <w:rPr>
          <w:rFonts w:ascii="Times New Roman" w:hAnsi="Times New Roman"/>
          <w:sz w:val="28"/>
          <w:szCs w:val="28"/>
          <w:lang w:val="uk-UA"/>
        </w:rPr>
      </w:pPr>
    </w:p>
    <w:p w14:paraId="5F8E7502" w14:textId="6E2A5302" w:rsidR="000358C9" w:rsidRDefault="001B46B9" w:rsidP="00376D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Наведені дані говорять про те, що у дітей з хронічним гінгівітом на тлі атопічних захворювань </w:t>
      </w:r>
      <w:r w:rsidRPr="002804DE">
        <w:rPr>
          <w:rFonts w:ascii="Times New Roman" w:hAnsi="Times New Roman"/>
          <w:sz w:val="28"/>
          <w:szCs w:val="28"/>
          <w:lang w:val="uk-UA"/>
        </w:rPr>
        <w:t>відзначається порушення прооксидантно-антиоксидантного балансу в ротовій рідині в сторону активізації процесів вільно-радикального окислення</w:t>
      </w:r>
      <w:r>
        <w:rPr>
          <w:rFonts w:ascii="Times New Roman" w:hAnsi="Times New Roman"/>
          <w:sz w:val="28"/>
          <w:szCs w:val="28"/>
          <w:lang w:val="uk-UA"/>
        </w:rPr>
        <w:t>. Проте результатом призначення місцевого та загального лікування є зниження рівня малонового диальдегіду з нормалізацією клінічних показників стану тканин пародонту, що свідчить про коректність обраної методики лікування. Оскільки через дванадцять місяців після лікування досягнутий результат залишався стабільним, доцільним є моніторінг клінічних та біохімічних показників та при їх зміні призначення повторного курсу лікування.</w:t>
      </w:r>
    </w:p>
    <w:p w14:paraId="3D2CDF83" w14:textId="2763EB2E" w:rsidR="001B46B9" w:rsidRDefault="001B46B9"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Пацієнтам другої групи без виражених клінічних ознак гінгівіту з атопічними захворюваннями після проведення комплексного клініко-лабораторного обстеження була призначена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профілактичних заходів, яка через шість місяців призвела до </w:t>
      </w:r>
      <w:r w:rsidR="001C0F33">
        <w:rPr>
          <w:rFonts w:ascii="Times New Roman" w:hAnsi="Times New Roman"/>
          <w:sz w:val="28"/>
          <w:szCs w:val="28"/>
          <w:lang w:val="uk-UA"/>
        </w:rPr>
        <w:t>зниження активності МДА до рівню 3.50</w:t>
      </w:r>
      <w:r w:rsidR="001C0F33">
        <w:rPr>
          <w:rFonts w:ascii="Times New Roman" w:hAnsi="Times New Roman" w:cs="Times New Roman"/>
          <w:sz w:val="28"/>
          <w:szCs w:val="28"/>
          <w:lang w:val="uk-UA"/>
        </w:rPr>
        <w:t>±</w:t>
      </w:r>
      <w:r w:rsidR="001C0F33" w:rsidRPr="00166C6D">
        <w:rPr>
          <w:rFonts w:ascii="Times New Roman" w:hAnsi="Times New Roman"/>
          <w:sz w:val="28"/>
          <w:szCs w:val="28"/>
          <w:lang w:val="uk-UA"/>
        </w:rPr>
        <w:t>0.62</w:t>
      </w:r>
      <w:r w:rsidR="001C0F33">
        <w:rPr>
          <w:rFonts w:ascii="Times New Roman" w:hAnsi="Times New Roman"/>
          <w:sz w:val="28"/>
          <w:szCs w:val="28"/>
          <w:lang w:val="uk-UA"/>
        </w:rPr>
        <w:t xml:space="preserve"> </w:t>
      </w:r>
      <w:r w:rsidR="001C0F33" w:rsidRPr="001B46B9">
        <w:rPr>
          <w:rFonts w:ascii="Times New Roman" w:hAnsi="Times New Roman"/>
          <w:sz w:val="28"/>
          <w:szCs w:val="28"/>
          <w:lang w:val="uk-UA"/>
        </w:rPr>
        <w:t>мкмоль/л</w:t>
      </w:r>
      <w:r w:rsidR="001C0F33">
        <w:rPr>
          <w:rFonts w:ascii="Times New Roman" w:hAnsi="Times New Roman"/>
          <w:sz w:val="28"/>
          <w:szCs w:val="28"/>
          <w:lang w:val="uk-UA"/>
        </w:rPr>
        <w:t xml:space="preserve"> та до рівню 3.37</w:t>
      </w:r>
      <w:r w:rsidR="001C0F33">
        <w:rPr>
          <w:rFonts w:ascii="Times New Roman" w:hAnsi="Times New Roman" w:cs="Times New Roman"/>
          <w:sz w:val="28"/>
          <w:szCs w:val="28"/>
          <w:lang w:val="uk-UA"/>
        </w:rPr>
        <w:t>±</w:t>
      </w:r>
      <w:r w:rsidR="001C0F33" w:rsidRPr="00166C6D">
        <w:rPr>
          <w:rFonts w:ascii="Times New Roman" w:hAnsi="Times New Roman"/>
          <w:sz w:val="28"/>
          <w:szCs w:val="28"/>
          <w:lang w:val="uk-UA"/>
        </w:rPr>
        <w:t>0.63</w:t>
      </w:r>
      <w:r w:rsidR="001C0F33">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1C0F33">
        <w:rPr>
          <w:rFonts w:ascii="Times New Roman" w:hAnsi="Times New Roman"/>
          <w:sz w:val="28"/>
          <w:szCs w:val="28"/>
          <w:lang w:val="uk-UA"/>
        </w:rPr>
        <w:t xml:space="preserve"> через дванадцять місяців. Достовірна різниця у початкових показниках та показниках МДА, зафіксованих через шість та дванадцять місяців говорить про відновлення функціонування антиоксидантної системи дітей з атопічними захворюваннями. Важливим є той факт, що, незважаючи на відсутність клінічної маніфестації хронічного гінгівіту, у даного контингенту дітей вже визначається порушення прооксидантно-антиоксидантного гомеостазу, а нормалізація одного з його маркерів у ротовій рідини свідчить про необхідність корекції антиоксидантної системи у дітей з атопічними захворюваннями навіть без характерних клінічних провів гінгівіту.</w:t>
      </w:r>
    </w:p>
    <w:p w14:paraId="4EA5551E" w14:textId="5DBA2F90" w:rsidR="001C0F33" w:rsidRDefault="001C0F33"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Завдяки проведеному дослідженню рівню МДА у дітей з хронічним гінгівітом на тлі атопічних захворювань при використанні традиційного лікування можна зробити висновок про необхідність включення у протокол лікування таких пацієнтів компонентів антиоксидантної корекції. Лікування пацієнтів третьої групи </w:t>
      </w:r>
      <w:r w:rsidR="00D57714">
        <w:rPr>
          <w:rFonts w:ascii="Times New Roman" w:hAnsi="Times New Roman"/>
          <w:sz w:val="28"/>
          <w:szCs w:val="28"/>
          <w:lang w:val="uk-UA"/>
        </w:rPr>
        <w:t>призвело до статистично значимого збільшення рівня МДА тільки у короткостроковому періоді спостережень (4.64</w:t>
      </w:r>
      <w:r w:rsidR="00D57714">
        <w:rPr>
          <w:rFonts w:ascii="Times New Roman" w:hAnsi="Times New Roman" w:cs="Times New Roman"/>
          <w:sz w:val="28"/>
          <w:szCs w:val="28"/>
          <w:lang w:val="uk-UA"/>
        </w:rPr>
        <w:t>±</w:t>
      </w:r>
      <w:r w:rsidR="00D57714" w:rsidRPr="00166C6D">
        <w:rPr>
          <w:rFonts w:ascii="Times New Roman" w:hAnsi="Times New Roman"/>
          <w:sz w:val="28"/>
          <w:szCs w:val="28"/>
          <w:lang w:val="uk-UA"/>
        </w:rPr>
        <w:t>0.70</w:t>
      </w:r>
      <w:r w:rsidR="00D57714">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D57714">
        <w:rPr>
          <w:rFonts w:ascii="Times New Roman" w:hAnsi="Times New Roman"/>
          <w:sz w:val="28"/>
          <w:szCs w:val="28"/>
          <w:lang w:val="uk-UA"/>
        </w:rPr>
        <w:t xml:space="preserve"> через шість місяців), проте через дванадцять місяців ми зафіксували зниження рівня МДА до рівня 5.00</w:t>
      </w:r>
      <w:r w:rsidR="00D57714">
        <w:rPr>
          <w:rFonts w:ascii="Times New Roman" w:hAnsi="Times New Roman" w:cs="Times New Roman"/>
          <w:sz w:val="28"/>
          <w:szCs w:val="28"/>
          <w:lang w:val="uk-UA"/>
        </w:rPr>
        <w:t>±</w:t>
      </w:r>
      <w:r w:rsidR="00D57714" w:rsidRPr="00166C6D">
        <w:rPr>
          <w:rFonts w:ascii="Times New Roman" w:hAnsi="Times New Roman"/>
          <w:sz w:val="28"/>
          <w:szCs w:val="28"/>
          <w:lang w:val="uk-UA"/>
        </w:rPr>
        <w:t>0.70</w:t>
      </w:r>
      <w:r w:rsidR="00D57714">
        <w:rPr>
          <w:rFonts w:ascii="Times New Roman" w:hAnsi="Times New Roman"/>
          <w:sz w:val="28"/>
          <w:szCs w:val="28"/>
          <w:lang w:val="uk-UA"/>
        </w:rPr>
        <w:t xml:space="preserve"> </w:t>
      </w:r>
      <w:r w:rsidR="00D57714" w:rsidRPr="001B46B9">
        <w:rPr>
          <w:rFonts w:ascii="Times New Roman" w:hAnsi="Times New Roman"/>
          <w:sz w:val="28"/>
          <w:szCs w:val="28"/>
          <w:lang w:val="uk-UA"/>
        </w:rPr>
        <w:t>мкмоль/л</w:t>
      </w:r>
      <w:r w:rsidR="00D57714">
        <w:rPr>
          <w:rFonts w:ascii="Times New Roman" w:hAnsi="Times New Roman"/>
          <w:sz w:val="28"/>
          <w:szCs w:val="28"/>
          <w:lang w:val="uk-UA"/>
        </w:rPr>
        <w:t>, у порівнянні з початковим рівнем достовірна різниця відсутня. При порівнянні рівня МДА з групою контролю ми спостерігали достовірну різницю у показниках, що підтверджує факт впливу атопічних захворювань на стан антиоксидантної системи дітей даної групи.</w:t>
      </w:r>
    </w:p>
    <w:p w14:paraId="616AEAAF" w14:textId="291AE946" w:rsidR="00D57714" w:rsidRDefault="006275CF"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оцінюванні рівню МДА у четвертій групі пацієнтів, де була застосована традиційна методика профілактики </w:t>
      </w:r>
      <w:r w:rsidR="00F86FB8">
        <w:rPr>
          <w:rFonts w:ascii="Times New Roman" w:hAnsi="Times New Roman"/>
          <w:sz w:val="28"/>
          <w:szCs w:val="28"/>
          <w:lang w:val="uk-UA"/>
        </w:rPr>
        <w:t xml:space="preserve">захворювань тканин пародонту, ми встановили підвищення рівню МДА на протязі всього строку спостережень. На початку дослідження до проведення профілактичних заходів рівень МДА дорівнював </w:t>
      </w:r>
      <w:r w:rsidR="00F86FB8" w:rsidRPr="00166C6D">
        <w:rPr>
          <w:rFonts w:ascii="Times New Roman" w:hAnsi="Times New Roman"/>
          <w:sz w:val="28"/>
          <w:szCs w:val="28"/>
          <w:lang w:val="uk-UA"/>
        </w:rPr>
        <w:t>5.73</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0.78</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через шість місяців 5.02</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0.90</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через дванадцять місяців 5.20</w:t>
      </w:r>
      <w:r w:rsidR="00F86FB8">
        <w:rPr>
          <w:rFonts w:ascii="Times New Roman" w:hAnsi="Times New Roman" w:cs="Times New Roman"/>
          <w:sz w:val="28"/>
          <w:szCs w:val="28"/>
          <w:lang w:val="uk-UA"/>
        </w:rPr>
        <w:t>±</w:t>
      </w:r>
      <w:r w:rsidR="00F86FB8" w:rsidRPr="00166C6D">
        <w:rPr>
          <w:rFonts w:ascii="Times New Roman" w:hAnsi="Times New Roman"/>
          <w:sz w:val="28"/>
          <w:szCs w:val="28"/>
          <w:lang w:val="uk-UA"/>
        </w:rPr>
        <w:t>0.69</w:t>
      </w:r>
      <w:r w:rsidR="00F86FB8">
        <w:rPr>
          <w:rFonts w:ascii="Times New Roman" w:hAnsi="Times New Roman"/>
          <w:sz w:val="28"/>
          <w:szCs w:val="28"/>
          <w:lang w:val="uk-UA"/>
        </w:rPr>
        <w:t xml:space="preserve"> </w:t>
      </w:r>
      <w:r w:rsidR="00F86FB8" w:rsidRPr="001B46B9">
        <w:rPr>
          <w:rFonts w:ascii="Times New Roman" w:hAnsi="Times New Roman"/>
          <w:sz w:val="28"/>
          <w:szCs w:val="28"/>
          <w:lang w:val="uk-UA"/>
        </w:rPr>
        <w:t>мкмоль/л</w:t>
      </w:r>
      <w:r w:rsidR="00F86FB8">
        <w:rPr>
          <w:rFonts w:ascii="Times New Roman" w:hAnsi="Times New Roman"/>
          <w:sz w:val="28"/>
          <w:szCs w:val="28"/>
          <w:lang w:val="uk-UA"/>
        </w:rPr>
        <w:t>. Враховуючи той факт, що статистично значимої різниці у показниках активності МДА ми не спостерігали, можна зробити висновок, що традиційний підхід до профілактики захворювань пародонту у дітей з атопічними захворюваннями без таргетного впливу на слабкі місця у патогенезі гінгівіту не призводить до бажаних змін. Необхідність корекції антиоксидантного статусу у дітей з атопічними захворюваннями навіть без симптомів гінгівіту підтверджується тим фактом, що незважаючи на традиційні профілактичні заходи, через дванадцять місяців ми спостерігали розвиток патологічних процесів у тканинах пародонту, що було зафіксовано згідно з індексною оцінкою тканин пародонту та клінічному обстеженню.</w:t>
      </w:r>
    </w:p>
    <w:p w14:paraId="015B5D67" w14:textId="14EF8D35" w:rsidR="00F86FB8" w:rsidRDefault="002D46F9" w:rsidP="000358C9">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Отже, </w:t>
      </w:r>
      <w:r>
        <w:rPr>
          <w:rFonts w:ascii="Times New Roman" w:hAnsi="Times New Roman"/>
          <w:sz w:val="28"/>
          <w:szCs w:val="28"/>
          <w:lang w:val="uk-UA"/>
        </w:rPr>
        <w:t>у першій, другій, третій та четвертій</w:t>
      </w:r>
      <w:r w:rsidRPr="002804DE">
        <w:rPr>
          <w:rFonts w:ascii="Times New Roman" w:hAnsi="Times New Roman"/>
          <w:sz w:val="28"/>
          <w:szCs w:val="28"/>
          <w:lang w:val="uk-UA"/>
        </w:rPr>
        <w:t xml:space="preserve"> групах пацієнтів при клінічн</w:t>
      </w:r>
      <w:r>
        <w:rPr>
          <w:rFonts w:ascii="Times New Roman" w:hAnsi="Times New Roman"/>
          <w:sz w:val="28"/>
          <w:szCs w:val="28"/>
          <w:lang w:val="uk-UA"/>
        </w:rPr>
        <w:t>о інтактних тканинах пародонта, а також</w:t>
      </w:r>
      <w:r w:rsidRPr="002804DE">
        <w:rPr>
          <w:rFonts w:ascii="Times New Roman" w:hAnsi="Times New Roman"/>
          <w:sz w:val="28"/>
          <w:szCs w:val="28"/>
          <w:lang w:val="uk-UA"/>
        </w:rPr>
        <w:t xml:space="preserve"> при наявності гінгівіту відзначається порушення прооксидантно-антиоксидантного балансу в ротовій рідині в сторону активізації процесів вільно-радикального окислення. При цьому особливої уваги заслуговує той факт, що на тлі зростання концентрації МДА не відбувається адекватної відповіді з боку ферментативної і неферментативної ланок антиоксидантного захисту, що свідчить про втрату надійності функціонування саме цієї системи</w:t>
      </w:r>
      <w:r>
        <w:rPr>
          <w:rFonts w:ascii="Times New Roman" w:hAnsi="Times New Roman"/>
          <w:sz w:val="28"/>
          <w:szCs w:val="28"/>
          <w:lang w:val="uk-UA"/>
        </w:rPr>
        <w:t>.</w:t>
      </w:r>
    </w:p>
    <w:p w14:paraId="6EB9E493" w14:textId="1BE7FF2F" w:rsidR="00B411CE" w:rsidRPr="008B1CBA" w:rsidRDefault="00147416" w:rsidP="00A448F8">
      <w:pPr>
        <w:spacing w:after="0" w:line="360" w:lineRule="auto"/>
        <w:ind w:firstLine="709"/>
        <w:jc w:val="both"/>
        <w:rPr>
          <w:rFonts w:ascii="Times New Roman" w:hAnsi="Times New Roman"/>
          <w:sz w:val="28"/>
          <w:szCs w:val="28"/>
          <w:lang w:val="ru-RU"/>
        </w:rPr>
      </w:pPr>
      <w:r>
        <w:rPr>
          <w:rFonts w:ascii="Times New Roman" w:hAnsi="Times New Roman"/>
          <w:sz w:val="28"/>
          <w:szCs w:val="28"/>
          <w:lang w:val="uk-UA"/>
        </w:rPr>
        <w:t>Для здійснення комплексного аналізу антиоксидантного статусу дітей, хворих на атопічні захворювання, був здійснений аналіз ферментативних та неферментативних ланок антиоксидантної системи. Поряд з іншими показниками була також визначена активність супероксиддисмутази</w:t>
      </w:r>
      <w:r w:rsidR="00B42A52">
        <w:rPr>
          <w:rFonts w:ascii="Times New Roman" w:hAnsi="Times New Roman"/>
          <w:sz w:val="28"/>
          <w:szCs w:val="28"/>
          <w:lang w:val="uk-UA"/>
        </w:rPr>
        <w:t xml:space="preserve"> (СОД)</w:t>
      </w:r>
      <w:r>
        <w:rPr>
          <w:rFonts w:ascii="Times New Roman" w:hAnsi="Times New Roman"/>
          <w:sz w:val="28"/>
          <w:szCs w:val="28"/>
          <w:lang w:val="uk-UA"/>
        </w:rPr>
        <w:t xml:space="preserve">. Отримані </w:t>
      </w:r>
      <w:r w:rsidR="00FB72F7">
        <w:rPr>
          <w:rFonts w:ascii="Times New Roman" w:hAnsi="Times New Roman"/>
          <w:sz w:val="28"/>
          <w:szCs w:val="28"/>
          <w:lang w:val="uk-UA"/>
        </w:rPr>
        <w:t>дані наведені у таблиці 5</w:t>
      </w:r>
      <w:r w:rsidR="00B42A52">
        <w:rPr>
          <w:rFonts w:ascii="Times New Roman" w:hAnsi="Times New Roman"/>
          <w:sz w:val="28"/>
          <w:szCs w:val="28"/>
          <w:lang w:val="uk-UA"/>
        </w:rPr>
        <w:t xml:space="preserve">.3. </w:t>
      </w:r>
    </w:p>
    <w:p w14:paraId="6F11842E" w14:textId="66E14229" w:rsidR="00B42A52" w:rsidRDefault="00FB72F7" w:rsidP="00B42A52">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5</w:t>
      </w:r>
      <w:r w:rsidR="00B42A52">
        <w:rPr>
          <w:rFonts w:ascii="Times New Roman" w:hAnsi="Times New Roman"/>
          <w:sz w:val="28"/>
          <w:szCs w:val="28"/>
          <w:lang w:val="uk-UA"/>
        </w:rPr>
        <w:t>.3</w:t>
      </w:r>
    </w:p>
    <w:p w14:paraId="04D8165D" w14:textId="07FE4681" w:rsidR="00B42A52" w:rsidRDefault="00B42A52" w:rsidP="00E45A7E">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Характеристика активності супероксиддисмутази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B42A52" w:rsidRPr="00B42A52" w14:paraId="618A359D" w14:textId="77777777" w:rsidTr="006079DD">
        <w:trPr>
          <w:trHeight w:val="471"/>
          <w:jc w:val="center"/>
        </w:trPr>
        <w:tc>
          <w:tcPr>
            <w:tcW w:w="1838" w:type="dxa"/>
            <w:vMerge w:val="restart"/>
            <w:shd w:val="clear" w:color="auto" w:fill="auto"/>
          </w:tcPr>
          <w:p w14:paraId="40E3888C" w14:textId="77777777" w:rsidR="00B42A52" w:rsidRPr="002804DE" w:rsidRDefault="00B42A52" w:rsidP="006079DD">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73FA39D9" w14:textId="1D2289B0" w:rsidR="00B42A52" w:rsidRPr="00014A22" w:rsidRDefault="00B42A52" w:rsidP="00B42A5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СОД, у.о.</w:t>
            </w:r>
            <w:r w:rsidRPr="001B46B9">
              <w:rPr>
                <w:rFonts w:ascii="Times New Roman" w:hAnsi="Times New Roman"/>
                <w:sz w:val="28"/>
                <w:szCs w:val="28"/>
                <w:lang w:val="uk-UA"/>
              </w:rPr>
              <w:t>/л</w:t>
            </w:r>
          </w:p>
        </w:tc>
      </w:tr>
      <w:tr w:rsidR="00B42A52" w:rsidRPr="00B42A52" w14:paraId="2B15BC8E" w14:textId="77777777" w:rsidTr="006079DD">
        <w:trPr>
          <w:trHeight w:val="486"/>
          <w:jc w:val="center"/>
        </w:trPr>
        <w:tc>
          <w:tcPr>
            <w:tcW w:w="1838" w:type="dxa"/>
            <w:vMerge/>
            <w:shd w:val="clear" w:color="auto" w:fill="auto"/>
          </w:tcPr>
          <w:p w14:paraId="0E37A493" w14:textId="77777777" w:rsidR="00B42A52" w:rsidRPr="002804DE" w:rsidRDefault="00B42A52" w:rsidP="006079DD">
            <w:pPr>
              <w:spacing w:after="0" w:line="360" w:lineRule="auto"/>
              <w:ind w:hanging="5"/>
              <w:jc w:val="center"/>
              <w:rPr>
                <w:rFonts w:ascii="Times New Roman" w:hAnsi="Times New Roman"/>
                <w:sz w:val="28"/>
                <w:szCs w:val="28"/>
                <w:lang w:val="uk-UA"/>
              </w:rPr>
            </w:pPr>
          </w:p>
        </w:tc>
        <w:tc>
          <w:tcPr>
            <w:tcW w:w="1418" w:type="dxa"/>
            <w:shd w:val="clear" w:color="auto" w:fill="auto"/>
          </w:tcPr>
          <w:p w14:paraId="07B15B65" w14:textId="77777777" w:rsidR="00B42A52" w:rsidRPr="002804DE" w:rsidRDefault="00B42A52" w:rsidP="006079DD">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sidRPr="00B42A52">
              <w:rPr>
                <w:rFonts w:ascii="Times New Roman" w:hAnsi="Times New Roman"/>
                <w:sz w:val="28"/>
                <w:szCs w:val="28"/>
                <w:lang w:val="uk-UA"/>
              </w:rPr>
              <w:t>=76</w:t>
            </w:r>
            <w:r w:rsidRPr="002804DE">
              <w:rPr>
                <w:rFonts w:ascii="Times New Roman" w:hAnsi="Times New Roman"/>
                <w:sz w:val="28"/>
                <w:szCs w:val="28"/>
                <w:lang w:val="uk-UA"/>
              </w:rPr>
              <w:t>)</w:t>
            </w:r>
          </w:p>
        </w:tc>
        <w:tc>
          <w:tcPr>
            <w:tcW w:w="1417" w:type="dxa"/>
            <w:shd w:val="clear" w:color="auto" w:fill="auto"/>
          </w:tcPr>
          <w:p w14:paraId="3A0BE9D0" w14:textId="77777777" w:rsidR="00B42A52" w:rsidRPr="002804DE" w:rsidRDefault="00B42A52" w:rsidP="006079DD">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615AC46" w14:textId="77777777" w:rsidR="00B42A52" w:rsidRPr="002804DE" w:rsidRDefault="00B42A52" w:rsidP="006079DD">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387EDFDC" w14:textId="77777777" w:rsidR="00B42A52" w:rsidRPr="002804DE" w:rsidRDefault="00B42A52"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765EBA15" w14:textId="77777777" w:rsidR="00B42A52" w:rsidRPr="002804DE" w:rsidRDefault="00B42A52" w:rsidP="006079DD">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B42A52" w:rsidRPr="00043875" w14:paraId="1A39BA15" w14:textId="77777777" w:rsidTr="006079DD">
        <w:trPr>
          <w:trHeight w:val="429"/>
          <w:jc w:val="center"/>
        </w:trPr>
        <w:tc>
          <w:tcPr>
            <w:tcW w:w="1838" w:type="dxa"/>
            <w:shd w:val="clear" w:color="auto" w:fill="auto"/>
          </w:tcPr>
          <w:p w14:paraId="7BEF500D" w14:textId="77777777" w:rsidR="00B42A52" w:rsidRPr="002804DE" w:rsidRDefault="00B42A52" w:rsidP="006079DD">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26DEF2F8" w14:textId="7628A407"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3.30</w:t>
            </w:r>
            <w:r>
              <w:rPr>
                <w:rFonts w:ascii="Times New Roman" w:hAnsi="Times New Roman" w:cs="Times New Roman"/>
                <w:sz w:val="28"/>
                <w:szCs w:val="28"/>
                <w:lang w:val="uk-UA"/>
              </w:rPr>
              <w:t>±</w:t>
            </w:r>
            <w:r w:rsidRPr="00B42A52">
              <w:rPr>
                <w:rFonts w:ascii="Times New Roman" w:hAnsi="Times New Roman"/>
                <w:sz w:val="28"/>
                <w:szCs w:val="28"/>
                <w:lang w:val="uk-UA"/>
              </w:rPr>
              <w:t>0.41</w:t>
            </w:r>
          </w:p>
        </w:tc>
        <w:tc>
          <w:tcPr>
            <w:tcW w:w="1417" w:type="dxa"/>
            <w:shd w:val="clear" w:color="auto" w:fill="auto"/>
          </w:tcPr>
          <w:p w14:paraId="521BCB77" w14:textId="3CB2B5C1"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3.27</w:t>
            </w:r>
            <w:r>
              <w:rPr>
                <w:rFonts w:ascii="Times New Roman" w:hAnsi="Times New Roman" w:cs="Times New Roman"/>
                <w:sz w:val="28"/>
                <w:szCs w:val="28"/>
                <w:lang w:val="uk-UA"/>
              </w:rPr>
              <w:t>±</w:t>
            </w:r>
            <w:r w:rsidR="00B42A52" w:rsidRPr="00B42A52">
              <w:rPr>
                <w:rFonts w:ascii="Times New Roman" w:hAnsi="Times New Roman"/>
                <w:sz w:val="28"/>
                <w:szCs w:val="28"/>
                <w:lang w:val="uk-UA"/>
              </w:rPr>
              <w:t>0.40</w:t>
            </w:r>
          </w:p>
        </w:tc>
        <w:tc>
          <w:tcPr>
            <w:tcW w:w="1559" w:type="dxa"/>
            <w:shd w:val="clear" w:color="auto" w:fill="auto"/>
          </w:tcPr>
          <w:p w14:paraId="0F5976FD" w14:textId="4C6DF444"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3.26</w:t>
            </w:r>
            <w:r>
              <w:rPr>
                <w:rFonts w:ascii="Times New Roman" w:hAnsi="Times New Roman" w:cs="Times New Roman"/>
                <w:sz w:val="28"/>
                <w:szCs w:val="28"/>
                <w:lang w:val="uk-UA"/>
              </w:rPr>
              <w:t>±</w:t>
            </w:r>
            <w:r w:rsidR="00B42A52" w:rsidRPr="00B42A52">
              <w:rPr>
                <w:rFonts w:ascii="Times New Roman" w:hAnsi="Times New Roman"/>
                <w:sz w:val="28"/>
                <w:szCs w:val="28"/>
                <w:lang w:val="uk-UA"/>
              </w:rPr>
              <w:t>0.44</w:t>
            </w:r>
          </w:p>
        </w:tc>
        <w:tc>
          <w:tcPr>
            <w:tcW w:w="1570" w:type="dxa"/>
            <w:shd w:val="clear" w:color="auto" w:fill="auto"/>
          </w:tcPr>
          <w:p w14:paraId="76368AD1" w14:textId="584E626A"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3.30</w:t>
            </w:r>
            <w:r>
              <w:rPr>
                <w:rFonts w:ascii="Times New Roman" w:hAnsi="Times New Roman" w:cs="Times New Roman"/>
                <w:sz w:val="28"/>
                <w:szCs w:val="28"/>
                <w:lang w:val="uk-UA"/>
              </w:rPr>
              <w:t>±</w:t>
            </w:r>
            <w:r w:rsidR="00B42A52" w:rsidRPr="00B42A52">
              <w:rPr>
                <w:rFonts w:ascii="Times New Roman" w:hAnsi="Times New Roman"/>
                <w:sz w:val="28"/>
                <w:szCs w:val="28"/>
                <w:lang w:val="uk-UA"/>
              </w:rPr>
              <w:t>0.39</w:t>
            </w:r>
          </w:p>
        </w:tc>
        <w:tc>
          <w:tcPr>
            <w:tcW w:w="1483" w:type="dxa"/>
            <w:shd w:val="clear" w:color="auto" w:fill="auto"/>
          </w:tcPr>
          <w:p w14:paraId="25787BFF" w14:textId="0CBE8A55" w:rsidR="00B42A52" w:rsidRPr="00307B1F"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5.26</w:t>
            </w:r>
            <w:r>
              <w:rPr>
                <w:rFonts w:ascii="Times New Roman" w:hAnsi="Times New Roman" w:cs="Times New Roman"/>
                <w:sz w:val="28"/>
                <w:szCs w:val="28"/>
                <w:lang w:val="uk-UA"/>
              </w:rPr>
              <w:t>±</w:t>
            </w:r>
            <w:r w:rsidR="00B42A52" w:rsidRPr="00B42A52">
              <w:rPr>
                <w:rFonts w:ascii="Times New Roman" w:hAnsi="Times New Roman"/>
                <w:sz w:val="28"/>
                <w:szCs w:val="28"/>
                <w:lang w:val="uk-UA"/>
              </w:rPr>
              <w:t>0.57</w:t>
            </w:r>
          </w:p>
        </w:tc>
      </w:tr>
      <w:tr w:rsidR="00B42A52" w:rsidRPr="00043875" w14:paraId="7D5AE5F2" w14:textId="77777777" w:rsidTr="006079DD">
        <w:trPr>
          <w:trHeight w:val="427"/>
          <w:jc w:val="center"/>
        </w:trPr>
        <w:tc>
          <w:tcPr>
            <w:tcW w:w="1838" w:type="dxa"/>
            <w:shd w:val="clear" w:color="auto" w:fill="auto"/>
          </w:tcPr>
          <w:p w14:paraId="33A4864E" w14:textId="77777777" w:rsidR="00B42A52" w:rsidRPr="002804DE" w:rsidRDefault="00B42A52" w:rsidP="006079DD">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49C12D89" w14:textId="2655F0AD"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5.72</w:t>
            </w:r>
            <w:r>
              <w:rPr>
                <w:rFonts w:ascii="Times New Roman" w:hAnsi="Times New Roman" w:cs="Times New Roman"/>
                <w:sz w:val="28"/>
                <w:szCs w:val="28"/>
                <w:lang w:val="uk-UA"/>
              </w:rPr>
              <w:t>±</w:t>
            </w:r>
            <w:r w:rsidRPr="00B42A52">
              <w:rPr>
                <w:rFonts w:ascii="Times New Roman" w:hAnsi="Times New Roman"/>
                <w:sz w:val="28"/>
                <w:szCs w:val="28"/>
                <w:lang w:val="uk-UA"/>
              </w:rPr>
              <w:t>0.79</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12FCBA63" w14:textId="4A7CE9A5"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5.63</w:t>
            </w:r>
            <w:r>
              <w:rPr>
                <w:rFonts w:ascii="Times New Roman" w:hAnsi="Times New Roman" w:cs="Times New Roman"/>
                <w:sz w:val="28"/>
                <w:szCs w:val="28"/>
                <w:lang w:val="uk-UA"/>
              </w:rPr>
              <w:t>±</w:t>
            </w:r>
            <w:r w:rsidR="00B42A52" w:rsidRPr="00B42A52">
              <w:rPr>
                <w:rFonts w:ascii="Times New Roman" w:hAnsi="Times New Roman"/>
                <w:sz w:val="28"/>
                <w:szCs w:val="28"/>
                <w:lang w:val="uk-UA"/>
              </w:rPr>
              <w:t>0.67</w:t>
            </w:r>
            <w:r w:rsidR="00B42A52"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048724BC" w14:textId="189A6600"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3.23</w:t>
            </w:r>
            <w:r>
              <w:rPr>
                <w:rFonts w:ascii="Times New Roman" w:hAnsi="Times New Roman" w:cs="Times New Roman"/>
                <w:sz w:val="28"/>
                <w:szCs w:val="28"/>
                <w:lang w:val="uk-UA"/>
              </w:rPr>
              <w:t>±</w:t>
            </w:r>
            <w:r w:rsidR="00B42A52" w:rsidRPr="00B42A52">
              <w:rPr>
                <w:rFonts w:ascii="Times New Roman" w:hAnsi="Times New Roman"/>
                <w:sz w:val="28"/>
                <w:szCs w:val="28"/>
                <w:lang w:val="uk-UA"/>
              </w:rPr>
              <w:t>0.60</w:t>
            </w:r>
            <w:r w:rsidR="00B42A52">
              <w:rPr>
                <w:rFonts w:ascii="Times New Roman" w:hAnsi="Times New Roman"/>
                <w:sz w:val="28"/>
                <w:szCs w:val="28"/>
                <w:lang w:val="uk-UA"/>
              </w:rPr>
              <w:t>*</w:t>
            </w:r>
          </w:p>
        </w:tc>
        <w:tc>
          <w:tcPr>
            <w:tcW w:w="1570" w:type="dxa"/>
            <w:shd w:val="clear" w:color="auto" w:fill="auto"/>
          </w:tcPr>
          <w:p w14:paraId="4F98FFB0" w14:textId="19F40DA8"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3.06</w:t>
            </w:r>
            <w:r>
              <w:rPr>
                <w:rFonts w:ascii="Times New Roman" w:hAnsi="Times New Roman" w:cs="Times New Roman"/>
                <w:sz w:val="28"/>
                <w:szCs w:val="28"/>
                <w:lang w:val="uk-UA"/>
              </w:rPr>
              <w:t>±</w:t>
            </w:r>
            <w:r w:rsidR="00B42A52" w:rsidRPr="00B42A52">
              <w:rPr>
                <w:rFonts w:ascii="Times New Roman" w:hAnsi="Times New Roman"/>
                <w:sz w:val="28"/>
                <w:szCs w:val="28"/>
                <w:lang w:val="uk-UA"/>
              </w:rPr>
              <w:t>0.45</w:t>
            </w:r>
          </w:p>
        </w:tc>
        <w:tc>
          <w:tcPr>
            <w:tcW w:w="1483" w:type="dxa"/>
            <w:shd w:val="clear" w:color="auto" w:fill="auto"/>
          </w:tcPr>
          <w:p w14:paraId="3B95D00A" w14:textId="5D747EBB"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5.53</w:t>
            </w:r>
            <w:r>
              <w:rPr>
                <w:rFonts w:ascii="Times New Roman" w:hAnsi="Times New Roman" w:cs="Times New Roman"/>
                <w:sz w:val="28"/>
                <w:szCs w:val="28"/>
                <w:lang w:val="uk-UA"/>
              </w:rPr>
              <w:t>±</w:t>
            </w:r>
            <w:r w:rsidR="00B42A52" w:rsidRPr="00B42A52">
              <w:rPr>
                <w:rFonts w:ascii="Times New Roman" w:hAnsi="Times New Roman"/>
                <w:sz w:val="28"/>
                <w:szCs w:val="28"/>
                <w:lang w:val="uk-UA"/>
              </w:rPr>
              <w:t>0.60</w:t>
            </w:r>
          </w:p>
        </w:tc>
      </w:tr>
      <w:tr w:rsidR="00B42A52" w:rsidRPr="002804DE" w14:paraId="4E772EDA" w14:textId="77777777" w:rsidTr="006079DD">
        <w:trPr>
          <w:trHeight w:val="577"/>
          <w:jc w:val="center"/>
        </w:trPr>
        <w:tc>
          <w:tcPr>
            <w:tcW w:w="1838" w:type="dxa"/>
            <w:shd w:val="clear" w:color="auto" w:fill="auto"/>
          </w:tcPr>
          <w:p w14:paraId="23347EB6" w14:textId="77777777" w:rsidR="00B42A52" w:rsidRPr="002804DE" w:rsidRDefault="00B42A52" w:rsidP="006079DD">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2FEDC118" w14:textId="63C8B85F" w:rsidR="00B42A52" w:rsidRPr="002804DE" w:rsidRDefault="00B42A52" w:rsidP="00B42A52">
            <w:pPr>
              <w:spacing w:after="0" w:line="360" w:lineRule="auto"/>
              <w:rPr>
                <w:rFonts w:ascii="Times New Roman" w:hAnsi="Times New Roman"/>
                <w:sz w:val="28"/>
                <w:szCs w:val="28"/>
                <w:lang w:val="uk-UA"/>
              </w:rPr>
            </w:pPr>
            <w:r>
              <w:rPr>
                <w:rFonts w:ascii="Times New Roman" w:hAnsi="Times New Roman"/>
                <w:sz w:val="28"/>
                <w:szCs w:val="28"/>
                <w:lang w:val="uk-UA"/>
              </w:rPr>
              <w:t>5.86</w:t>
            </w:r>
            <w:r>
              <w:rPr>
                <w:rFonts w:ascii="Times New Roman" w:hAnsi="Times New Roman" w:cs="Times New Roman"/>
                <w:sz w:val="28"/>
                <w:szCs w:val="28"/>
                <w:lang w:val="uk-UA"/>
              </w:rPr>
              <w:t>±</w:t>
            </w:r>
            <w:r w:rsidRPr="00B42A52">
              <w:rPr>
                <w:rFonts w:ascii="Times New Roman" w:hAnsi="Times New Roman"/>
                <w:sz w:val="28"/>
                <w:szCs w:val="28"/>
                <w:lang w:val="uk-UA"/>
              </w:rPr>
              <w:t>0.64</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4F15794E" w14:textId="351C309D"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6.01</w:t>
            </w:r>
            <w:r>
              <w:rPr>
                <w:rFonts w:ascii="Times New Roman" w:hAnsi="Times New Roman" w:cs="Times New Roman"/>
                <w:sz w:val="28"/>
                <w:szCs w:val="28"/>
                <w:lang w:val="uk-UA"/>
              </w:rPr>
              <w:t>±</w:t>
            </w:r>
            <w:r w:rsidR="00B42A52" w:rsidRPr="00B42A52">
              <w:rPr>
                <w:rFonts w:ascii="Times New Roman" w:hAnsi="Times New Roman"/>
                <w:sz w:val="28"/>
                <w:szCs w:val="28"/>
                <w:lang w:val="uk-UA"/>
              </w:rPr>
              <w:t>0.73</w:t>
            </w:r>
            <w:r w:rsidR="00B42A52"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05DB7909" w14:textId="3AB66CE8"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3.29</w:t>
            </w:r>
            <w:r>
              <w:rPr>
                <w:rFonts w:ascii="Times New Roman" w:hAnsi="Times New Roman" w:cs="Times New Roman"/>
                <w:sz w:val="28"/>
                <w:szCs w:val="28"/>
                <w:lang w:val="uk-UA"/>
              </w:rPr>
              <w:t>±</w:t>
            </w:r>
            <w:r w:rsidR="00B42A52" w:rsidRPr="00B42A52">
              <w:rPr>
                <w:rFonts w:ascii="Times New Roman" w:hAnsi="Times New Roman"/>
                <w:sz w:val="28"/>
                <w:szCs w:val="28"/>
                <w:lang w:val="uk-UA"/>
              </w:rPr>
              <w:t>0.59</w:t>
            </w:r>
          </w:p>
        </w:tc>
        <w:tc>
          <w:tcPr>
            <w:tcW w:w="1570" w:type="dxa"/>
            <w:shd w:val="clear" w:color="auto" w:fill="auto"/>
          </w:tcPr>
          <w:p w14:paraId="4FBEFDA0" w14:textId="6589C2CC"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3.44</w:t>
            </w:r>
            <w:r>
              <w:rPr>
                <w:rFonts w:ascii="Times New Roman" w:hAnsi="Times New Roman" w:cs="Times New Roman"/>
                <w:sz w:val="28"/>
                <w:szCs w:val="28"/>
                <w:lang w:val="uk-UA"/>
              </w:rPr>
              <w:t>±</w:t>
            </w:r>
            <w:r w:rsidR="00B42A52" w:rsidRPr="00B42A52">
              <w:rPr>
                <w:rFonts w:ascii="Times New Roman" w:hAnsi="Times New Roman"/>
                <w:sz w:val="28"/>
                <w:szCs w:val="28"/>
                <w:lang w:val="uk-UA"/>
              </w:rPr>
              <w:t>0.59</w:t>
            </w:r>
          </w:p>
        </w:tc>
        <w:tc>
          <w:tcPr>
            <w:tcW w:w="1483" w:type="dxa"/>
            <w:shd w:val="clear" w:color="auto" w:fill="auto"/>
          </w:tcPr>
          <w:p w14:paraId="6D14B52B" w14:textId="6D892F60" w:rsidR="00B42A52" w:rsidRPr="002804DE" w:rsidRDefault="00370AAC" w:rsidP="00370AAC">
            <w:pPr>
              <w:spacing w:after="0" w:line="360" w:lineRule="auto"/>
              <w:jc w:val="center"/>
              <w:rPr>
                <w:rFonts w:ascii="Times New Roman" w:hAnsi="Times New Roman"/>
                <w:sz w:val="28"/>
                <w:szCs w:val="28"/>
                <w:lang w:val="uk-UA"/>
              </w:rPr>
            </w:pPr>
            <w:r>
              <w:rPr>
                <w:rFonts w:ascii="Times New Roman" w:hAnsi="Times New Roman"/>
                <w:sz w:val="28"/>
                <w:szCs w:val="28"/>
                <w:lang w:val="uk-UA"/>
              </w:rPr>
              <w:t>5.51</w:t>
            </w:r>
            <w:r>
              <w:rPr>
                <w:rFonts w:ascii="Times New Roman" w:hAnsi="Times New Roman" w:cs="Times New Roman"/>
                <w:sz w:val="28"/>
                <w:szCs w:val="28"/>
                <w:lang w:val="uk-UA"/>
              </w:rPr>
              <w:t>±</w:t>
            </w:r>
            <w:r w:rsidR="00B42A52" w:rsidRPr="00B42A52">
              <w:rPr>
                <w:rFonts w:ascii="Times New Roman" w:hAnsi="Times New Roman"/>
                <w:sz w:val="28"/>
                <w:szCs w:val="28"/>
                <w:lang w:val="uk-UA"/>
              </w:rPr>
              <w:t>0.73</w:t>
            </w:r>
          </w:p>
        </w:tc>
      </w:tr>
    </w:tbl>
    <w:p w14:paraId="530F2B55" w14:textId="4D4D4154" w:rsidR="00B42A52" w:rsidRDefault="00B42A52" w:rsidP="00B42A52">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02B4F3A"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5C7E1B9" w14:textId="188B0F75" w:rsidR="00376DF7" w:rsidRPr="00147416"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2C26C143" w14:textId="1C56C17A" w:rsidR="00147416" w:rsidRDefault="00370AAC"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початкового рівня активності СОД</w:t>
      </w:r>
      <w:r w:rsidR="00BF6D2D">
        <w:rPr>
          <w:rFonts w:ascii="Times New Roman" w:hAnsi="Times New Roman"/>
          <w:sz w:val="28"/>
          <w:szCs w:val="28"/>
          <w:lang w:val="uk-UA"/>
        </w:rPr>
        <w:t xml:space="preserve"> демонструє зниження активності СОД у першій, другій, третій та четвертій групах. Динаміка спостережень показує зростання активності СОД у першій та другій</w:t>
      </w:r>
      <w:r w:rsidR="006079DD">
        <w:rPr>
          <w:rFonts w:ascii="Times New Roman" w:hAnsi="Times New Roman"/>
          <w:sz w:val="28"/>
          <w:szCs w:val="28"/>
          <w:lang w:val="uk-UA"/>
        </w:rPr>
        <w:t xml:space="preserve"> групах</w:t>
      </w:r>
      <w:r w:rsidR="00BF6D2D">
        <w:rPr>
          <w:rFonts w:ascii="Times New Roman" w:hAnsi="Times New Roman"/>
          <w:sz w:val="28"/>
          <w:szCs w:val="28"/>
          <w:lang w:val="uk-UA"/>
        </w:rPr>
        <w:t xml:space="preserve">. </w:t>
      </w:r>
    </w:p>
    <w:p w14:paraId="4ECD118A" w14:textId="6FDC3AEE" w:rsidR="00147416" w:rsidRDefault="007370B5"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Вже починаючи з шостого місяця спостережень, ми спостерігали достовірну різницю у показниках різних груп. Так, у першій групі пацієнтів відбулося статистично значиме збільшення показників у </w:t>
      </w:r>
      <w:r w:rsidR="00A42232">
        <w:rPr>
          <w:rFonts w:ascii="Times New Roman" w:hAnsi="Times New Roman"/>
          <w:sz w:val="28"/>
          <w:szCs w:val="28"/>
          <w:lang w:val="uk-UA"/>
        </w:rPr>
        <w:t xml:space="preserve">1,73 </w:t>
      </w:r>
      <w:r w:rsidR="006C1C8D">
        <w:rPr>
          <w:rFonts w:ascii="Times New Roman" w:hAnsi="Times New Roman"/>
          <w:sz w:val="28"/>
          <w:szCs w:val="28"/>
          <w:lang w:val="uk-UA"/>
        </w:rPr>
        <w:t>рази і склала 5.72</w:t>
      </w:r>
      <w:r w:rsidR="006C1C8D" w:rsidRPr="006C1C8D">
        <w:rPr>
          <w:rFonts w:ascii="Times New Roman" w:hAnsi="Times New Roman"/>
          <w:sz w:val="28"/>
          <w:szCs w:val="28"/>
          <w:lang w:val="uk-UA"/>
        </w:rPr>
        <w:t>±0.79</w:t>
      </w:r>
      <w:r w:rsidR="006C1C8D">
        <w:rPr>
          <w:rFonts w:ascii="Times New Roman" w:hAnsi="Times New Roman"/>
          <w:sz w:val="28"/>
          <w:szCs w:val="28"/>
          <w:lang w:val="uk-UA"/>
        </w:rPr>
        <w:t xml:space="preserve"> у.о.</w:t>
      </w:r>
      <w:r w:rsidR="006C1C8D" w:rsidRPr="001B46B9">
        <w:rPr>
          <w:rFonts w:ascii="Times New Roman" w:hAnsi="Times New Roman"/>
          <w:sz w:val="28"/>
          <w:szCs w:val="28"/>
          <w:lang w:val="uk-UA"/>
        </w:rPr>
        <w:t>/л</w:t>
      </w:r>
      <w:r w:rsidR="006C1C8D">
        <w:rPr>
          <w:rFonts w:ascii="Times New Roman" w:hAnsi="Times New Roman"/>
          <w:sz w:val="28"/>
          <w:szCs w:val="28"/>
          <w:lang w:val="uk-UA"/>
        </w:rPr>
        <w:t>., через дванадцять місяців 5.86</w:t>
      </w:r>
      <w:r w:rsidR="006C1C8D">
        <w:rPr>
          <w:rFonts w:ascii="Times New Roman" w:hAnsi="Times New Roman" w:cs="Times New Roman"/>
          <w:sz w:val="28"/>
          <w:szCs w:val="28"/>
          <w:lang w:val="uk-UA"/>
        </w:rPr>
        <w:t>±</w:t>
      </w:r>
      <w:r w:rsidR="006C1C8D" w:rsidRPr="00B42A52">
        <w:rPr>
          <w:rFonts w:ascii="Times New Roman" w:hAnsi="Times New Roman"/>
          <w:sz w:val="28"/>
          <w:szCs w:val="28"/>
          <w:lang w:val="uk-UA"/>
        </w:rPr>
        <w:t>0.64</w:t>
      </w:r>
      <w:r w:rsidR="006C1C8D">
        <w:rPr>
          <w:rFonts w:ascii="Times New Roman" w:hAnsi="Times New Roman"/>
          <w:sz w:val="28"/>
          <w:szCs w:val="28"/>
          <w:lang w:val="uk-UA"/>
        </w:rPr>
        <w:t xml:space="preserve"> </w:t>
      </w:r>
      <w:r w:rsidR="006C1C8D" w:rsidRPr="006C1C8D">
        <w:rPr>
          <w:rFonts w:ascii="Times New Roman" w:hAnsi="Times New Roman"/>
          <w:sz w:val="28"/>
          <w:szCs w:val="28"/>
          <w:lang w:val="uk-UA"/>
        </w:rPr>
        <w:t>у.о./л</w:t>
      </w:r>
      <w:r w:rsidR="00A42232">
        <w:rPr>
          <w:rFonts w:ascii="Times New Roman" w:hAnsi="Times New Roman"/>
          <w:sz w:val="28"/>
          <w:szCs w:val="28"/>
          <w:lang w:val="uk-UA"/>
        </w:rPr>
        <w:t>, що у 1,76 рази більше за початковий рівень.</w:t>
      </w:r>
      <w:r w:rsidR="004C7109">
        <w:rPr>
          <w:rFonts w:ascii="Times New Roman" w:hAnsi="Times New Roman"/>
          <w:sz w:val="28"/>
          <w:szCs w:val="28"/>
          <w:lang w:val="uk-UA"/>
        </w:rPr>
        <w:t xml:space="preserve"> Підвищення активності супероксиддисмутази</w:t>
      </w:r>
      <w:r w:rsidR="00A42232">
        <w:rPr>
          <w:rFonts w:ascii="Times New Roman" w:hAnsi="Times New Roman"/>
          <w:sz w:val="28"/>
          <w:szCs w:val="28"/>
          <w:lang w:val="uk-UA"/>
        </w:rPr>
        <w:t xml:space="preserve"> пов’язане з включенням до обраної тактики лікування антиоксидантів, які безумовно впливають на перекисне окиснення ліпідів та </w:t>
      </w:r>
      <w:r w:rsidR="008915DD">
        <w:rPr>
          <w:rFonts w:ascii="Times New Roman" w:hAnsi="Times New Roman"/>
          <w:sz w:val="28"/>
          <w:szCs w:val="28"/>
          <w:lang w:val="uk-UA"/>
        </w:rPr>
        <w:t>нівелюють окислювальний стрес. За даними клінічних та біохімічних показників через шість та дванадцять місяців у першій групі пацієнтів з хронічним гінгівітом на тлі атопічних захворювань ми встановили нормалізацію не тільки на локальному рівні, а саме довготривале усунення симптомів гінгівіту, але й на рівні організму в цілому, що свідчить про правильність патогенетичної корекції антиоксидантного статусу при лікування гінгівіту.</w:t>
      </w:r>
    </w:p>
    <w:p w14:paraId="580FC3ED" w14:textId="4B3A54B8" w:rsidR="008915DD" w:rsidRDefault="008915DD"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Важливість урахування стану антиоксидантної системи та її корекції доведена й на прикладі групи дітей без клінічних ознак гінгівіту, але з атопічними хворобами в анамнезі. </w:t>
      </w:r>
      <w:r w:rsidR="0056094B">
        <w:rPr>
          <w:rFonts w:ascii="Times New Roman" w:hAnsi="Times New Roman"/>
          <w:sz w:val="28"/>
          <w:szCs w:val="28"/>
          <w:lang w:val="uk-UA"/>
        </w:rPr>
        <w:t xml:space="preserve">Як видно з результатів дослідження, початковий рівень активності СОД дорівнював </w:t>
      </w:r>
      <w:r w:rsidR="0056094B" w:rsidRPr="0056094B">
        <w:rPr>
          <w:rFonts w:ascii="Times New Roman" w:hAnsi="Times New Roman"/>
          <w:sz w:val="28"/>
          <w:szCs w:val="28"/>
          <w:lang w:val="uk-UA"/>
        </w:rPr>
        <w:t>3.27±0.40</w:t>
      </w:r>
      <w:r w:rsidR="0056094B">
        <w:rPr>
          <w:rFonts w:ascii="Times New Roman" w:hAnsi="Times New Roman"/>
          <w:sz w:val="28"/>
          <w:szCs w:val="28"/>
          <w:lang w:val="uk-UA"/>
        </w:rPr>
        <w:t xml:space="preserve"> </w:t>
      </w:r>
      <w:r w:rsidR="0056094B" w:rsidRPr="0056094B">
        <w:rPr>
          <w:rFonts w:ascii="Times New Roman" w:hAnsi="Times New Roman"/>
          <w:sz w:val="28"/>
          <w:szCs w:val="28"/>
          <w:lang w:val="uk-UA"/>
        </w:rPr>
        <w:t>у.о./л</w:t>
      </w:r>
      <w:r w:rsidR="0056094B">
        <w:rPr>
          <w:rFonts w:ascii="Times New Roman" w:hAnsi="Times New Roman"/>
          <w:sz w:val="28"/>
          <w:szCs w:val="28"/>
          <w:lang w:val="uk-UA"/>
        </w:rPr>
        <w:t xml:space="preserve">, що достовірно не відрізняється від показників груп, де клінічно спостерігали хронічний гінгівіт. Це підтверджує важливість антиоксидантної регуляції навіть на етапах профілактики захворювань пародонту та ставить питання про те, що є первинним у патогенезі хронічного гінгівіту. Запобігання негативному впливу окислювального стресу та ліквідація його наслідків завдяки наявності антиоксидантних препаратів у програмі </w:t>
      </w:r>
      <w:r w:rsidR="00E269E5">
        <w:rPr>
          <w:rFonts w:ascii="Times New Roman" w:hAnsi="Times New Roman"/>
          <w:sz w:val="28"/>
          <w:szCs w:val="28"/>
          <w:lang w:val="uk-UA"/>
        </w:rPr>
        <w:t>концептуально нової</w:t>
      </w:r>
      <w:r w:rsidR="0056094B">
        <w:rPr>
          <w:rFonts w:ascii="Times New Roman" w:hAnsi="Times New Roman"/>
          <w:sz w:val="28"/>
          <w:szCs w:val="28"/>
          <w:lang w:val="uk-UA"/>
        </w:rPr>
        <w:t xml:space="preserve"> профілактики підтверджується </w:t>
      </w:r>
      <w:r w:rsidR="00AE0252">
        <w:rPr>
          <w:rFonts w:ascii="Times New Roman" w:hAnsi="Times New Roman"/>
          <w:sz w:val="28"/>
          <w:szCs w:val="28"/>
          <w:lang w:val="uk-UA"/>
        </w:rPr>
        <w:t>збільшенням активності СОД через шість (</w:t>
      </w:r>
      <w:r w:rsidR="00AE0252" w:rsidRPr="00AE0252">
        <w:rPr>
          <w:rFonts w:ascii="Times New Roman" w:hAnsi="Times New Roman"/>
          <w:sz w:val="28"/>
          <w:szCs w:val="28"/>
          <w:lang w:val="uk-UA"/>
        </w:rPr>
        <w:t>5.63±0.67</w:t>
      </w:r>
      <w:r w:rsidR="00AE0252">
        <w:rPr>
          <w:rFonts w:ascii="Times New Roman" w:hAnsi="Times New Roman"/>
          <w:sz w:val="28"/>
          <w:szCs w:val="28"/>
          <w:lang w:val="uk-UA"/>
        </w:rPr>
        <w:t xml:space="preserve"> </w:t>
      </w:r>
      <w:r w:rsidR="00AE0252" w:rsidRPr="00AE0252">
        <w:rPr>
          <w:rFonts w:ascii="Times New Roman" w:hAnsi="Times New Roman"/>
          <w:sz w:val="28"/>
          <w:szCs w:val="28"/>
          <w:lang w:val="uk-UA"/>
        </w:rPr>
        <w:t>у.о./л</w:t>
      </w:r>
      <w:r w:rsidR="00AE0252">
        <w:rPr>
          <w:rFonts w:ascii="Times New Roman" w:hAnsi="Times New Roman"/>
          <w:sz w:val="28"/>
          <w:szCs w:val="28"/>
          <w:lang w:val="uk-UA"/>
        </w:rPr>
        <w:t>) та дванадцять (6.01</w:t>
      </w:r>
      <w:r w:rsidR="00AE0252">
        <w:rPr>
          <w:rFonts w:ascii="Times New Roman" w:hAnsi="Times New Roman" w:cs="Times New Roman"/>
          <w:sz w:val="28"/>
          <w:szCs w:val="28"/>
          <w:lang w:val="uk-UA"/>
        </w:rPr>
        <w:t>±</w:t>
      </w:r>
      <w:r w:rsidR="00AE0252" w:rsidRPr="00B42A52">
        <w:rPr>
          <w:rFonts w:ascii="Times New Roman" w:hAnsi="Times New Roman"/>
          <w:sz w:val="28"/>
          <w:szCs w:val="28"/>
          <w:lang w:val="uk-UA"/>
        </w:rPr>
        <w:t>0.73</w:t>
      </w:r>
      <w:r w:rsidR="00AE0252">
        <w:rPr>
          <w:rFonts w:ascii="Times New Roman" w:hAnsi="Times New Roman"/>
          <w:sz w:val="28"/>
          <w:szCs w:val="28"/>
          <w:lang w:val="uk-UA"/>
        </w:rPr>
        <w:t xml:space="preserve"> </w:t>
      </w:r>
      <w:r w:rsidR="00AE0252" w:rsidRPr="00AE0252">
        <w:rPr>
          <w:rFonts w:ascii="Times New Roman" w:hAnsi="Times New Roman"/>
          <w:sz w:val="28"/>
          <w:szCs w:val="28"/>
          <w:lang w:val="uk-UA"/>
        </w:rPr>
        <w:t>у.о./л</w:t>
      </w:r>
      <w:r w:rsidR="00AE0252">
        <w:rPr>
          <w:rFonts w:ascii="Times New Roman" w:hAnsi="Times New Roman"/>
          <w:sz w:val="28"/>
          <w:szCs w:val="28"/>
          <w:lang w:val="uk-UA"/>
        </w:rPr>
        <w:t>) місяців.</w:t>
      </w:r>
    </w:p>
    <w:p w14:paraId="333A3C6C" w14:textId="5172B6D8" w:rsidR="0056094B" w:rsidRDefault="00AE0252"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третій та четвертій групах пацієнтів дин</w:t>
      </w:r>
      <w:r w:rsidR="007C5448">
        <w:rPr>
          <w:rFonts w:ascii="Times New Roman" w:hAnsi="Times New Roman"/>
          <w:sz w:val="28"/>
          <w:szCs w:val="28"/>
          <w:lang w:val="uk-UA"/>
        </w:rPr>
        <w:t>аміка показників майже відсутня. Результати дослідження рівня активності СОД</w:t>
      </w:r>
      <w:r w:rsidR="00AA07AF">
        <w:rPr>
          <w:rFonts w:ascii="Times New Roman" w:hAnsi="Times New Roman"/>
          <w:sz w:val="28"/>
          <w:szCs w:val="28"/>
          <w:lang w:val="uk-UA"/>
        </w:rPr>
        <w:t xml:space="preserve"> демонструють відсутність впливу призначеного лікування та профілактики хронічного гінгівіту у дітей з атопічними захворюваннями на стан антиоксидантної системи. Наприклад, у третій групі пацієнтів рівень активності СОД залишався пониженим та дорівнював </w:t>
      </w:r>
      <w:r w:rsidR="00AA07AF" w:rsidRPr="00AA07AF">
        <w:rPr>
          <w:rFonts w:ascii="Times New Roman" w:hAnsi="Times New Roman"/>
          <w:sz w:val="28"/>
          <w:szCs w:val="28"/>
          <w:lang w:val="uk-UA"/>
        </w:rPr>
        <w:t>3.23</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0.60</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шість місяців та </w:t>
      </w:r>
      <w:r w:rsidR="00AA07AF" w:rsidRPr="00AA07AF">
        <w:rPr>
          <w:rFonts w:ascii="Times New Roman" w:hAnsi="Times New Roman"/>
          <w:sz w:val="28"/>
          <w:szCs w:val="28"/>
          <w:lang w:val="uk-UA"/>
        </w:rPr>
        <w:t>3.29</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0.59</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дванадцять місяців, що достовірно відрізняється від групи контролю. Серед пацієнтів четвертої групи так само активність СОД була незначною та дорівнювала </w:t>
      </w:r>
      <w:r w:rsidR="00AA07AF" w:rsidRPr="00AA07AF">
        <w:rPr>
          <w:rFonts w:ascii="Times New Roman" w:hAnsi="Times New Roman"/>
          <w:sz w:val="28"/>
          <w:szCs w:val="28"/>
          <w:lang w:val="uk-UA"/>
        </w:rPr>
        <w:t>3.06</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0.45</w:t>
      </w:r>
      <w:r w:rsidR="00AA07AF" w:rsidRPr="00AA07AF">
        <w:rPr>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шість місяців та </w:t>
      </w:r>
      <w:r w:rsidR="00AA07AF" w:rsidRPr="00AA07AF">
        <w:rPr>
          <w:rFonts w:ascii="Times New Roman" w:hAnsi="Times New Roman"/>
          <w:sz w:val="28"/>
          <w:szCs w:val="28"/>
          <w:lang w:val="uk-UA"/>
        </w:rPr>
        <w:t>3.44</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w:t>
      </w:r>
      <w:r w:rsidR="0096095F">
        <w:rPr>
          <w:rFonts w:ascii="Times New Roman" w:hAnsi="Times New Roman"/>
          <w:sz w:val="28"/>
          <w:szCs w:val="28"/>
          <w:lang w:val="uk-UA"/>
        </w:rPr>
        <w:t xml:space="preserve"> </w:t>
      </w:r>
      <w:r w:rsidR="00AA07AF" w:rsidRPr="00AA07AF">
        <w:rPr>
          <w:rFonts w:ascii="Times New Roman" w:hAnsi="Times New Roman"/>
          <w:sz w:val="28"/>
          <w:szCs w:val="28"/>
          <w:lang w:val="uk-UA"/>
        </w:rPr>
        <w:t>0.59</w:t>
      </w:r>
      <w:r w:rsidR="00AA07AF">
        <w:rPr>
          <w:rFonts w:ascii="Times New Roman" w:hAnsi="Times New Roman"/>
          <w:sz w:val="28"/>
          <w:szCs w:val="28"/>
          <w:lang w:val="uk-UA"/>
        </w:rPr>
        <w:t xml:space="preserve"> </w:t>
      </w:r>
      <w:r w:rsidR="00AA07AF" w:rsidRPr="00AA07AF">
        <w:rPr>
          <w:rFonts w:ascii="Times New Roman" w:hAnsi="Times New Roman"/>
          <w:sz w:val="28"/>
          <w:szCs w:val="28"/>
          <w:lang w:val="uk-UA"/>
        </w:rPr>
        <w:t>у.о./л</w:t>
      </w:r>
      <w:r w:rsidR="00AA07AF">
        <w:rPr>
          <w:rFonts w:ascii="Times New Roman" w:hAnsi="Times New Roman"/>
          <w:sz w:val="28"/>
          <w:szCs w:val="28"/>
          <w:lang w:val="uk-UA"/>
        </w:rPr>
        <w:t xml:space="preserve"> через дванадцять місяців.</w:t>
      </w:r>
    </w:p>
    <w:p w14:paraId="2C0E0759" w14:textId="529D0A28" w:rsidR="00AA07AF" w:rsidRDefault="00AA07AF"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згідно з наведеними даними, у дітей з атопічними захврюваннями простежується чітка тенденція до зниження антиоксидантного захисту організму, що простежується ще на доклінічному етапі розвитку захворювань пародонту та проявляється зниженням активності СОД. Направлений вплив на прооксидантно-антиоксидантний баланс мав позитивний результат, що було зафіксовано згідно з зростанням показників активності СОД.</w:t>
      </w:r>
    </w:p>
    <w:p w14:paraId="136CDE68" w14:textId="41BB6EC2" w:rsidR="00AA07AF" w:rsidRPr="007370B5" w:rsidRDefault="009953B6" w:rsidP="000358C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0084009D">
        <w:rPr>
          <w:rFonts w:ascii="Times New Roman" w:hAnsi="Times New Roman"/>
          <w:sz w:val="28"/>
          <w:szCs w:val="28"/>
          <w:lang w:val="uk-UA"/>
        </w:rPr>
        <w:t>омплексне вивчення змін антиоксидантної системи дітей з атопічними захворюваннями при захворюваннях тканин пародонту</w:t>
      </w:r>
      <w:r>
        <w:rPr>
          <w:rFonts w:ascii="Times New Roman" w:hAnsi="Times New Roman"/>
          <w:sz w:val="28"/>
          <w:szCs w:val="28"/>
          <w:lang w:val="uk-UA"/>
        </w:rPr>
        <w:t xml:space="preserve"> включає характеристику за декількома показниками, які характеризують стан прооксидантно-антиоксидантного балансу</w:t>
      </w:r>
      <w:r w:rsidR="0084009D">
        <w:rPr>
          <w:rFonts w:ascii="Times New Roman" w:hAnsi="Times New Roman"/>
          <w:sz w:val="28"/>
          <w:szCs w:val="28"/>
          <w:lang w:val="uk-UA"/>
        </w:rPr>
        <w:t>. Оскільки глутатіон є одним з найсильніших антиоксидантів, який має виражену детоксикуючу дію та приймає участь майже у всіх лініях антиоксидантного захисту, його вивчення є надзвичайно важливим у нашому дослідженні.</w:t>
      </w:r>
    </w:p>
    <w:p w14:paraId="341A4490" w14:textId="18C10EC9" w:rsidR="003915D4" w:rsidRDefault="003915D4" w:rsidP="003915D4">
      <w:pPr>
        <w:spacing w:after="0" w:line="360" w:lineRule="auto"/>
        <w:ind w:firstLine="709"/>
        <w:jc w:val="both"/>
        <w:rPr>
          <w:rFonts w:ascii="Times New Roman" w:hAnsi="Times New Roman"/>
          <w:sz w:val="28"/>
          <w:szCs w:val="28"/>
          <w:lang w:val="uk-UA"/>
        </w:rPr>
      </w:pPr>
      <w:r w:rsidRPr="003915D4">
        <w:rPr>
          <w:rFonts w:ascii="Times New Roman" w:hAnsi="Times New Roman"/>
          <w:sz w:val="28"/>
          <w:szCs w:val="28"/>
          <w:lang w:val="uk-UA"/>
        </w:rPr>
        <w:t>Проведене лікування с</w:t>
      </w:r>
      <w:r>
        <w:rPr>
          <w:rFonts w:ascii="Times New Roman" w:hAnsi="Times New Roman"/>
          <w:sz w:val="28"/>
          <w:szCs w:val="28"/>
          <w:lang w:val="uk-UA"/>
        </w:rPr>
        <w:t>прияло змінам по</w:t>
      </w:r>
      <w:r w:rsidRPr="003915D4">
        <w:rPr>
          <w:rFonts w:ascii="Times New Roman" w:hAnsi="Times New Roman"/>
          <w:sz w:val="28"/>
          <w:szCs w:val="28"/>
          <w:lang w:val="uk-UA"/>
        </w:rPr>
        <w:t xml:space="preserve">казників </w:t>
      </w:r>
      <w:r w:rsidR="00D338BA">
        <w:rPr>
          <w:rFonts w:ascii="Times New Roman" w:hAnsi="Times New Roman"/>
          <w:sz w:val="28"/>
          <w:szCs w:val="28"/>
          <w:lang w:val="uk-UA"/>
        </w:rPr>
        <w:t xml:space="preserve">антиоксидантного захисту </w:t>
      </w:r>
      <w:r w:rsidRPr="003915D4">
        <w:rPr>
          <w:rFonts w:ascii="Times New Roman" w:hAnsi="Times New Roman"/>
          <w:sz w:val="28"/>
          <w:szCs w:val="28"/>
          <w:lang w:val="uk-UA"/>
        </w:rPr>
        <w:t xml:space="preserve">як </w:t>
      </w:r>
      <w:r w:rsidR="00D338BA">
        <w:rPr>
          <w:rFonts w:ascii="Times New Roman" w:hAnsi="Times New Roman"/>
          <w:sz w:val="28"/>
          <w:szCs w:val="28"/>
          <w:lang w:val="uk-UA"/>
        </w:rPr>
        <w:t>через шість місяців після</w:t>
      </w:r>
      <w:r w:rsidRPr="003915D4">
        <w:rPr>
          <w:rFonts w:ascii="Times New Roman" w:hAnsi="Times New Roman"/>
          <w:sz w:val="28"/>
          <w:szCs w:val="28"/>
          <w:lang w:val="uk-UA"/>
        </w:rPr>
        <w:t xml:space="preserve"> лік</w:t>
      </w:r>
      <w:r w:rsidR="00D338BA">
        <w:rPr>
          <w:rFonts w:ascii="Times New Roman" w:hAnsi="Times New Roman"/>
          <w:sz w:val="28"/>
          <w:szCs w:val="28"/>
          <w:lang w:val="uk-UA"/>
        </w:rPr>
        <w:t>ування, так і через дванадцять місяців</w:t>
      </w:r>
      <w:r>
        <w:rPr>
          <w:rFonts w:ascii="Times New Roman" w:hAnsi="Times New Roman"/>
          <w:sz w:val="28"/>
          <w:szCs w:val="28"/>
          <w:lang w:val="uk-UA"/>
        </w:rPr>
        <w:t>. До</w:t>
      </w:r>
      <w:r w:rsidRPr="00D338BA">
        <w:rPr>
          <w:rFonts w:ascii="Times New Roman" w:hAnsi="Times New Roman"/>
          <w:sz w:val="28"/>
          <w:szCs w:val="28"/>
          <w:lang w:val="uk-UA"/>
        </w:rPr>
        <w:t xml:space="preserve"> </w:t>
      </w:r>
      <w:r w:rsidRPr="003915D4">
        <w:rPr>
          <w:rFonts w:ascii="Times New Roman" w:hAnsi="Times New Roman"/>
          <w:sz w:val="28"/>
          <w:szCs w:val="28"/>
          <w:lang w:val="uk-UA"/>
        </w:rPr>
        <w:t xml:space="preserve">лікування стан </w:t>
      </w:r>
      <w:r w:rsidR="00D338BA">
        <w:rPr>
          <w:rFonts w:ascii="Times New Roman" w:hAnsi="Times New Roman"/>
          <w:sz w:val="28"/>
          <w:szCs w:val="28"/>
          <w:lang w:val="uk-UA"/>
        </w:rPr>
        <w:t xml:space="preserve">антиоксидантної системи за рівнем відновленого глутатіону у першій, другій, третій та четвертій групах </w:t>
      </w:r>
      <w:r w:rsidRPr="003915D4">
        <w:rPr>
          <w:rFonts w:ascii="Times New Roman" w:hAnsi="Times New Roman"/>
          <w:sz w:val="28"/>
          <w:szCs w:val="28"/>
          <w:lang w:val="uk-UA"/>
        </w:rPr>
        <w:t xml:space="preserve">не </w:t>
      </w:r>
      <w:r w:rsidR="00D338BA">
        <w:rPr>
          <w:rFonts w:ascii="Times New Roman" w:hAnsi="Times New Roman"/>
          <w:sz w:val="28"/>
          <w:szCs w:val="28"/>
          <w:lang w:val="uk-UA"/>
        </w:rPr>
        <w:t>мав</w:t>
      </w:r>
      <w:r>
        <w:rPr>
          <w:rFonts w:ascii="Times New Roman" w:hAnsi="Times New Roman"/>
          <w:sz w:val="28"/>
          <w:szCs w:val="28"/>
          <w:lang w:val="uk-UA"/>
        </w:rPr>
        <w:t xml:space="preserve"> вірогідних відмінностей, тобто групи хворих</w:t>
      </w:r>
      <w:r w:rsidR="00D338BA">
        <w:rPr>
          <w:rFonts w:ascii="Times New Roman" w:hAnsi="Times New Roman"/>
          <w:sz w:val="28"/>
          <w:szCs w:val="28"/>
          <w:lang w:val="uk-UA"/>
        </w:rPr>
        <w:t>, крім контрольної,</w:t>
      </w:r>
      <w:r w:rsidRPr="00D338BA">
        <w:rPr>
          <w:rFonts w:ascii="Times New Roman" w:hAnsi="Times New Roman"/>
          <w:sz w:val="28"/>
          <w:szCs w:val="28"/>
          <w:lang w:val="uk-UA"/>
        </w:rPr>
        <w:t xml:space="preserve"> </w:t>
      </w:r>
      <w:r w:rsidRPr="003915D4">
        <w:rPr>
          <w:rFonts w:ascii="Times New Roman" w:hAnsi="Times New Roman"/>
          <w:sz w:val="28"/>
          <w:szCs w:val="28"/>
          <w:lang w:val="uk-UA"/>
        </w:rPr>
        <w:t>були співрозмірні.</w:t>
      </w:r>
      <w:r w:rsidR="00D338BA">
        <w:rPr>
          <w:rFonts w:ascii="Times New Roman" w:hAnsi="Times New Roman"/>
          <w:sz w:val="28"/>
          <w:szCs w:val="28"/>
          <w:lang w:val="uk-UA"/>
        </w:rPr>
        <w:t xml:space="preserve"> Динаміка змін показників антиоксидантного за</w:t>
      </w:r>
      <w:r w:rsidR="00FB72F7">
        <w:rPr>
          <w:rFonts w:ascii="Times New Roman" w:hAnsi="Times New Roman"/>
          <w:sz w:val="28"/>
          <w:szCs w:val="28"/>
          <w:lang w:val="uk-UA"/>
        </w:rPr>
        <w:t>хисту представлена у таблиці 5</w:t>
      </w:r>
      <w:r w:rsidR="001D3B85">
        <w:rPr>
          <w:rFonts w:ascii="Times New Roman" w:hAnsi="Times New Roman"/>
          <w:sz w:val="28"/>
          <w:szCs w:val="28"/>
          <w:lang w:val="uk-UA"/>
        </w:rPr>
        <w:t>.4</w:t>
      </w:r>
      <w:r w:rsidR="00D338BA">
        <w:rPr>
          <w:rFonts w:ascii="Times New Roman" w:hAnsi="Times New Roman"/>
          <w:sz w:val="28"/>
          <w:szCs w:val="28"/>
          <w:lang w:val="uk-UA"/>
        </w:rPr>
        <w:t>.</w:t>
      </w:r>
    </w:p>
    <w:p w14:paraId="4E94E95C" w14:textId="77777777" w:rsidR="009953B6" w:rsidRDefault="009953B6" w:rsidP="00D338BA">
      <w:pPr>
        <w:spacing w:line="360" w:lineRule="auto"/>
        <w:ind w:firstLine="709"/>
        <w:jc w:val="right"/>
        <w:rPr>
          <w:rFonts w:ascii="Times New Roman" w:eastAsia="Calibri" w:hAnsi="Times New Roman" w:cs="Times New Roman"/>
          <w:sz w:val="28"/>
          <w:szCs w:val="28"/>
          <w:lang w:val="uk-UA"/>
        </w:rPr>
      </w:pPr>
    </w:p>
    <w:p w14:paraId="41C942F1" w14:textId="77777777" w:rsidR="009953B6" w:rsidRDefault="009953B6" w:rsidP="00D338BA">
      <w:pPr>
        <w:spacing w:line="360" w:lineRule="auto"/>
        <w:ind w:firstLine="709"/>
        <w:jc w:val="right"/>
        <w:rPr>
          <w:rFonts w:ascii="Times New Roman" w:eastAsia="Calibri" w:hAnsi="Times New Roman" w:cs="Times New Roman"/>
          <w:sz w:val="28"/>
          <w:szCs w:val="28"/>
          <w:lang w:val="uk-UA"/>
        </w:rPr>
      </w:pPr>
    </w:p>
    <w:p w14:paraId="32C44C0B" w14:textId="404AE4B6" w:rsidR="00D338BA" w:rsidRPr="001D3B85" w:rsidRDefault="00FB72F7" w:rsidP="00D338BA">
      <w:pPr>
        <w:spacing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1D3B85" w:rsidRPr="001D3B85">
        <w:rPr>
          <w:rFonts w:ascii="Times New Roman" w:eastAsia="Calibri" w:hAnsi="Times New Roman" w:cs="Times New Roman"/>
          <w:sz w:val="28"/>
          <w:szCs w:val="28"/>
          <w:lang w:val="uk-UA"/>
        </w:rPr>
        <w:t>.4</w:t>
      </w:r>
    </w:p>
    <w:p w14:paraId="2FA615FE" w14:textId="223AA51B" w:rsidR="00D338BA" w:rsidRDefault="00D338BA" w:rsidP="000728CB">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відновленого глутатіону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D338BA" w:rsidRPr="00FD6B73" w14:paraId="024C86F8" w14:textId="77777777" w:rsidTr="00D338BA">
        <w:trPr>
          <w:trHeight w:val="471"/>
          <w:jc w:val="center"/>
        </w:trPr>
        <w:tc>
          <w:tcPr>
            <w:tcW w:w="1838" w:type="dxa"/>
            <w:vMerge w:val="restart"/>
            <w:shd w:val="clear" w:color="auto" w:fill="auto"/>
          </w:tcPr>
          <w:p w14:paraId="11A67C81" w14:textId="77777777" w:rsidR="00D338BA" w:rsidRPr="002804DE" w:rsidRDefault="00D338BA" w:rsidP="00D338BA">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3B03226D" w14:textId="3EC47DF9" w:rsidR="00D338BA" w:rsidRPr="00014A22" w:rsidRDefault="00D338BA" w:rsidP="00D338B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Відновлений глутатіон, ммоль/л</w:t>
            </w:r>
          </w:p>
        </w:tc>
      </w:tr>
      <w:tr w:rsidR="00D338BA" w:rsidRPr="00043875" w14:paraId="167DFF7E" w14:textId="77777777" w:rsidTr="00D338BA">
        <w:trPr>
          <w:trHeight w:val="486"/>
          <w:jc w:val="center"/>
        </w:trPr>
        <w:tc>
          <w:tcPr>
            <w:tcW w:w="1838" w:type="dxa"/>
            <w:vMerge/>
            <w:shd w:val="clear" w:color="auto" w:fill="auto"/>
          </w:tcPr>
          <w:p w14:paraId="4CE283A0" w14:textId="77777777" w:rsidR="00D338BA" w:rsidRPr="002804DE" w:rsidRDefault="00D338BA" w:rsidP="00D338BA">
            <w:pPr>
              <w:spacing w:after="0" w:line="360" w:lineRule="auto"/>
              <w:ind w:hanging="5"/>
              <w:jc w:val="center"/>
              <w:rPr>
                <w:rFonts w:ascii="Times New Roman" w:hAnsi="Times New Roman"/>
                <w:sz w:val="28"/>
                <w:szCs w:val="28"/>
                <w:lang w:val="uk-UA"/>
              </w:rPr>
            </w:pPr>
          </w:p>
        </w:tc>
        <w:tc>
          <w:tcPr>
            <w:tcW w:w="1418" w:type="dxa"/>
            <w:shd w:val="clear" w:color="auto" w:fill="auto"/>
          </w:tcPr>
          <w:p w14:paraId="28E07F6C" w14:textId="77777777" w:rsidR="00D338BA" w:rsidRPr="002804DE" w:rsidRDefault="00D338BA" w:rsidP="00D338BA">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47852B19" w14:textId="77777777" w:rsidR="00D338BA" w:rsidRPr="002804DE" w:rsidRDefault="00D338BA" w:rsidP="00D338BA">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5AD34841" w14:textId="77777777" w:rsidR="00D338BA" w:rsidRPr="002804DE" w:rsidRDefault="00D338BA" w:rsidP="00D338BA">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687CE36" w14:textId="77777777" w:rsidR="00D338BA" w:rsidRPr="002804DE" w:rsidRDefault="00D338BA" w:rsidP="00D338BA">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52FEDD56" w14:textId="77777777" w:rsidR="00D338BA" w:rsidRPr="002804DE" w:rsidRDefault="00D338BA" w:rsidP="00D338BA">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D338BA" w:rsidRPr="00043875" w14:paraId="36E48E44" w14:textId="77777777" w:rsidTr="00D338BA">
        <w:trPr>
          <w:trHeight w:val="429"/>
          <w:jc w:val="center"/>
        </w:trPr>
        <w:tc>
          <w:tcPr>
            <w:tcW w:w="1838" w:type="dxa"/>
            <w:shd w:val="clear" w:color="auto" w:fill="auto"/>
          </w:tcPr>
          <w:p w14:paraId="7ABF30AE" w14:textId="77777777" w:rsidR="00D338BA" w:rsidRPr="002804DE" w:rsidRDefault="00D338BA" w:rsidP="00D338BA">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13BB6DFD" w14:textId="77C3078C"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2.31</w:t>
            </w:r>
            <w:r>
              <w:rPr>
                <w:rFonts w:ascii="Times New Roman" w:hAnsi="Times New Roman" w:cs="Times New Roman"/>
                <w:sz w:val="28"/>
                <w:szCs w:val="28"/>
                <w:lang w:val="uk-UA"/>
              </w:rPr>
              <w:t>±</w:t>
            </w:r>
            <w:r w:rsidR="00D338BA" w:rsidRPr="00D338BA">
              <w:rPr>
                <w:rFonts w:ascii="Times New Roman" w:hAnsi="Times New Roman"/>
                <w:sz w:val="28"/>
                <w:szCs w:val="28"/>
                <w:lang w:val="uk-UA"/>
              </w:rPr>
              <w:t>0.44</w:t>
            </w:r>
          </w:p>
        </w:tc>
        <w:tc>
          <w:tcPr>
            <w:tcW w:w="1417" w:type="dxa"/>
            <w:shd w:val="clear" w:color="auto" w:fill="auto"/>
          </w:tcPr>
          <w:p w14:paraId="1877303F" w14:textId="3E5FCBD5"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2.69</w:t>
            </w:r>
            <w:r>
              <w:rPr>
                <w:rFonts w:ascii="Times New Roman" w:hAnsi="Times New Roman" w:cs="Times New Roman"/>
                <w:sz w:val="28"/>
                <w:szCs w:val="28"/>
                <w:lang w:val="uk-UA"/>
              </w:rPr>
              <w:t>±</w:t>
            </w:r>
            <w:r w:rsidR="00D338BA" w:rsidRPr="00D338BA">
              <w:rPr>
                <w:rFonts w:ascii="Times New Roman" w:hAnsi="Times New Roman"/>
                <w:sz w:val="28"/>
                <w:szCs w:val="28"/>
                <w:lang w:val="uk-UA"/>
              </w:rPr>
              <w:t>0.56</w:t>
            </w:r>
          </w:p>
        </w:tc>
        <w:tc>
          <w:tcPr>
            <w:tcW w:w="1559" w:type="dxa"/>
            <w:shd w:val="clear" w:color="auto" w:fill="auto"/>
          </w:tcPr>
          <w:p w14:paraId="2F82903E" w14:textId="6905D099"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2.73</w:t>
            </w:r>
            <w:r>
              <w:rPr>
                <w:rFonts w:ascii="Times New Roman" w:hAnsi="Times New Roman" w:cs="Times New Roman"/>
                <w:sz w:val="28"/>
                <w:szCs w:val="28"/>
                <w:lang w:val="uk-UA"/>
              </w:rPr>
              <w:t>±</w:t>
            </w:r>
            <w:r w:rsidRPr="00307B1F">
              <w:rPr>
                <w:rFonts w:ascii="Times New Roman" w:hAnsi="Times New Roman"/>
                <w:sz w:val="28"/>
                <w:szCs w:val="28"/>
                <w:lang w:val="uk-UA"/>
              </w:rPr>
              <w:t>0.58</w:t>
            </w:r>
          </w:p>
        </w:tc>
        <w:tc>
          <w:tcPr>
            <w:tcW w:w="1570" w:type="dxa"/>
            <w:shd w:val="clear" w:color="auto" w:fill="auto"/>
          </w:tcPr>
          <w:p w14:paraId="3EE46C92" w14:textId="383D5646"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2.67</w:t>
            </w:r>
            <w:r>
              <w:rPr>
                <w:rFonts w:ascii="Times New Roman" w:hAnsi="Times New Roman" w:cs="Times New Roman"/>
                <w:sz w:val="28"/>
                <w:szCs w:val="28"/>
                <w:lang w:val="uk-UA"/>
              </w:rPr>
              <w:t>±</w:t>
            </w:r>
            <w:r w:rsidRPr="00307B1F">
              <w:rPr>
                <w:rFonts w:ascii="Times New Roman" w:hAnsi="Times New Roman"/>
                <w:sz w:val="28"/>
                <w:szCs w:val="28"/>
                <w:lang w:val="uk-UA"/>
              </w:rPr>
              <w:t>0.51</w:t>
            </w:r>
          </w:p>
        </w:tc>
        <w:tc>
          <w:tcPr>
            <w:tcW w:w="1483" w:type="dxa"/>
            <w:shd w:val="clear" w:color="auto" w:fill="auto"/>
          </w:tcPr>
          <w:p w14:paraId="5C25F2E8" w14:textId="7A260EA0" w:rsidR="00D338BA" w:rsidRPr="00307B1F"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5.12</w:t>
            </w:r>
            <w:r>
              <w:rPr>
                <w:rFonts w:ascii="Times New Roman" w:hAnsi="Times New Roman" w:cs="Times New Roman"/>
                <w:sz w:val="28"/>
                <w:szCs w:val="28"/>
                <w:lang w:val="uk-UA"/>
              </w:rPr>
              <w:t>±</w:t>
            </w:r>
            <w:r w:rsidRPr="00307B1F">
              <w:rPr>
                <w:rFonts w:ascii="Times New Roman" w:hAnsi="Times New Roman"/>
                <w:sz w:val="28"/>
                <w:szCs w:val="28"/>
                <w:lang w:val="uk-UA"/>
              </w:rPr>
              <w:t>0.66</w:t>
            </w:r>
          </w:p>
        </w:tc>
      </w:tr>
      <w:tr w:rsidR="00D338BA" w:rsidRPr="00043875" w14:paraId="78DA03E1" w14:textId="77777777" w:rsidTr="00D338BA">
        <w:trPr>
          <w:trHeight w:val="427"/>
          <w:jc w:val="center"/>
        </w:trPr>
        <w:tc>
          <w:tcPr>
            <w:tcW w:w="1838" w:type="dxa"/>
            <w:shd w:val="clear" w:color="auto" w:fill="auto"/>
          </w:tcPr>
          <w:p w14:paraId="79329453" w14:textId="77777777" w:rsidR="00D338BA" w:rsidRPr="002804DE" w:rsidRDefault="00D338BA" w:rsidP="00D338BA">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24713B40" w14:textId="289EBE84"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5.52</w:t>
            </w:r>
            <w:r>
              <w:rPr>
                <w:rFonts w:ascii="Times New Roman" w:hAnsi="Times New Roman" w:cs="Times New Roman"/>
                <w:sz w:val="28"/>
                <w:szCs w:val="28"/>
                <w:lang w:val="uk-UA"/>
              </w:rPr>
              <w:t>±</w:t>
            </w:r>
            <w:r w:rsidR="00D338BA" w:rsidRPr="00D338BA">
              <w:rPr>
                <w:rFonts w:ascii="Times New Roman" w:hAnsi="Times New Roman"/>
                <w:sz w:val="28"/>
                <w:szCs w:val="28"/>
                <w:lang w:val="uk-UA"/>
              </w:rPr>
              <w:t>0.68</w:t>
            </w:r>
            <w:r w:rsidR="009953B6" w:rsidRPr="009953B6">
              <w:rPr>
                <w:rFonts w:ascii="Times New Roman" w:hAnsi="Times New Roman"/>
                <w:sz w:val="28"/>
                <w:szCs w:val="28"/>
                <w:vertAlign w:val="superscript"/>
                <w:lang w:val="uk-UA"/>
              </w:rPr>
              <w:t>1</w:t>
            </w:r>
            <w:r w:rsidR="00D338BA" w:rsidRPr="002804DE">
              <w:rPr>
                <w:rFonts w:ascii="Times New Roman" w:hAnsi="Times New Roman"/>
                <w:sz w:val="28"/>
                <w:szCs w:val="28"/>
                <w:lang w:val="uk-UA"/>
              </w:rPr>
              <w:t>*</w:t>
            </w:r>
          </w:p>
        </w:tc>
        <w:tc>
          <w:tcPr>
            <w:tcW w:w="1417" w:type="dxa"/>
            <w:shd w:val="clear" w:color="auto" w:fill="auto"/>
          </w:tcPr>
          <w:p w14:paraId="26FACCE9" w14:textId="22E9F60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5.60</w:t>
            </w:r>
            <w:r>
              <w:rPr>
                <w:rFonts w:ascii="Times New Roman" w:hAnsi="Times New Roman" w:cs="Times New Roman"/>
                <w:sz w:val="28"/>
                <w:szCs w:val="28"/>
                <w:lang w:val="uk-UA"/>
              </w:rPr>
              <w:t>±</w:t>
            </w:r>
            <w:r w:rsidR="00D338BA" w:rsidRPr="00D338BA">
              <w:rPr>
                <w:rFonts w:ascii="Times New Roman" w:hAnsi="Times New Roman"/>
                <w:sz w:val="28"/>
                <w:szCs w:val="28"/>
                <w:lang w:val="uk-UA"/>
              </w:rPr>
              <w:t>0.76</w:t>
            </w:r>
            <w:r w:rsidR="00D338BA"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7E93C522" w14:textId="38A3C670"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2.82</w:t>
            </w:r>
            <w:r>
              <w:rPr>
                <w:rFonts w:ascii="Times New Roman" w:hAnsi="Times New Roman" w:cs="Times New Roman"/>
                <w:sz w:val="28"/>
                <w:szCs w:val="28"/>
                <w:lang w:val="uk-UA"/>
              </w:rPr>
              <w:t>±</w:t>
            </w:r>
            <w:r w:rsidRPr="00307B1F">
              <w:rPr>
                <w:rFonts w:ascii="Times New Roman" w:hAnsi="Times New Roman"/>
                <w:sz w:val="28"/>
                <w:szCs w:val="28"/>
                <w:lang w:val="uk-UA"/>
              </w:rPr>
              <w:t>0.54</w:t>
            </w:r>
          </w:p>
        </w:tc>
        <w:tc>
          <w:tcPr>
            <w:tcW w:w="1570" w:type="dxa"/>
            <w:shd w:val="clear" w:color="auto" w:fill="auto"/>
          </w:tcPr>
          <w:p w14:paraId="05FE95ED" w14:textId="059AD8CD"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2.52</w:t>
            </w:r>
            <w:r>
              <w:rPr>
                <w:rFonts w:ascii="Times New Roman" w:hAnsi="Times New Roman" w:cs="Times New Roman"/>
                <w:sz w:val="28"/>
                <w:szCs w:val="28"/>
                <w:lang w:val="uk-UA"/>
              </w:rPr>
              <w:t>±</w:t>
            </w:r>
            <w:r w:rsidRPr="00307B1F">
              <w:rPr>
                <w:rFonts w:ascii="Times New Roman" w:hAnsi="Times New Roman"/>
                <w:sz w:val="28"/>
                <w:szCs w:val="28"/>
                <w:lang w:val="uk-UA"/>
              </w:rPr>
              <w:t>0.48</w:t>
            </w:r>
          </w:p>
        </w:tc>
        <w:tc>
          <w:tcPr>
            <w:tcW w:w="1483" w:type="dxa"/>
            <w:shd w:val="clear" w:color="auto" w:fill="auto"/>
          </w:tcPr>
          <w:p w14:paraId="12CA6038" w14:textId="647133F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5.41</w:t>
            </w:r>
            <w:r>
              <w:rPr>
                <w:rFonts w:ascii="Times New Roman" w:hAnsi="Times New Roman" w:cs="Times New Roman"/>
                <w:sz w:val="28"/>
                <w:szCs w:val="28"/>
                <w:lang w:val="uk-UA"/>
              </w:rPr>
              <w:t>±</w:t>
            </w:r>
            <w:r w:rsidRPr="00307B1F">
              <w:rPr>
                <w:rFonts w:ascii="Times New Roman" w:hAnsi="Times New Roman"/>
                <w:sz w:val="28"/>
                <w:szCs w:val="28"/>
                <w:lang w:val="uk-UA"/>
              </w:rPr>
              <w:t>0.57</w:t>
            </w:r>
          </w:p>
        </w:tc>
      </w:tr>
      <w:tr w:rsidR="00D338BA" w:rsidRPr="002804DE" w14:paraId="1625F391" w14:textId="77777777" w:rsidTr="00D338BA">
        <w:trPr>
          <w:trHeight w:val="577"/>
          <w:jc w:val="center"/>
        </w:trPr>
        <w:tc>
          <w:tcPr>
            <w:tcW w:w="1838" w:type="dxa"/>
            <w:shd w:val="clear" w:color="auto" w:fill="auto"/>
          </w:tcPr>
          <w:p w14:paraId="5ED3D023" w14:textId="77777777" w:rsidR="00D338BA" w:rsidRPr="002804DE" w:rsidRDefault="00D338BA" w:rsidP="00D338BA">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7EE4C33A" w14:textId="6D92F688" w:rsidR="00D338BA" w:rsidRPr="002804DE" w:rsidRDefault="00307B1F" w:rsidP="00D338BA">
            <w:pPr>
              <w:spacing w:after="0" w:line="360" w:lineRule="auto"/>
              <w:rPr>
                <w:rFonts w:ascii="Times New Roman" w:hAnsi="Times New Roman"/>
                <w:sz w:val="28"/>
                <w:szCs w:val="28"/>
                <w:lang w:val="uk-UA"/>
              </w:rPr>
            </w:pPr>
            <w:r>
              <w:rPr>
                <w:rFonts w:ascii="Times New Roman" w:hAnsi="Times New Roman"/>
                <w:sz w:val="28"/>
                <w:szCs w:val="28"/>
                <w:lang w:val="uk-UA"/>
              </w:rPr>
              <w:t>5.63</w:t>
            </w:r>
            <w:r>
              <w:rPr>
                <w:rFonts w:ascii="Times New Roman" w:hAnsi="Times New Roman" w:cs="Times New Roman"/>
                <w:sz w:val="28"/>
                <w:szCs w:val="28"/>
                <w:lang w:val="uk-UA"/>
              </w:rPr>
              <w:t>±</w:t>
            </w:r>
            <w:r w:rsidR="00D338BA" w:rsidRPr="00D338BA">
              <w:rPr>
                <w:rFonts w:ascii="Times New Roman" w:hAnsi="Times New Roman"/>
                <w:sz w:val="28"/>
                <w:szCs w:val="28"/>
                <w:lang w:val="uk-UA"/>
              </w:rPr>
              <w:t>0.74</w:t>
            </w:r>
            <w:r w:rsidR="009953B6" w:rsidRPr="009953B6">
              <w:rPr>
                <w:rFonts w:ascii="Times New Roman" w:hAnsi="Times New Roman"/>
                <w:sz w:val="28"/>
                <w:szCs w:val="28"/>
                <w:vertAlign w:val="superscript"/>
                <w:lang w:val="uk-UA"/>
              </w:rPr>
              <w:t>1</w:t>
            </w:r>
            <w:r w:rsidR="00D338BA" w:rsidRPr="002804DE">
              <w:rPr>
                <w:rFonts w:ascii="Times New Roman" w:hAnsi="Times New Roman"/>
                <w:sz w:val="28"/>
                <w:szCs w:val="28"/>
                <w:lang w:val="uk-UA"/>
              </w:rPr>
              <w:t>*</w:t>
            </w:r>
          </w:p>
        </w:tc>
        <w:tc>
          <w:tcPr>
            <w:tcW w:w="1417" w:type="dxa"/>
            <w:shd w:val="clear" w:color="auto" w:fill="auto"/>
          </w:tcPr>
          <w:p w14:paraId="29227338" w14:textId="04913A27"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4.82</w:t>
            </w:r>
            <w:r>
              <w:rPr>
                <w:rFonts w:ascii="Times New Roman" w:hAnsi="Times New Roman" w:cs="Times New Roman"/>
                <w:sz w:val="28"/>
                <w:szCs w:val="28"/>
                <w:lang w:val="uk-UA"/>
              </w:rPr>
              <w:t>±</w:t>
            </w:r>
            <w:r w:rsidRPr="00307B1F">
              <w:rPr>
                <w:rFonts w:ascii="Times New Roman" w:hAnsi="Times New Roman"/>
                <w:sz w:val="28"/>
                <w:szCs w:val="28"/>
                <w:lang w:val="uk-UA"/>
              </w:rPr>
              <w:t>0.73</w:t>
            </w:r>
            <w:r w:rsidR="00D338BA"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29AAFB98" w14:textId="779B525E"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2.47</w:t>
            </w:r>
            <w:r>
              <w:rPr>
                <w:rFonts w:ascii="Times New Roman" w:hAnsi="Times New Roman" w:cs="Times New Roman"/>
                <w:sz w:val="28"/>
                <w:szCs w:val="28"/>
                <w:lang w:val="uk-UA"/>
              </w:rPr>
              <w:t>±</w:t>
            </w:r>
            <w:r w:rsidRPr="00307B1F">
              <w:rPr>
                <w:rFonts w:ascii="Times New Roman" w:hAnsi="Times New Roman"/>
                <w:sz w:val="28"/>
                <w:szCs w:val="28"/>
                <w:lang w:val="uk-UA"/>
              </w:rPr>
              <w:t>0.59</w:t>
            </w:r>
          </w:p>
        </w:tc>
        <w:tc>
          <w:tcPr>
            <w:tcW w:w="1570" w:type="dxa"/>
            <w:shd w:val="clear" w:color="auto" w:fill="auto"/>
          </w:tcPr>
          <w:p w14:paraId="1F82BE4D" w14:textId="4B691883"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2.40</w:t>
            </w:r>
            <w:r>
              <w:rPr>
                <w:rFonts w:ascii="Times New Roman" w:hAnsi="Times New Roman" w:cs="Times New Roman"/>
                <w:sz w:val="28"/>
                <w:szCs w:val="28"/>
                <w:lang w:val="uk-UA"/>
              </w:rPr>
              <w:t>±</w:t>
            </w:r>
            <w:r w:rsidRPr="00307B1F">
              <w:rPr>
                <w:rFonts w:ascii="Times New Roman" w:hAnsi="Times New Roman"/>
                <w:sz w:val="28"/>
                <w:szCs w:val="28"/>
                <w:lang w:val="uk-UA"/>
              </w:rPr>
              <w:t>0.42</w:t>
            </w:r>
          </w:p>
        </w:tc>
        <w:tc>
          <w:tcPr>
            <w:tcW w:w="1483" w:type="dxa"/>
            <w:shd w:val="clear" w:color="auto" w:fill="auto"/>
          </w:tcPr>
          <w:p w14:paraId="75CB5FC5" w14:textId="084FD1A6" w:rsidR="00D338BA" w:rsidRPr="002804DE" w:rsidRDefault="00307B1F" w:rsidP="00307B1F">
            <w:pPr>
              <w:spacing w:after="0" w:line="360" w:lineRule="auto"/>
              <w:jc w:val="center"/>
              <w:rPr>
                <w:rFonts w:ascii="Times New Roman" w:hAnsi="Times New Roman"/>
                <w:sz w:val="28"/>
                <w:szCs w:val="28"/>
                <w:lang w:val="uk-UA"/>
              </w:rPr>
            </w:pPr>
            <w:r>
              <w:rPr>
                <w:rFonts w:ascii="Times New Roman" w:hAnsi="Times New Roman"/>
                <w:sz w:val="28"/>
                <w:szCs w:val="28"/>
                <w:lang w:val="uk-UA"/>
              </w:rPr>
              <w:t>5.27</w:t>
            </w:r>
            <w:r>
              <w:rPr>
                <w:rFonts w:ascii="Times New Roman" w:hAnsi="Times New Roman" w:cs="Times New Roman"/>
                <w:sz w:val="28"/>
                <w:szCs w:val="28"/>
                <w:lang w:val="uk-UA"/>
              </w:rPr>
              <w:t>±</w:t>
            </w:r>
            <w:r w:rsidRPr="00307B1F">
              <w:rPr>
                <w:rFonts w:ascii="Times New Roman" w:hAnsi="Times New Roman"/>
                <w:sz w:val="28"/>
                <w:szCs w:val="28"/>
                <w:lang w:val="uk-UA"/>
              </w:rPr>
              <w:t>0.74</w:t>
            </w:r>
          </w:p>
        </w:tc>
      </w:tr>
    </w:tbl>
    <w:p w14:paraId="48FDC3D6" w14:textId="77777777" w:rsidR="00D338BA" w:rsidRDefault="00D338BA" w:rsidP="00D338BA">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132BC7FA"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9DCB580" w14:textId="11A36AA9" w:rsidR="00376DF7" w:rsidRDefault="00376DF7" w:rsidP="00376DF7">
      <w:pPr>
        <w:spacing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074AF54" w14:textId="6776EC0D" w:rsidR="003D18A2" w:rsidRPr="003D18A2" w:rsidRDefault="003D18A2" w:rsidP="003D18A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Суттєва</w:t>
      </w:r>
      <w:r w:rsidR="00307B1F" w:rsidRPr="00307B1F">
        <w:rPr>
          <w:rFonts w:ascii="Times New Roman" w:hAnsi="Times New Roman"/>
          <w:sz w:val="28"/>
          <w:szCs w:val="28"/>
          <w:lang w:val="uk-UA"/>
        </w:rPr>
        <w:t xml:space="preserve"> роль глутатіону як антиоксиданту пояснюється високим відновним потенціалом молекули і високою внутріш</w:t>
      </w:r>
      <w:r w:rsidR="00C711BD">
        <w:rPr>
          <w:rFonts w:ascii="Times New Roman" w:hAnsi="Times New Roman"/>
          <w:sz w:val="28"/>
          <w:szCs w:val="28"/>
          <w:lang w:val="uk-UA"/>
        </w:rPr>
        <w:t>ньоклітинної концентрацією (мілімолярним рівнем</w:t>
      </w:r>
      <w:r w:rsidR="00307B1F" w:rsidRPr="00307B1F">
        <w:rPr>
          <w:rFonts w:ascii="Times New Roman" w:hAnsi="Times New Roman"/>
          <w:sz w:val="28"/>
          <w:szCs w:val="28"/>
          <w:lang w:val="uk-UA"/>
        </w:rPr>
        <w:t>).</w:t>
      </w:r>
      <w:r w:rsidR="00C711BD">
        <w:rPr>
          <w:rFonts w:ascii="Times New Roman" w:hAnsi="Times New Roman"/>
          <w:sz w:val="28"/>
          <w:szCs w:val="28"/>
          <w:lang w:val="uk-UA"/>
        </w:rPr>
        <w:t xml:space="preserve"> Саме тому від зміни рівня відновленого глутатіону залежить ступінь антиоксидантного захисту. </w:t>
      </w:r>
    </w:p>
    <w:p w14:paraId="584A93F3" w14:textId="765C8777" w:rsidR="003D18A2" w:rsidRDefault="00A22147" w:rsidP="00A22147">
      <w:pPr>
        <w:spacing w:after="0" w:line="360" w:lineRule="auto"/>
        <w:ind w:firstLine="709"/>
        <w:jc w:val="both"/>
        <w:rPr>
          <w:rFonts w:ascii="Times New Roman" w:hAnsi="Times New Roman"/>
          <w:sz w:val="28"/>
          <w:szCs w:val="28"/>
          <w:lang w:val="uk-UA"/>
        </w:rPr>
      </w:pPr>
      <w:r w:rsidRPr="002804DE">
        <w:rPr>
          <w:rFonts w:ascii="Times New Roman" w:hAnsi="Times New Roman"/>
          <w:sz w:val="28"/>
          <w:szCs w:val="28"/>
          <w:lang w:val="uk-UA"/>
        </w:rPr>
        <w:t xml:space="preserve">Аналіз антиоксидантного гомеостазу групи практично здорових пацієнтів без виявленої соматичної патології і пацієнтів з атопічним захворюваннями без клінічних ознак гінгівіту показав, що у пацієнтів другої групи відзначалася тенденція збільшення концентрації продуктів перекисного окислення ліпідів. </w:t>
      </w:r>
      <w:r w:rsidR="003D18A2">
        <w:rPr>
          <w:rFonts w:ascii="Times New Roman" w:hAnsi="Times New Roman"/>
          <w:sz w:val="28"/>
          <w:szCs w:val="28"/>
          <w:lang w:val="uk-UA"/>
        </w:rPr>
        <w:t xml:space="preserve">При вивченні показників першої групи, характерним було зниження антиоксидантного захисту на початку лікування, коли рівень відновленого глутатіону дорівнював 2.31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0.44</w:t>
      </w:r>
      <w:r w:rsidR="003D18A2">
        <w:rPr>
          <w:rFonts w:ascii="Times New Roman" w:hAnsi="Times New Roman"/>
          <w:sz w:val="28"/>
          <w:szCs w:val="28"/>
          <w:lang w:val="uk-UA"/>
        </w:rPr>
        <w:t xml:space="preserve"> ммоль/л. Проте застосований комплекс заходів, направлених на відновлення прооксидантно-антиоксидантного гомеостазу як за допомого ендогенних, так і екзогенних методів, призвів до стабільного підвищення рівню глутатіону. Ми зафіксували збільшення даного показника до рівня 5.52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0.68</w:t>
      </w:r>
      <w:r w:rsidR="003D18A2">
        <w:rPr>
          <w:rFonts w:ascii="Times New Roman" w:hAnsi="Times New Roman"/>
          <w:sz w:val="28"/>
          <w:szCs w:val="28"/>
          <w:lang w:val="uk-UA"/>
        </w:rPr>
        <w:t xml:space="preserve"> ммоль/л через шість місяців та 5.63 </w:t>
      </w:r>
      <w:r w:rsidR="003D18A2">
        <w:rPr>
          <w:rFonts w:ascii="Times New Roman" w:hAnsi="Times New Roman" w:cs="Times New Roman"/>
          <w:sz w:val="28"/>
          <w:szCs w:val="28"/>
          <w:lang w:val="uk-UA"/>
        </w:rPr>
        <w:t xml:space="preserve">± </w:t>
      </w:r>
      <w:r w:rsidR="003D18A2" w:rsidRPr="00D338BA">
        <w:rPr>
          <w:rFonts w:ascii="Times New Roman" w:hAnsi="Times New Roman"/>
          <w:sz w:val="28"/>
          <w:szCs w:val="28"/>
          <w:lang w:val="uk-UA"/>
        </w:rPr>
        <w:t>0.74</w:t>
      </w:r>
      <w:r w:rsidR="003D18A2">
        <w:rPr>
          <w:rFonts w:ascii="Times New Roman" w:hAnsi="Times New Roman"/>
          <w:sz w:val="28"/>
          <w:szCs w:val="28"/>
          <w:lang w:val="uk-UA"/>
        </w:rPr>
        <w:t xml:space="preserve"> ммоль/л через дванадцять місяців, що достовірно відрізнялося від початкового рівня. </w:t>
      </w:r>
    </w:p>
    <w:p w14:paraId="00831D4D" w14:textId="109AB9B1" w:rsidR="0063682B" w:rsidRDefault="0063682B" w:rsidP="00A221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Цікавим фактом виявилося те, що у другій групі пацієнтів, хворих на атопічні захворювання та без клінічної маніфестації симптомів хронічного гінгівіту, рівень глутатіону достовірно не відрізнявся від показників першої групи та дорівнював 2.69 </w:t>
      </w:r>
      <w:r>
        <w:rPr>
          <w:rFonts w:ascii="Times New Roman" w:hAnsi="Times New Roman" w:cs="Times New Roman"/>
          <w:sz w:val="28"/>
          <w:szCs w:val="28"/>
          <w:lang w:val="uk-UA"/>
        </w:rPr>
        <w:t xml:space="preserve">± </w:t>
      </w:r>
      <w:r w:rsidRPr="00D338BA">
        <w:rPr>
          <w:rFonts w:ascii="Times New Roman" w:hAnsi="Times New Roman"/>
          <w:sz w:val="28"/>
          <w:szCs w:val="28"/>
          <w:lang w:val="uk-UA"/>
        </w:rPr>
        <w:t>0.56</w:t>
      </w:r>
      <w:r>
        <w:rPr>
          <w:rFonts w:ascii="Times New Roman" w:hAnsi="Times New Roman"/>
          <w:sz w:val="28"/>
          <w:szCs w:val="28"/>
          <w:lang w:val="uk-UA"/>
        </w:rPr>
        <w:t xml:space="preserve"> ммоль/л. Як правило, знижений рівень глутатіону свідчить про наявність хронічного запального процесу у тканинах пародонту. Отже, згідно з наведеними даними, відсутність клінічних проявів хронічного гінгівіту не </w:t>
      </w:r>
      <w:r w:rsidR="00713AC3">
        <w:rPr>
          <w:rFonts w:ascii="Times New Roman" w:hAnsi="Times New Roman"/>
          <w:sz w:val="28"/>
          <w:szCs w:val="28"/>
          <w:lang w:val="uk-UA"/>
        </w:rPr>
        <w:t xml:space="preserve">визначає відсутність запального процесу. З нашої точки зору, визначення рівню відновленого глутатіону може бути інструментом ранньої діагностики захворювань пародонту, у тому числі гінгівіту. </w:t>
      </w:r>
    </w:p>
    <w:p w14:paraId="308E336D" w14:textId="77777777" w:rsidR="009E10F1" w:rsidRDefault="00713AC3" w:rsidP="00A221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динаміки показників другої групи свідчив про ефективність обраної тактики профілактики захворювань пародонту. Через шість та дванадцять місяців клінічних проявів запалення ми не спостерігали, а згідно з біохімічним дослідженням стан антиоксидантної системи нормалізувався. Підвищення рівня глутатіону до 5.60 </w:t>
      </w:r>
      <w:r>
        <w:rPr>
          <w:rFonts w:ascii="Times New Roman" w:hAnsi="Times New Roman" w:cs="Times New Roman"/>
          <w:sz w:val="28"/>
          <w:szCs w:val="28"/>
          <w:lang w:val="uk-UA"/>
        </w:rPr>
        <w:t xml:space="preserve">± </w:t>
      </w:r>
      <w:r w:rsidRPr="00D338BA">
        <w:rPr>
          <w:rFonts w:ascii="Times New Roman" w:hAnsi="Times New Roman"/>
          <w:sz w:val="28"/>
          <w:szCs w:val="28"/>
          <w:lang w:val="uk-UA"/>
        </w:rPr>
        <w:t>0.76</w:t>
      </w:r>
      <w:r>
        <w:rPr>
          <w:rFonts w:ascii="Times New Roman" w:hAnsi="Times New Roman"/>
          <w:sz w:val="28"/>
          <w:szCs w:val="28"/>
          <w:lang w:val="uk-UA"/>
        </w:rPr>
        <w:t xml:space="preserve"> ммоль/л через шість місяців та 4.82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0.73</w:t>
      </w:r>
      <w:r>
        <w:rPr>
          <w:rFonts w:ascii="Times New Roman" w:hAnsi="Times New Roman"/>
          <w:sz w:val="28"/>
          <w:szCs w:val="28"/>
          <w:lang w:val="uk-UA"/>
        </w:rPr>
        <w:t xml:space="preserve"> ммоль/л через дванадцять місяців говорить про наявність достовірної різниці з початковими показниками, що є критерієм ефективності запропонованої програми профілактики. Згідно з отриманими даними, ми спостерігали незначне зниження показників рівню глутатіону через дванадцять місяців, що не мало статистично значимої різниці з початковими показниками. З нашої точки зору, для досягнення максимального профілактичного ефекту доцільним є подальший моніторінг біомаркерів</w:t>
      </w:r>
      <w:r w:rsidR="009E10F1">
        <w:rPr>
          <w:rFonts w:ascii="Times New Roman" w:hAnsi="Times New Roman"/>
          <w:sz w:val="28"/>
          <w:szCs w:val="28"/>
          <w:lang w:val="uk-UA"/>
        </w:rPr>
        <w:t xml:space="preserve"> та за необхідності призначення повторного профілактичного курсу</w:t>
      </w:r>
      <w:r>
        <w:rPr>
          <w:rFonts w:ascii="Times New Roman" w:hAnsi="Times New Roman"/>
          <w:sz w:val="28"/>
          <w:szCs w:val="28"/>
          <w:lang w:val="uk-UA"/>
        </w:rPr>
        <w:t xml:space="preserve"> з метою </w:t>
      </w:r>
      <w:r w:rsidR="009E10F1">
        <w:rPr>
          <w:rFonts w:ascii="Times New Roman" w:hAnsi="Times New Roman"/>
          <w:sz w:val="28"/>
          <w:szCs w:val="28"/>
          <w:lang w:val="uk-UA"/>
        </w:rPr>
        <w:t>своєчасної діагностики та профілактики захворювань пародонту.</w:t>
      </w:r>
    </w:p>
    <w:p w14:paraId="28435877" w14:textId="6D67D3B8" w:rsidR="009E10F1" w:rsidRDefault="009E10F1"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третій групі пацієнтів, хворих на атопічні захворювання та хронічний гінгівіт, також було зафіксовано зниження рівню глутатіону (2.73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0.58</w:t>
      </w:r>
      <w:r>
        <w:rPr>
          <w:rFonts w:ascii="Times New Roman" w:hAnsi="Times New Roman"/>
          <w:sz w:val="28"/>
          <w:szCs w:val="28"/>
          <w:lang w:val="uk-UA"/>
        </w:rPr>
        <w:t xml:space="preserve"> ммоль/л). Проте, на відміну від першої групи, позитивної динаміки після проведення традиційного лікування згідно з протоколами надання медичної допомоги, ми не спостерігали. Рівень глутатіону не мав достовірної різниці з початковими показниками та дорівнював 2.82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0.54</w:t>
      </w:r>
      <w:r>
        <w:rPr>
          <w:rFonts w:ascii="Times New Roman" w:hAnsi="Times New Roman"/>
          <w:sz w:val="28"/>
          <w:szCs w:val="28"/>
          <w:lang w:val="uk-UA"/>
        </w:rPr>
        <w:t xml:space="preserve"> ммоль/л та 2.47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0.59</w:t>
      </w:r>
      <w:r>
        <w:rPr>
          <w:rFonts w:ascii="Times New Roman" w:hAnsi="Times New Roman"/>
          <w:sz w:val="28"/>
          <w:szCs w:val="28"/>
          <w:lang w:val="uk-UA"/>
        </w:rPr>
        <w:t xml:space="preserve"> ммоль/л через шість та дванадцять місяців відповідно. Аналіз клінічних показників через один місяць після проведеного лікування говорив про клінічне покращення пародонтального статусу, проте лікувальний ефект не був довготривалим. Отже, з огляду на зафіксований результат, очевидним є те, що нормалізація антиоксидантного гомеостазу є необхідною умовою для довг</w:t>
      </w:r>
      <w:r w:rsidR="00892117">
        <w:rPr>
          <w:rFonts w:ascii="Times New Roman" w:hAnsi="Times New Roman"/>
          <w:sz w:val="28"/>
          <w:szCs w:val="28"/>
          <w:lang w:val="uk-UA"/>
        </w:rPr>
        <w:t>отривалого ефекту від лікування хронічного гінгівіту у дітей з атопічними захворюваннями.</w:t>
      </w:r>
    </w:p>
    <w:p w14:paraId="10998AA0" w14:textId="3C51C118" w:rsidR="00892117" w:rsidRDefault="0089211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показників четвертої групи також характерною ознакою було зниження ступеню антиоксидантного захисту на початку дослідження та відсутність позитивної динаміки після здійснення профілактичних заходів. Так, на початку дослідження рівень відновленого глутатіону знаходився на позначці 2.67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0.51</w:t>
      </w:r>
      <w:r>
        <w:rPr>
          <w:rFonts w:ascii="Times New Roman" w:hAnsi="Times New Roman"/>
          <w:sz w:val="28"/>
          <w:szCs w:val="28"/>
          <w:lang w:val="uk-UA"/>
        </w:rPr>
        <w:t xml:space="preserve"> ммоль/л, через шість місяців дорівнював 2.52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0.48</w:t>
      </w:r>
      <w:r>
        <w:rPr>
          <w:rFonts w:ascii="Times New Roman" w:hAnsi="Times New Roman"/>
          <w:sz w:val="28"/>
          <w:szCs w:val="28"/>
          <w:lang w:val="uk-UA"/>
        </w:rPr>
        <w:t xml:space="preserve"> ммоль/л, через дванадцять місяців 2.40 </w:t>
      </w:r>
      <w:r>
        <w:rPr>
          <w:rFonts w:ascii="Times New Roman" w:hAnsi="Times New Roman" w:cs="Times New Roman"/>
          <w:sz w:val="28"/>
          <w:szCs w:val="28"/>
          <w:lang w:val="uk-UA"/>
        </w:rPr>
        <w:t xml:space="preserve">± </w:t>
      </w:r>
      <w:r w:rsidRPr="00307B1F">
        <w:rPr>
          <w:rFonts w:ascii="Times New Roman" w:hAnsi="Times New Roman"/>
          <w:sz w:val="28"/>
          <w:szCs w:val="28"/>
          <w:lang w:val="uk-UA"/>
        </w:rPr>
        <w:t>0.42</w:t>
      </w:r>
      <w:r>
        <w:rPr>
          <w:rFonts w:ascii="Times New Roman" w:hAnsi="Times New Roman"/>
          <w:sz w:val="28"/>
          <w:szCs w:val="28"/>
          <w:lang w:val="uk-UA"/>
        </w:rPr>
        <w:t xml:space="preserve"> ммоль/л. Відсутність змін у показниках антиоксидантного захисту після здійснення традиціних профілактичних заходів підтверджує необхідність патогенетичної корекції комплексної програми профілактики хронічного гінгівіту у дітей з атопічними захворюваннями з відновленням прооксидантно-антиоксидантного балансу.</w:t>
      </w:r>
    </w:p>
    <w:p w14:paraId="27698B70" w14:textId="647E5372" w:rsidR="00892117" w:rsidRPr="00BE4FE1" w:rsidRDefault="00892117" w:rsidP="00BE4F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проведене дослідження обумовлює </w:t>
      </w:r>
      <w:r w:rsidR="00BE4FE1">
        <w:rPr>
          <w:rFonts w:ascii="Times New Roman" w:hAnsi="Times New Roman"/>
          <w:sz w:val="28"/>
          <w:szCs w:val="28"/>
          <w:lang w:val="uk-UA"/>
        </w:rPr>
        <w:t>включення компоненту корекції антиоксидантного захисту у програми лікування та профілактики хронічного гінгівіту на тлі атопічних захворювань. Отримані результати доводять можливість використання рівня відновленого глутатіону як біомаркеру для п</w:t>
      </w:r>
      <w:r w:rsidR="00BE4FE1" w:rsidRPr="00E433D4">
        <w:rPr>
          <w:rFonts w:ascii="Times New Roman" w:hAnsi="Times New Roman"/>
          <w:sz w:val="28"/>
          <w:szCs w:val="28"/>
          <w:lang w:val="uk-UA"/>
        </w:rPr>
        <w:t>рогн</w:t>
      </w:r>
      <w:r w:rsidR="00BE4FE1">
        <w:rPr>
          <w:rFonts w:ascii="Times New Roman" w:hAnsi="Times New Roman"/>
          <w:sz w:val="28"/>
          <w:szCs w:val="28"/>
          <w:lang w:val="uk-UA"/>
        </w:rPr>
        <w:t xml:space="preserve">озу розвитку </w:t>
      </w:r>
      <w:r w:rsidR="00BE4FE1" w:rsidRPr="00BE4FE1">
        <w:rPr>
          <w:rFonts w:ascii="Times New Roman" w:hAnsi="Times New Roman"/>
          <w:sz w:val="28"/>
          <w:szCs w:val="28"/>
          <w:lang w:val="uk-UA"/>
        </w:rPr>
        <w:t>майбутньої хвороби, так і для прогнозу майбутньої ініціації захворювання у теперішніх пародонтологічно здорових осіб.</w:t>
      </w:r>
    </w:p>
    <w:p w14:paraId="5D12634F" w14:textId="4D747BB4" w:rsidR="00892117" w:rsidRDefault="00120475"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Ще одним параметром, який характеризує функціонування антиоксидантної системи є рівень уреази у ротовій рідині. Результати її </w:t>
      </w:r>
      <w:r w:rsidR="00FB72F7">
        <w:rPr>
          <w:rFonts w:ascii="Times New Roman" w:hAnsi="Times New Roman"/>
          <w:sz w:val="28"/>
          <w:szCs w:val="28"/>
          <w:lang w:val="uk-UA"/>
        </w:rPr>
        <w:t>дослідження наведені у таблиці 5</w:t>
      </w:r>
      <w:r>
        <w:rPr>
          <w:rFonts w:ascii="Times New Roman" w:hAnsi="Times New Roman"/>
          <w:sz w:val="28"/>
          <w:szCs w:val="28"/>
          <w:lang w:val="uk-UA"/>
        </w:rPr>
        <w:t>.5.</w:t>
      </w:r>
    </w:p>
    <w:p w14:paraId="358F4FC8" w14:textId="3FA6FB03" w:rsidR="00376DF7" w:rsidRDefault="00376DF7" w:rsidP="00376D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відомо, уреаза є </w:t>
      </w:r>
      <w:r w:rsidR="009953B6">
        <w:rPr>
          <w:rFonts w:ascii="Times New Roman" w:hAnsi="Times New Roman"/>
          <w:sz w:val="28"/>
          <w:szCs w:val="28"/>
          <w:lang w:val="uk-UA"/>
        </w:rPr>
        <w:t>одним з показників гомеостазу ротової порожнини</w:t>
      </w:r>
      <w:r>
        <w:rPr>
          <w:rFonts w:ascii="Times New Roman" w:hAnsi="Times New Roman"/>
          <w:sz w:val="28"/>
          <w:szCs w:val="28"/>
          <w:lang w:val="uk-UA"/>
        </w:rPr>
        <w:t xml:space="preserve">.. Згідно з отриманими даними, ми не зафіксували достовірної різниці у показниках активності уреази між контрольною та основними групами як на початку дослідження, так і впродовж усього строку спостережень. </w:t>
      </w:r>
    </w:p>
    <w:p w14:paraId="6CD9558F" w14:textId="77777777" w:rsidR="00376DF7" w:rsidRDefault="00376DF7" w:rsidP="00376DF7">
      <w:pPr>
        <w:spacing w:after="0" w:line="360" w:lineRule="auto"/>
        <w:jc w:val="both"/>
        <w:rPr>
          <w:rFonts w:ascii="Times New Roman" w:hAnsi="Times New Roman"/>
          <w:sz w:val="28"/>
          <w:szCs w:val="28"/>
          <w:lang w:val="uk-UA"/>
        </w:rPr>
      </w:pPr>
    </w:p>
    <w:p w14:paraId="3B1C5216" w14:textId="76034486" w:rsidR="00120475" w:rsidRPr="001D3B85" w:rsidRDefault="00FB72F7" w:rsidP="00120475">
      <w:pPr>
        <w:spacing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F77C87">
        <w:rPr>
          <w:rFonts w:ascii="Times New Roman" w:eastAsia="Calibri" w:hAnsi="Times New Roman" w:cs="Times New Roman"/>
          <w:sz w:val="28"/>
          <w:szCs w:val="28"/>
          <w:lang w:val="uk-UA"/>
        </w:rPr>
        <w:t>.5</w:t>
      </w:r>
    </w:p>
    <w:p w14:paraId="4885FBD2" w14:textId="73344A82" w:rsidR="00120475" w:rsidRDefault="00120475" w:rsidP="00B411CE">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змін </w:t>
      </w:r>
      <w:r w:rsidR="00037244">
        <w:rPr>
          <w:rFonts w:ascii="Times New Roman" w:eastAsia="Calibri" w:hAnsi="Times New Roman" w:cs="Times New Roman"/>
          <w:sz w:val="28"/>
          <w:szCs w:val="28"/>
          <w:lang w:val="uk-UA"/>
        </w:rPr>
        <w:t>активності</w:t>
      </w:r>
      <w:r>
        <w:rPr>
          <w:rFonts w:ascii="Times New Roman" w:eastAsia="Calibri" w:hAnsi="Times New Roman" w:cs="Times New Roman"/>
          <w:sz w:val="28"/>
          <w:szCs w:val="28"/>
          <w:lang w:val="uk-UA"/>
        </w:rPr>
        <w:t xml:space="preserve"> </w:t>
      </w:r>
      <w:r w:rsidR="00F66800">
        <w:rPr>
          <w:rFonts w:ascii="Times New Roman" w:eastAsia="Calibri" w:hAnsi="Times New Roman" w:cs="Times New Roman"/>
          <w:sz w:val="28"/>
          <w:szCs w:val="28"/>
          <w:lang w:val="uk-UA"/>
        </w:rPr>
        <w:t>уреази</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120475" w:rsidRPr="00E47C34" w14:paraId="1C6A7335" w14:textId="77777777" w:rsidTr="00F554F3">
        <w:trPr>
          <w:trHeight w:val="471"/>
          <w:jc w:val="center"/>
        </w:trPr>
        <w:tc>
          <w:tcPr>
            <w:tcW w:w="1838" w:type="dxa"/>
            <w:vMerge w:val="restart"/>
            <w:shd w:val="clear" w:color="auto" w:fill="auto"/>
          </w:tcPr>
          <w:p w14:paraId="571A7B5C" w14:textId="77777777" w:rsidR="00120475" w:rsidRPr="002804DE" w:rsidRDefault="00120475" w:rsidP="00F554F3">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2DFB4A9F" w14:textId="703D771C" w:rsidR="00120475" w:rsidRPr="00014A22" w:rsidRDefault="00F66800" w:rsidP="00F554F3">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Уреаза</w:t>
            </w:r>
            <w:r w:rsidR="00120475">
              <w:rPr>
                <w:rFonts w:ascii="Times New Roman" w:hAnsi="Times New Roman"/>
                <w:sz w:val="28"/>
                <w:szCs w:val="28"/>
                <w:lang w:val="uk-UA"/>
              </w:rPr>
              <w:t xml:space="preserve">, </w:t>
            </w:r>
            <w:r w:rsidR="00E47C34">
              <w:rPr>
                <w:rFonts w:ascii="Times New Roman" w:hAnsi="Times New Roman"/>
                <w:sz w:val="28"/>
                <w:szCs w:val="28"/>
                <w:lang w:val="uk-UA"/>
              </w:rPr>
              <w:t>мкмоль/хв</w:t>
            </w:r>
            <w:r w:rsidR="00E47C34" w:rsidRPr="00E47C34">
              <w:rPr>
                <w:rFonts w:ascii="Times New Roman" w:hAnsi="Times New Roman"/>
                <w:sz w:val="28"/>
                <w:szCs w:val="28"/>
                <w:lang w:val="uk-UA"/>
              </w:rPr>
              <w:t>/л</w:t>
            </w:r>
          </w:p>
        </w:tc>
      </w:tr>
      <w:tr w:rsidR="00120475" w:rsidRPr="00043875" w14:paraId="67C97955" w14:textId="77777777" w:rsidTr="00F554F3">
        <w:trPr>
          <w:trHeight w:val="486"/>
          <w:jc w:val="center"/>
        </w:trPr>
        <w:tc>
          <w:tcPr>
            <w:tcW w:w="1838" w:type="dxa"/>
            <w:vMerge/>
            <w:shd w:val="clear" w:color="auto" w:fill="auto"/>
          </w:tcPr>
          <w:p w14:paraId="3AD269A2" w14:textId="77777777" w:rsidR="00120475" w:rsidRPr="002804DE" w:rsidRDefault="00120475" w:rsidP="00F554F3">
            <w:pPr>
              <w:spacing w:after="0" w:line="360" w:lineRule="auto"/>
              <w:ind w:hanging="5"/>
              <w:jc w:val="center"/>
              <w:rPr>
                <w:rFonts w:ascii="Times New Roman" w:hAnsi="Times New Roman"/>
                <w:sz w:val="28"/>
                <w:szCs w:val="28"/>
                <w:lang w:val="uk-UA"/>
              </w:rPr>
            </w:pPr>
          </w:p>
        </w:tc>
        <w:tc>
          <w:tcPr>
            <w:tcW w:w="1418" w:type="dxa"/>
            <w:shd w:val="clear" w:color="auto" w:fill="auto"/>
          </w:tcPr>
          <w:p w14:paraId="352B3A3A" w14:textId="77777777" w:rsidR="00120475" w:rsidRPr="002804DE" w:rsidRDefault="00120475" w:rsidP="00F554F3">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56659CC2" w14:textId="77777777" w:rsidR="00120475" w:rsidRPr="002804DE" w:rsidRDefault="00120475" w:rsidP="00F554F3">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133BA894" w14:textId="77777777" w:rsidR="00120475" w:rsidRPr="002804DE" w:rsidRDefault="00120475" w:rsidP="00F554F3">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72BEF108" w14:textId="77777777" w:rsidR="00120475" w:rsidRPr="002804DE" w:rsidRDefault="00120475"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2231B3BF" w14:textId="77777777" w:rsidR="00120475" w:rsidRPr="002804DE" w:rsidRDefault="00120475" w:rsidP="00F554F3">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120475" w:rsidRPr="00043875" w14:paraId="7CD9EB88" w14:textId="77777777" w:rsidTr="00F554F3">
        <w:trPr>
          <w:trHeight w:val="429"/>
          <w:jc w:val="center"/>
        </w:trPr>
        <w:tc>
          <w:tcPr>
            <w:tcW w:w="1838" w:type="dxa"/>
            <w:shd w:val="clear" w:color="auto" w:fill="auto"/>
          </w:tcPr>
          <w:p w14:paraId="37408EA4" w14:textId="77777777" w:rsidR="00120475" w:rsidRPr="002804DE" w:rsidRDefault="00120475" w:rsidP="00F554F3">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42ACFE79" w14:textId="6599D3BE" w:rsidR="00120475" w:rsidRPr="002804DE" w:rsidRDefault="00F66800" w:rsidP="006504E1">
            <w:pPr>
              <w:spacing w:after="0" w:line="360" w:lineRule="auto"/>
              <w:rPr>
                <w:rFonts w:ascii="Times New Roman" w:hAnsi="Times New Roman"/>
                <w:sz w:val="28"/>
                <w:szCs w:val="28"/>
                <w:lang w:val="uk-UA"/>
              </w:rPr>
            </w:pPr>
            <w:r>
              <w:rPr>
                <w:rFonts w:ascii="Times New Roman" w:hAnsi="Times New Roman"/>
                <w:sz w:val="28"/>
                <w:szCs w:val="28"/>
                <w:lang w:val="uk-UA"/>
              </w:rPr>
              <w:t>6.60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417" w:type="dxa"/>
            <w:shd w:val="clear" w:color="auto" w:fill="auto"/>
          </w:tcPr>
          <w:p w14:paraId="01AB3A15" w14:textId="6563DF7F"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6.40</w:t>
            </w:r>
            <w:r w:rsidRPr="00F66800">
              <w:rPr>
                <w:rFonts w:ascii="Times New Roman" w:hAnsi="Times New Roman"/>
                <w:sz w:val="28"/>
                <w:szCs w:val="28"/>
                <w:lang w:val="uk-UA"/>
              </w:rPr>
              <w:t>±</w:t>
            </w:r>
            <w:r w:rsidR="006504E1" w:rsidRPr="006504E1">
              <w:rPr>
                <w:rFonts w:ascii="Times New Roman" w:hAnsi="Times New Roman"/>
                <w:sz w:val="28"/>
                <w:szCs w:val="28"/>
                <w:lang w:val="uk-UA"/>
              </w:rPr>
              <w:t>1.51</w:t>
            </w:r>
          </w:p>
        </w:tc>
        <w:tc>
          <w:tcPr>
            <w:tcW w:w="1559" w:type="dxa"/>
            <w:shd w:val="clear" w:color="auto" w:fill="auto"/>
          </w:tcPr>
          <w:p w14:paraId="20DFEE1B" w14:textId="64752FE8"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5.40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570" w:type="dxa"/>
            <w:shd w:val="clear" w:color="auto" w:fill="auto"/>
          </w:tcPr>
          <w:p w14:paraId="49BE374F" w14:textId="64FBC2B4"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5.90</w:t>
            </w:r>
            <w:r>
              <w:rPr>
                <w:rFonts w:ascii="Times New Roman" w:hAnsi="Times New Roman" w:cs="Times New Roman"/>
                <w:sz w:val="28"/>
                <w:szCs w:val="28"/>
                <w:lang w:val="uk-UA"/>
              </w:rPr>
              <w:t>±</w:t>
            </w:r>
            <w:r w:rsidR="006504E1" w:rsidRPr="006504E1">
              <w:rPr>
                <w:rFonts w:ascii="Times New Roman" w:hAnsi="Times New Roman"/>
                <w:sz w:val="28"/>
                <w:szCs w:val="28"/>
                <w:lang w:val="uk-UA"/>
              </w:rPr>
              <w:t>1.54</w:t>
            </w:r>
          </w:p>
        </w:tc>
        <w:tc>
          <w:tcPr>
            <w:tcW w:w="1483" w:type="dxa"/>
            <w:shd w:val="clear" w:color="auto" w:fill="auto"/>
          </w:tcPr>
          <w:p w14:paraId="215CB6B4" w14:textId="724F8722" w:rsidR="00120475" w:rsidRPr="00307B1F"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4.51</w:t>
            </w:r>
            <w:r w:rsidRPr="00F66800">
              <w:rPr>
                <w:rFonts w:ascii="Times New Roman" w:hAnsi="Times New Roman"/>
                <w:sz w:val="28"/>
                <w:szCs w:val="28"/>
                <w:lang w:val="uk-UA"/>
              </w:rPr>
              <w:t>±</w:t>
            </w:r>
            <w:r w:rsidR="006504E1" w:rsidRPr="006504E1">
              <w:rPr>
                <w:rFonts w:ascii="Times New Roman" w:hAnsi="Times New Roman"/>
                <w:sz w:val="28"/>
                <w:szCs w:val="28"/>
                <w:lang w:val="uk-UA"/>
              </w:rPr>
              <w:t>0.76</w:t>
            </w:r>
          </w:p>
        </w:tc>
      </w:tr>
      <w:tr w:rsidR="00120475" w:rsidRPr="00043875" w14:paraId="31E75BFB" w14:textId="77777777" w:rsidTr="00F554F3">
        <w:trPr>
          <w:trHeight w:val="427"/>
          <w:jc w:val="center"/>
        </w:trPr>
        <w:tc>
          <w:tcPr>
            <w:tcW w:w="1838" w:type="dxa"/>
            <w:shd w:val="clear" w:color="auto" w:fill="auto"/>
          </w:tcPr>
          <w:p w14:paraId="4F2DBFEF" w14:textId="77777777" w:rsidR="00120475" w:rsidRPr="002804DE" w:rsidRDefault="00120475" w:rsidP="00F554F3">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292913A9" w14:textId="025ACE41" w:rsidR="00120475" w:rsidRPr="002804DE" w:rsidRDefault="006504E1" w:rsidP="006504E1">
            <w:pPr>
              <w:spacing w:after="0" w:line="360" w:lineRule="auto"/>
              <w:rPr>
                <w:rFonts w:ascii="Times New Roman" w:hAnsi="Times New Roman"/>
                <w:sz w:val="28"/>
                <w:szCs w:val="28"/>
                <w:lang w:val="uk-UA"/>
              </w:rPr>
            </w:pPr>
            <w:r w:rsidRPr="006504E1">
              <w:rPr>
                <w:rFonts w:ascii="Times New Roman" w:hAnsi="Times New Roman"/>
                <w:sz w:val="28"/>
                <w:szCs w:val="28"/>
                <w:lang w:val="uk-UA"/>
              </w:rPr>
              <w:t>5.98</w:t>
            </w:r>
            <w:r w:rsidR="00F66800">
              <w:rPr>
                <w:rFonts w:ascii="Times New Roman" w:hAnsi="Times New Roman" w:cs="Times New Roman"/>
                <w:sz w:val="28"/>
                <w:szCs w:val="28"/>
                <w:lang w:val="uk-UA"/>
              </w:rPr>
              <w:t>±</w:t>
            </w:r>
            <w:r w:rsidRPr="006504E1">
              <w:rPr>
                <w:rFonts w:ascii="Times New Roman" w:hAnsi="Times New Roman"/>
                <w:sz w:val="28"/>
                <w:szCs w:val="28"/>
                <w:lang w:val="uk-UA"/>
              </w:rPr>
              <w:t>1.30</w:t>
            </w:r>
          </w:p>
        </w:tc>
        <w:tc>
          <w:tcPr>
            <w:tcW w:w="1417" w:type="dxa"/>
            <w:shd w:val="clear" w:color="auto" w:fill="auto"/>
          </w:tcPr>
          <w:p w14:paraId="27E3FA16" w14:textId="295BE444"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5.90</w:t>
            </w:r>
            <w:r w:rsidR="00F66800">
              <w:rPr>
                <w:rFonts w:ascii="Times New Roman" w:hAnsi="Times New Roman" w:cs="Times New Roman"/>
                <w:sz w:val="28"/>
                <w:szCs w:val="28"/>
                <w:lang w:val="uk-UA"/>
              </w:rPr>
              <w:t>±</w:t>
            </w:r>
            <w:r w:rsidRPr="006504E1">
              <w:rPr>
                <w:rFonts w:ascii="Times New Roman" w:hAnsi="Times New Roman"/>
                <w:sz w:val="28"/>
                <w:szCs w:val="28"/>
                <w:lang w:val="uk-UA"/>
              </w:rPr>
              <w:t>1.39</w:t>
            </w:r>
          </w:p>
        </w:tc>
        <w:tc>
          <w:tcPr>
            <w:tcW w:w="1559" w:type="dxa"/>
            <w:shd w:val="clear" w:color="auto" w:fill="auto"/>
          </w:tcPr>
          <w:p w14:paraId="6FFDE09A" w14:textId="13C0414B"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5.36</w:t>
            </w:r>
            <w:r w:rsidR="00F66800">
              <w:rPr>
                <w:rFonts w:ascii="Times New Roman" w:hAnsi="Times New Roman" w:cs="Times New Roman"/>
                <w:sz w:val="28"/>
                <w:szCs w:val="28"/>
                <w:lang w:val="uk-UA"/>
              </w:rPr>
              <w:t>±</w:t>
            </w:r>
            <w:r w:rsidRPr="006504E1">
              <w:rPr>
                <w:rFonts w:ascii="Times New Roman" w:hAnsi="Times New Roman"/>
                <w:sz w:val="28"/>
                <w:szCs w:val="28"/>
                <w:lang w:val="uk-UA"/>
              </w:rPr>
              <w:t>1.13</w:t>
            </w:r>
          </w:p>
        </w:tc>
        <w:tc>
          <w:tcPr>
            <w:tcW w:w="1570" w:type="dxa"/>
            <w:shd w:val="clear" w:color="auto" w:fill="auto"/>
          </w:tcPr>
          <w:p w14:paraId="799E6023" w14:textId="1A4A315A" w:rsidR="00120475" w:rsidRPr="002804DE" w:rsidRDefault="006504E1" w:rsidP="00F66800">
            <w:pPr>
              <w:spacing w:after="0" w:line="360" w:lineRule="auto"/>
              <w:jc w:val="center"/>
              <w:rPr>
                <w:rFonts w:ascii="Times New Roman" w:hAnsi="Times New Roman"/>
                <w:sz w:val="28"/>
                <w:szCs w:val="28"/>
                <w:lang w:val="uk-UA"/>
              </w:rPr>
            </w:pPr>
            <w:r w:rsidRPr="006504E1">
              <w:rPr>
                <w:rFonts w:ascii="Times New Roman" w:hAnsi="Times New Roman"/>
                <w:sz w:val="28"/>
                <w:szCs w:val="28"/>
                <w:lang w:val="uk-UA"/>
              </w:rPr>
              <w:t>5.24</w:t>
            </w:r>
            <w:r w:rsidR="00F66800">
              <w:rPr>
                <w:rFonts w:ascii="Times New Roman" w:hAnsi="Times New Roman" w:cs="Times New Roman"/>
                <w:sz w:val="28"/>
                <w:szCs w:val="28"/>
                <w:lang w:val="uk-UA"/>
              </w:rPr>
              <w:t>±</w:t>
            </w:r>
            <w:r w:rsidRPr="006504E1">
              <w:rPr>
                <w:rFonts w:ascii="Times New Roman" w:hAnsi="Times New Roman"/>
                <w:sz w:val="28"/>
                <w:szCs w:val="28"/>
                <w:lang w:val="uk-UA"/>
              </w:rPr>
              <w:t>1.15</w:t>
            </w:r>
          </w:p>
        </w:tc>
        <w:tc>
          <w:tcPr>
            <w:tcW w:w="1483" w:type="dxa"/>
            <w:shd w:val="clear" w:color="auto" w:fill="auto"/>
          </w:tcPr>
          <w:p w14:paraId="4BDB2A02" w14:textId="6AB72ABF"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5.52</w:t>
            </w:r>
            <w:r w:rsidRPr="00F66800">
              <w:rPr>
                <w:rFonts w:ascii="Times New Roman" w:hAnsi="Times New Roman"/>
                <w:sz w:val="28"/>
                <w:szCs w:val="28"/>
                <w:lang w:val="uk-UA"/>
              </w:rPr>
              <w:t>±</w:t>
            </w:r>
            <w:r w:rsidR="006504E1" w:rsidRPr="006504E1">
              <w:rPr>
                <w:rFonts w:ascii="Times New Roman" w:hAnsi="Times New Roman"/>
                <w:sz w:val="28"/>
                <w:szCs w:val="28"/>
                <w:lang w:val="uk-UA"/>
              </w:rPr>
              <w:t>0.86</w:t>
            </w:r>
          </w:p>
        </w:tc>
      </w:tr>
      <w:tr w:rsidR="00120475" w:rsidRPr="002804DE" w14:paraId="08AD6F1D" w14:textId="77777777" w:rsidTr="00F554F3">
        <w:trPr>
          <w:trHeight w:val="577"/>
          <w:jc w:val="center"/>
        </w:trPr>
        <w:tc>
          <w:tcPr>
            <w:tcW w:w="1838" w:type="dxa"/>
            <w:shd w:val="clear" w:color="auto" w:fill="auto"/>
          </w:tcPr>
          <w:p w14:paraId="13C06A14" w14:textId="77777777" w:rsidR="00120475" w:rsidRPr="002804DE" w:rsidRDefault="00120475" w:rsidP="00F554F3">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57B23617" w14:textId="48335DE4" w:rsidR="00120475" w:rsidRPr="002804DE" w:rsidRDefault="00F66800" w:rsidP="006504E1">
            <w:pPr>
              <w:spacing w:after="0" w:line="360" w:lineRule="auto"/>
              <w:rPr>
                <w:rFonts w:ascii="Times New Roman" w:hAnsi="Times New Roman"/>
                <w:sz w:val="28"/>
                <w:szCs w:val="28"/>
                <w:lang w:val="uk-UA"/>
              </w:rPr>
            </w:pPr>
            <w:r>
              <w:rPr>
                <w:rFonts w:ascii="Times New Roman" w:hAnsi="Times New Roman"/>
                <w:sz w:val="28"/>
                <w:szCs w:val="28"/>
                <w:lang w:val="uk-UA"/>
              </w:rPr>
              <w:t>5.19</w:t>
            </w:r>
            <w:r>
              <w:rPr>
                <w:rFonts w:ascii="Times New Roman" w:hAnsi="Times New Roman" w:cs="Times New Roman"/>
                <w:sz w:val="28"/>
                <w:szCs w:val="28"/>
                <w:lang w:val="uk-UA"/>
              </w:rPr>
              <w:t>±</w:t>
            </w:r>
            <w:r w:rsidR="006504E1" w:rsidRPr="006504E1">
              <w:rPr>
                <w:rFonts w:ascii="Times New Roman" w:hAnsi="Times New Roman"/>
                <w:sz w:val="28"/>
                <w:szCs w:val="28"/>
                <w:lang w:val="uk-UA"/>
              </w:rPr>
              <w:t>0.95</w:t>
            </w:r>
          </w:p>
        </w:tc>
        <w:tc>
          <w:tcPr>
            <w:tcW w:w="1417" w:type="dxa"/>
            <w:shd w:val="clear" w:color="auto" w:fill="auto"/>
          </w:tcPr>
          <w:p w14:paraId="6AD1EC5D" w14:textId="1916333E"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5.22</w:t>
            </w:r>
            <w:r>
              <w:rPr>
                <w:rFonts w:ascii="Times New Roman" w:hAnsi="Times New Roman" w:cs="Times New Roman"/>
                <w:sz w:val="28"/>
                <w:szCs w:val="28"/>
                <w:lang w:val="uk-UA"/>
              </w:rPr>
              <w:t>±</w:t>
            </w:r>
            <w:r w:rsidR="006504E1" w:rsidRPr="006504E1">
              <w:rPr>
                <w:rFonts w:ascii="Times New Roman" w:hAnsi="Times New Roman"/>
                <w:sz w:val="28"/>
                <w:szCs w:val="28"/>
                <w:lang w:val="uk-UA"/>
              </w:rPr>
              <w:t>1.43</w:t>
            </w:r>
          </w:p>
        </w:tc>
        <w:tc>
          <w:tcPr>
            <w:tcW w:w="1559" w:type="dxa"/>
            <w:shd w:val="clear" w:color="auto" w:fill="auto"/>
          </w:tcPr>
          <w:p w14:paraId="1265AE17" w14:textId="058F1CA0"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5.30</w:t>
            </w:r>
            <w:r>
              <w:rPr>
                <w:rFonts w:ascii="Times New Roman" w:hAnsi="Times New Roman" w:cs="Times New Roman"/>
                <w:sz w:val="28"/>
                <w:szCs w:val="28"/>
                <w:lang w:val="uk-UA"/>
              </w:rPr>
              <w:t>±</w:t>
            </w:r>
            <w:r w:rsidR="006504E1" w:rsidRPr="006504E1">
              <w:rPr>
                <w:rFonts w:ascii="Times New Roman" w:hAnsi="Times New Roman"/>
                <w:sz w:val="28"/>
                <w:szCs w:val="28"/>
                <w:lang w:val="uk-UA"/>
              </w:rPr>
              <w:t>1.47</w:t>
            </w:r>
          </w:p>
        </w:tc>
        <w:tc>
          <w:tcPr>
            <w:tcW w:w="1570" w:type="dxa"/>
            <w:shd w:val="clear" w:color="auto" w:fill="auto"/>
          </w:tcPr>
          <w:p w14:paraId="61D45709" w14:textId="3845EBEC"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5.14</w:t>
            </w:r>
            <w:r w:rsidRPr="00F66800">
              <w:rPr>
                <w:rFonts w:ascii="Times New Roman" w:hAnsi="Times New Roman"/>
                <w:sz w:val="28"/>
                <w:szCs w:val="28"/>
                <w:lang w:val="uk-UA"/>
              </w:rPr>
              <w:t>±</w:t>
            </w:r>
            <w:r w:rsidR="006504E1" w:rsidRPr="006504E1">
              <w:rPr>
                <w:rFonts w:ascii="Times New Roman" w:hAnsi="Times New Roman"/>
                <w:sz w:val="28"/>
                <w:szCs w:val="28"/>
                <w:lang w:val="uk-UA"/>
              </w:rPr>
              <w:t>1.99</w:t>
            </w:r>
          </w:p>
        </w:tc>
        <w:tc>
          <w:tcPr>
            <w:tcW w:w="1483" w:type="dxa"/>
            <w:shd w:val="clear" w:color="auto" w:fill="auto"/>
          </w:tcPr>
          <w:p w14:paraId="2A1BD454" w14:textId="46FE3CA0" w:rsidR="00120475" w:rsidRPr="002804DE" w:rsidRDefault="00F66800" w:rsidP="00F66800">
            <w:pPr>
              <w:spacing w:after="0" w:line="360" w:lineRule="auto"/>
              <w:jc w:val="center"/>
              <w:rPr>
                <w:rFonts w:ascii="Times New Roman" w:hAnsi="Times New Roman"/>
                <w:sz w:val="28"/>
                <w:szCs w:val="28"/>
                <w:lang w:val="uk-UA"/>
              </w:rPr>
            </w:pPr>
            <w:r>
              <w:rPr>
                <w:rFonts w:ascii="Times New Roman" w:hAnsi="Times New Roman"/>
                <w:sz w:val="28"/>
                <w:szCs w:val="28"/>
                <w:lang w:val="uk-UA"/>
              </w:rPr>
              <w:t>5.72</w:t>
            </w:r>
            <w:r w:rsidRPr="00F66800">
              <w:rPr>
                <w:rFonts w:ascii="Times New Roman" w:hAnsi="Times New Roman"/>
                <w:sz w:val="28"/>
                <w:szCs w:val="28"/>
                <w:lang w:val="uk-UA"/>
              </w:rPr>
              <w:t>±</w:t>
            </w:r>
            <w:r w:rsidR="006504E1" w:rsidRPr="006504E1">
              <w:rPr>
                <w:rFonts w:ascii="Times New Roman" w:hAnsi="Times New Roman"/>
                <w:sz w:val="28"/>
                <w:szCs w:val="28"/>
                <w:lang w:val="uk-UA"/>
              </w:rPr>
              <w:t>0.62</w:t>
            </w:r>
          </w:p>
        </w:tc>
      </w:tr>
    </w:tbl>
    <w:p w14:paraId="008C61CA" w14:textId="77777777" w:rsidR="00120475" w:rsidRDefault="00120475" w:rsidP="00376DF7">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3F20F17" w14:textId="77777777" w:rsidR="00376DF7" w:rsidRPr="00F42F7A" w:rsidRDefault="00376DF7" w:rsidP="00376DF7">
      <w:pPr>
        <w:spacing w:after="0" w:line="360" w:lineRule="auto"/>
        <w:jc w:val="both"/>
        <w:rPr>
          <w:rFonts w:ascii="Times New Roman" w:hAnsi="Times New Roman"/>
          <w:sz w:val="28"/>
          <w:szCs w:val="28"/>
          <w:lang w:val="uk-UA"/>
        </w:rPr>
      </w:pPr>
      <w:r w:rsidRPr="00F42F7A">
        <w:rPr>
          <w:rFonts w:ascii="Times New Roman" w:hAnsi="Times New Roman"/>
          <w:sz w:val="28"/>
          <w:szCs w:val="28"/>
          <w:vertAlign w:val="sub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68B43214" w14:textId="5839DFCA"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3F878DC" w14:textId="77777777" w:rsidR="009953B6" w:rsidRDefault="009953B6" w:rsidP="009E10F1">
      <w:pPr>
        <w:spacing w:after="0" w:line="360" w:lineRule="auto"/>
        <w:ind w:firstLine="709"/>
        <w:jc w:val="both"/>
        <w:rPr>
          <w:rFonts w:ascii="Times New Roman" w:hAnsi="Times New Roman"/>
          <w:sz w:val="28"/>
          <w:szCs w:val="28"/>
          <w:lang w:val="uk-UA"/>
        </w:rPr>
      </w:pPr>
    </w:p>
    <w:p w14:paraId="14E5C2B2" w14:textId="54A038F1" w:rsidR="00402F77" w:rsidRDefault="00402F7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на </w:t>
      </w:r>
      <w:r w:rsidR="00D12AE4">
        <w:rPr>
          <w:rFonts w:ascii="Times New Roman" w:hAnsi="Times New Roman"/>
          <w:sz w:val="28"/>
          <w:szCs w:val="28"/>
          <w:lang w:val="uk-UA"/>
        </w:rPr>
        <w:t xml:space="preserve">початку дослідження активність </w:t>
      </w:r>
      <w:r>
        <w:rPr>
          <w:rFonts w:ascii="Times New Roman" w:hAnsi="Times New Roman"/>
          <w:sz w:val="28"/>
          <w:szCs w:val="28"/>
          <w:lang w:val="uk-UA"/>
        </w:rPr>
        <w:t>уреази склала у першій групі 6.60</w:t>
      </w:r>
      <w:r>
        <w:rPr>
          <w:rFonts w:ascii="Times New Roman" w:hAnsi="Times New Roman" w:cs="Times New Roman"/>
          <w:sz w:val="28"/>
          <w:szCs w:val="28"/>
          <w:lang w:val="uk-UA"/>
        </w:rPr>
        <w:t>±</w:t>
      </w:r>
      <w:r w:rsidRPr="006504E1">
        <w:rPr>
          <w:rFonts w:ascii="Times New Roman" w:hAnsi="Times New Roman"/>
          <w:sz w:val="28"/>
          <w:szCs w:val="28"/>
          <w:lang w:val="uk-UA"/>
        </w:rPr>
        <w:t>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шість місяців </w:t>
      </w:r>
      <w:r w:rsidRPr="006504E1">
        <w:rPr>
          <w:rFonts w:ascii="Times New Roman" w:hAnsi="Times New Roman"/>
          <w:sz w:val="28"/>
          <w:szCs w:val="28"/>
          <w:lang w:val="uk-UA"/>
        </w:rPr>
        <w:t>5.98</w:t>
      </w:r>
      <w:r>
        <w:rPr>
          <w:rFonts w:ascii="Times New Roman" w:hAnsi="Times New Roman" w:cs="Times New Roman"/>
          <w:sz w:val="28"/>
          <w:szCs w:val="28"/>
          <w:lang w:val="uk-UA"/>
        </w:rPr>
        <w:t>±</w:t>
      </w:r>
      <w:r w:rsidRPr="006504E1">
        <w:rPr>
          <w:rFonts w:ascii="Times New Roman" w:hAnsi="Times New Roman"/>
          <w:sz w:val="28"/>
          <w:szCs w:val="28"/>
          <w:lang w:val="uk-UA"/>
        </w:rPr>
        <w:t>1.30</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через дванадцять місяців 5.19</w:t>
      </w:r>
      <w:r>
        <w:rPr>
          <w:rFonts w:ascii="Times New Roman" w:hAnsi="Times New Roman" w:cs="Times New Roman"/>
          <w:sz w:val="28"/>
          <w:szCs w:val="28"/>
          <w:lang w:val="uk-UA"/>
        </w:rPr>
        <w:t>±</w:t>
      </w:r>
      <w:r w:rsidRPr="006504E1">
        <w:rPr>
          <w:rFonts w:ascii="Times New Roman" w:hAnsi="Times New Roman"/>
          <w:sz w:val="28"/>
          <w:szCs w:val="28"/>
          <w:lang w:val="uk-UA"/>
        </w:rPr>
        <w:t>0.95</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Аналогічну ситуацію ми спостерігали у другій групі, де на початку дослідження був визначений рівень уреази </w:t>
      </w:r>
      <w:r w:rsidRPr="00402F77">
        <w:rPr>
          <w:rFonts w:ascii="Times New Roman" w:hAnsi="Times New Roman"/>
          <w:sz w:val="28"/>
          <w:szCs w:val="28"/>
          <w:lang w:val="uk-UA"/>
        </w:rPr>
        <w:t>6.40±1.51</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шість місяців </w:t>
      </w:r>
      <w:r w:rsidRPr="00402F77">
        <w:rPr>
          <w:rFonts w:ascii="Times New Roman" w:hAnsi="Times New Roman"/>
          <w:sz w:val="28"/>
          <w:szCs w:val="28"/>
          <w:lang w:val="uk-UA"/>
        </w:rPr>
        <w:t>5.90±1.39</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xml:space="preserve">, через дванадцять місяців </w:t>
      </w:r>
      <w:r w:rsidRPr="00402F77">
        <w:rPr>
          <w:rFonts w:ascii="Times New Roman" w:hAnsi="Times New Roman"/>
          <w:sz w:val="28"/>
          <w:szCs w:val="28"/>
          <w:lang w:val="uk-UA"/>
        </w:rPr>
        <w:t>5.22±1.43</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Pr>
          <w:rFonts w:ascii="Times New Roman" w:hAnsi="Times New Roman"/>
          <w:sz w:val="28"/>
          <w:szCs w:val="28"/>
          <w:lang w:val="uk-UA"/>
        </w:rPr>
        <w:t>. Отже, у першій та другій групах, які були представлені дітьми з атопічними захворюваннями</w:t>
      </w:r>
      <w:r w:rsidR="00D12AE4">
        <w:rPr>
          <w:rFonts w:ascii="Times New Roman" w:hAnsi="Times New Roman"/>
          <w:sz w:val="28"/>
          <w:szCs w:val="28"/>
          <w:lang w:val="uk-UA"/>
        </w:rPr>
        <w:t xml:space="preserve">, ми спостерігали деякий спад активності уреази, проте достовірної різниці між групами та на протязі спостережень встановлено не було. Даний факт свідчить про немікробну етіологію хронічного гінгівіту у пацієнтів на тлі атопічних захворювань. Оскільки </w:t>
      </w:r>
      <w:r w:rsidR="00B10147">
        <w:rPr>
          <w:rFonts w:ascii="Times New Roman" w:hAnsi="Times New Roman"/>
          <w:sz w:val="28"/>
          <w:szCs w:val="28"/>
          <w:lang w:val="uk-UA"/>
        </w:rPr>
        <w:t xml:space="preserve">концептуально нові </w:t>
      </w:r>
      <w:r w:rsidR="00D12AE4">
        <w:rPr>
          <w:rFonts w:ascii="Times New Roman" w:hAnsi="Times New Roman"/>
          <w:sz w:val="28"/>
          <w:szCs w:val="28"/>
          <w:lang w:val="uk-UA"/>
        </w:rPr>
        <w:t>програми лікування та профілактики показали свою ефективність як за клінічними показниками, так і за змінами стану антиоксидантної системи, відсутність змін у активності уреази говорить про превалювання системних змін, які відбуваються на тлі атопічних захворювань та впливають на патогенез захворювань пародонту.</w:t>
      </w:r>
    </w:p>
    <w:p w14:paraId="294D6486" w14:textId="19F72CF1" w:rsidR="00D12AE4" w:rsidRDefault="00D12AE4"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Показники третьої та четвертої групи так само достовірно не відрізнялися. </w:t>
      </w:r>
      <w:r w:rsidR="00417802">
        <w:rPr>
          <w:rFonts w:ascii="Times New Roman" w:hAnsi="Times New Roman"/>
          <w:sz w:val="28"/>
          <w:szCs w:val="28"/>
          <w:lang w:val="uk-UA"/>
        </w:rPr>
        <w:t xml:space="preserve">На початку лікування у третій групі активність уреази склала </w:t>
      </w:r>
      <w:r w:rsidR="00417802" w:rsidRPr="00417802">
        <w:rPr>
          <w:rFonts w:ascii="Times New Roman" w:hAnsi="Times New Roman"/>
          <w:sz w:val="28"/>
          <w:szCs w:val="28"/>
          <w:lang w:val="uk-UA"/>
        </w:rPr>
        <w:t>5.40±1.47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шість місяців </w:t>
      </w:r>
      <w:r w:rsidR="00417802" w:rsidRPr="00417802">
        <w:rPr>
          <w:rFonts w:ascii="Times New Roman" w:hAnsi="Times New Roman"/>
          <w:sz w:val="28"/>
          <w:szCs w:val="28"/>
          <w:lang w:val="uk-UA"/>
        </w:rPr>
        <w:t>5.36±1.13</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дванадцять місяців </w:t>
      </w:r>
      <w:r w:rsidR="00417802" w:rsidRPr="00417802">
        <w:rPr>
          <w:rFonts w:ascii="Times New Roman" w:hAnsi="Times New Roman"/>
          <w:sz w:val="28"/>
          <w:szCs w:val="28"/>
          <w:lang w:val="uk-UA"/>
        </w:rPr>
        <w:t>5.30±1.47</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У четвертій групі динаміка змін активності уреази принципово не відрізнялася, на початку дослідження активність уреази знаходилася на рівні </w:t>
      </w:r>
      <w:r w:rsidR="00417802" w:rsidRPr="00417802">
        <w:rPr>
          <w:rFonts w:ascii="Times New Roman" w:hAnsi="Times New Roman"/>
          <w:sz w:val="28"/>
          <w:szCs w:val="28"/>
          <w:lang w:val="uk-UA"/>
        </w:rPr>
        <w:t>5.90±1.54</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шість місяців </w:t>
      </w:r>
      <w:r w:rsidR="00417802" w:rsidRPr="00417802">
        <w:rPr>
          <w:rFonts w:ascii="Times New Roman" w:hAnsi="Times New Roman"/>
          <w:sz w:val="28"/>
          <w:szCs w:val="28"/>
          <w:lang w:val="uk-UA"/>
        </w:rPr>
        <w:t>5.24±1.15</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417802">
        <w:rPr>
          <w:rFonts w:ascii="Times New Roman" w:hAnsi="Times New Roman"/>
          <w:sz w:val="28"/>
          <w:szCs w:val="28"/>
          <w:lang w:val="uk-UA"/>
        </w:rPr>
        <w:t xml:space="preserve">, через дванадцять місяців </w:t>
      </w:r>
      <w:r w:rsidR="00037244" w:rsidRPr="00037244">
        <w:rPr>
          <w:rFonts w:ascii="Times New Roman" w:hAnsi="Times New Roman"/>
          <w:sz w:val="28"/>
          <w:szCs w:val="28"/>
          <w:lang w:val="uk-UA"/>
        </w:rPr>
        <w:t>5.14±1.99</w:t>
      </w:r>
      <w:r w:rsidR="00037244">
        <w:rPr>
          <w:rFonts w:ascii="Times New Roman" w:hAnsi="Times New Roman"/>
          <w:sz w:val="28"/>
          <w:szCs w:val="28"/>
          <w:lang w:val="uk-UA"/>
        </w:rPr>
        <w:t xml:space="preserve"> </w:t>
      </w:r>
      <w:r w:rsidR="00037244" w:rsidRPr="00037244">
        <w:rPr>
          <w:rFonts w:ascii="Times New Roman" w:hAnsi="Times New Roman"/>
          <w:sz w:val="28"/>
          <w:szCs w:val="28"/>
          <w:lang w:val="uk-UA"/>
        </w:rPr>
        <w:t>мкмоль/хв/л</w:t>
      </w:r>
      <w:r w:rsidR="00037244">
        <w:rPr>
          <w:rFonts w:ascii="Times New Roman" w:hAnsi="Times New Roman"/>
          <w:sz w:val="28"/>
          <w:szCs w:val="28"/>
          <w:lang w:val="uk-UA"/>
        </w:rPr>
        <w:t xml:space="preserve">. </w:t>
      </w:r>
      <w:r w:rsidR="00B03422">
        <w:rPr>
          <w:rFonts w:ascii="Times New Roman" w:hAnsi="Times New Roman"/>
          <w:sz w:val="28"/>
          <w:szCs w:val="28"/>
          <w:lang w:val="uk-UA"/>
        </w:rPr>
        <w:t xml:space="preserve">Отже, у зв’язку з тим, що різниці у показниках між групами, у яких були застосовані різні методи лікування та профілактики, не було встановлено, можна зробити висновок, що більш доцільним при лікуванні та профілактиці хронічного гінгівіту у дітей з атопічними захворюваннями є корекція системних факторів, що сприяють розвитку гінгівіту. </w:t>
      </w:r>
    </w:p>
    <w:p w14:paraId="1F26F7E3" w14:textId="379A9932" w:rsidR="00F77C87" w:rsidRDefault="00F77C87"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Проведений комплексний аналіз антиоксидантного статусу дозволив визначити зміни, що відбуваються на тлі атопічних захворювань та сприяють розвитку хронічного гінгівіту, а саме </w:t>
      </w:r>
      <w:r w:rsidRPr="00F77C87">
        <w:rPr>
          <w:rFonts w:ascii="Times New Roman" w:hAnsi="Times New Roman"/>
          <w:sz w:val="28"/>
          <w:szCs w:val="28"/>
          <w:lang w:val="uk-UA"/>
        </w:rPr>
        <w:t>а</w:t>
      </w:r>
      <w:r w:rsidR="00753B12">
        <w:rPr>
          <w:rFonts w:ascii="Times New Roman" w:hAnsi="Times New Roman"/>
          <w:sz w:val="28"/>
          <w:szCs w:val="28"/>
          <w:lang w:val="uk-UA"/>
        </w:rPr>
        <w:t>ктивізації</w:t>
      </w:r>
      <w:r w:rsidRPr="00F77C87">
        <w:rPr>
          <w:rFonts w:ascii="Times New Roman" w:hAnsi="Times New Roman"/>
          <w:sz w:val="28"/>
          <w:szCs w:val="28"/>
          <w:lang w:val="uk-UA"/>
        </w:rPr>
        <w:t xml:space="preserve"> процесів вільно-радикального окислення. </w:t>
      </w:r>
      <w:r w:rsidR="00753B12">
        <w:rPr>
          <w:rFonts w:ascii="Times New Roman" w:hAnsi="Times New Roman"/>
          <w:sz w:val="28"/>
          <w:szCs w:val="28"/>
          <w:lang w:val="uk-UA"/>
        </w:rPr>
        <w:t>Характерною рисою антиоксидантного дисбалансу є зростання концентрації МДА</w:t>
      </w:r>
      <w:r w:rsidR="00DF6711">
        <w:rPr>
          <w:rFonts w:ascii="Times New Roman" w:hAnsi="Times New Roman"/>
          <w:sz w:val="28"/>
          <w:szCs w:val="28"/>
          <w:lang w:val="uk-UA"/>
        </w:rPr>
        <w:t xml:space="preserve"> при відсутності реакції </w:t>
      </w:r>
      <w:r w:rsidRPr="00F77C87">
        <w:rPr>
          <w:rFonts w:ascii="Times New Roman" w:hAnsi="Times New Roman"/>
          <w:sz w:val="28"/>
          <w:szCs w:val="28"/>
          <w:lang w:val="uk-UA"/>
        </w:rPr>
        <w:t>з боку ферментативної і неферментативної ланок антиоксидантного захисту, що свідчить про втрату надійності функціонування саме цієї системи.</w:t>
      </w:r>
      <w:r>
        <w:rPr>
          <w:rFonts w:ascii="Times New Roman" w:hAnsi="Times New Roman"/>
          <w:sz w:val="28"/>
          <w:szCs w:val="28"/>
          <w:lang w:val="uk-UA"/>
        </w:rPr>
        <w:t xml:space="preserve"> </w:t>
      </w:r>
    </w:p>
    <w:p w14:paraId="392749D4" w14:textId="43B85872" w:rsidR="00753B12" w:rsidRDefault="00753B12" w:rsidP="009E10F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отриманими даними</w:t>
      </w:r>
      <w:r w:rsidRPr="00753B12">
        <w:rPr>
          <w:rFonts w:ascii="Times New Roman" w:hAnsi="Times New Roman"/>
          <w:sz w:val="28"/>
          <w:szCs w:val="28"/>
          <w:lang w:val="uk-UA"/>
        </w:rPr>
        <w:t xml:space="preserve"> </w:t>
      </w:r>
      <w:r w:rsidR="002F00A8">
        <w:rPr>
          <w:rFonts w:ascii="Times New Roman" w:hAnsi="Times New Roman"/>
          <w:sz w:val="28"/>
          <w:szCs w:val="28"/>
          <w:lang w:val="uk-UA"/>
        </w:rPr>
        <w:t xml:space="preserve">наявність атопії проявляється </w:t>
      </w:r>
      <w:r w:rsidRPr="00753B12">
        <w:rPr>
          <w:rFonts w:ascii="Times New Roman" w:hAnsi="Times New Roman"/>
          <w:sz w:val="28"/>
          <w:szCs w:val="28"/>
          <w:lang w:val="uk-UA"/>
        </w:rPr>
        <w:t xml:space="preserve">дефіцитом каталази. При проведенні лікувально-діагностичних заходів доцільно враховувати ураженість антиоксидантного статусу та притримуватися </w:t>
      </w:r>
      <w:r w:rsidR="00EF0AB1">
        <w:rPr>
          <w:rFonts w:ascii="Times New Roman" w:hAnsi="Times New Roman"/>
          <w:sz w:val="28"/>
          <w:szCs w:val="28"/>
          <w:lang w:val="uk-UA"/>
        </w:rPr>
        <w:t>концептуально нового</w:t>
      </w:r>
      <w:r w:rsidRPr="00753B12">
        <w:rPr>
          <w:rFonts w:ascii="Times New Roman" w:hAnsi="Times New Roman"/>
          <w:sz w:val="28"/>
          <w:szCs w:val="28"/>
          <w:lang w:val="uk-UA"/>
        </w:rPr>
        <w:t xml:space="preserve"> підходу до лікування та профілактики хронічного гінгівіту. Патогенетична направленість програми профілактики та лікування хронічного гінгівіту у дітей з атопічними захворюваннями проявляється збільшенням рівня каталази у ротовій рідині та нормалізацією клінічної картини даної групи пацієнтів. Крім того, для визначення подальшого режиму профілактики логічним є використання каталази як неінвазивного діагностичного біомаркеру запалення тканин пародонту.</w:t>
      </w:r>
    </w:p>
    <w:p w14:paraId="6B9008DE" w14:textId="21B561E6" w:rsidR="00753B12" w:rsidRDefault="00753B12" w:rsidP="009E10F1">
      <w:pPr>
        <w:spacing w:after="0" w:line="360" w:lineRule="auto"/>
        <w:ind w:firstLine="709"/>
        <w:jc w:val="both"/>
        <w:rPr>
          <w:rFonts w:ascii="Times New Roman" w:hAnsi="Times New Roman"/>
          <w:sz w:val="28"/>
          <w:szCs w:val="28"/>
          <w:lang w:val="uk-UA"/>
        </w:rPr>
      </w:pPr>
      <w:r w:rsidRPr="00753B12">
        <w:rPr>
          <w:rFonts w:ascii="Times New Roman" w:hAnsi="Times New Roman"/>
          <w:sz w:val="28"/>
          <w:szCs w:val="28"/>
          <w:lang w:val="uk-UA"/>
        </w:rPr>
        <w:t>Отже, згідно з наведеними даними, у дітей з атопічними захв</w:t>
      </w:r>
      <w:r w:rsidR="00B10147">
        <w:rPr>
          <w:rFonts w:ascii="Times New Roman" w:hAnsi="Times New Roman"/>
          <w:sz w:val="28"/>
          <w:szCs w:val="28"/>
          <w:lang w:val="uk-UA"/>
        </w:rPr>
        <w:t>о</w:t>
      </w:r>
      <w:r w:rsidRPr="00753B12">
        <w:rPr>
          <w:rFonts w:ascii="Times New Roman" w:hAnsi="Times New Roman"/>
          <w:sz w:val="28"/>
          <w:szCs w:val="28"/>
          <w:lang w:val="uk-UA"/>
        </w:rPr>
        <w:t>рюваннями простежується чітка тенденція до зниження антиоксидантного захисту організму, що простежується ще на доклінічному етапі розвитку захворювань пародонту та проявляється зниженням активності СОД. Направлений вплив на прооксидантно-антиоксидантний баланс мав позитивний результат, що було зафіксовано згідно з зростанням показників активності СОД.</w:t>
      </w:r>
    </w:p>
    <w:p w14:paraId="1BEFBF76" w14:textId="0E7745E2" w:rsidR="00753B12" w:rsidRPr="00F66800" w:rsidRDefault="00753B12" w:rsidP="009E10F1">
      <w:pPr>
        <w:spacing w:after="0" w:line="360" w:lineRule="auto"/>
        <w:ind w:firstLine="709"/>
        <w:jc w:val="both"/>
        <w:rPr>
          <w:rFonts w:ascii="Times New Roman" w:hAnsi="Times New Roman"/>
          <w:sz w:val="28"/>
          <w:szCs w:val="28"/>
          <w:lang w:val="uk-UA"/>
        </w:rPr>
      </w:pPr>
      <w:r w:rsidRPr="00753B12">
        <w:rPr>
          <w:rFonts w:ascii="Times New Roman" w:hAnsi="Times New Roman"/>
          <w:sz w:val="28"/>
          <w:szCs w:val="28"/>
          <w:lang w:val="uk-UA"/>
        </w:rPr>
        <w:t>Таким чином, проведене дослідження обумовлює включення компоненту корекції антиоксидантного захисту у програми лікування та профілактики хронічного гінгівіту на тлі атопічних захворювань. Отримані результати доводять можливість використання рівня відновленого глутатіону як біомаркеру для прогнозу розвитку майбутньої хвороби, так і для прогнозу майбутньої ініціації захворювання у теперішніх пародонтологічно здорових осіб.</w:t>
      </w:r>
    </w:p>
    <w:p w14:paraId="29FC11A8" w14:textId="39E267C0" w:rsidR="00970967" w:rsidRPr="00B54C47" w:rsidRDefault="00970967" w:rsidP="00B54C47">
      <w:pPr>
        <w:ind w:firstLine="709"/>
        <w:rPr>
          <w:rFonts w:ascii="Times New Roman" w:hAnsi="Times New Roman" w:cs="Times New Roman"/>
          <w:sz w:val="28"/>
          <w:szCs w:val="28"/>
          <w:lang w:val="uk-UA"/>
        </w:rPr>
      </w:pPr>
    </w:p>
    <w:p w14:paraId="08D9CF06" w14:textId="1DA1F85D" w:rsidR="003E60CC" w:rsidRDefault="003E60CC" w:rsidP="00272D39">
      <w:pPr>
        <w:spacing w:line="360" w:lineRule="auto"/>
        <w:ind w:firstLine="709"/>
        <w:jc w:val="both"/>
        <w:rPr>
          <w:rFonts w:ascii="Times New Roman" w:eastAsia="Calibri" w:hAnsi="Times New Roman" w:cs="Times New Roman"/>
          <w:sz w:val="28"/>
          <w:szCs w:val="28"/>
          <w:lang w:val="uk-UA"/>
        </w:rPr>
      </w:pPr>
      <w:r w:rsidRPr="003E60CC">
        <w:rPr>
          <w:rFonts w:ascii="Times New Roman" w:eastAsia="Calibri" w:hAnsi="Times New Roman" w:cs="Times New Roman"/>
          <w:sz w:val="28"/>
          <w:szCs w:val="28"/>
          <w:lang w:val="uk-UA"/>
        </w:rPr>
        <w:t>Запа</w:t>
      </w:r>
      <w:r>
        <w:rPr>
          <w:rFonts w:ascii="Times New Roman" w:eastAsia="Calibri" w:hAnsi="Times New Roman" w:cs="Times New Roman"/>
          <w:sz w:val="28"/>
          <w:szCs w:val="28"/>
          <w:lang w:val="uk-UA"/>
        </w:rPr>
        <w:t>льні процеси тканин пародонту відбуваються при зміні імунного статусу. Метою дослідження імунного статусу пацієнтів на фоні атопічних захворювань було визначення ступеню імунологічних змін у дітей з хронічним гінгівітом та у дітей з атопічними захворюваннями на етапі передхвороби, коли клінічні прояви гінгівіту ще не були виражені</w:t>
      </w:r>
      <w:r w:rsidR="002E1F26" w:rsidRPr="002E1F26">
        <w:rPr>
          <w:rFonts w:ascii="Times New Roman" w:eastAsia="Calibri" w:hAnsi="Times New Roman" w:cs="Times New Roman"/>
          <w:sz w:val="28"/>
          <w:szCs w:val="28"/>
          <w:lang w:val="uk-UA"/>
        </w:rPr>
        <w:t xml:space="preserve"> [</w:t>
      </w:r>
      <w:r w:rsidR="00B54C47" w:rsidRPr="00B54C47">
        <w:rPr>
          <w:rFonts w:ascii="Times New Roman" w:eastAsia="Calibri" w:hAnsi="Times New Roman" w:cs="Times New Roman"/>
          <w:sz w:val="28"/>
          <w:szCs w:val="28"/>
          <w:lang w:val="uk-UA"/>
        </w:rPr>
        <w:t xml:space="preserve">252, </w:t>
      </w:r>
      <w:r w:rsidR="00B54C47">
        <w:rPr>
          <w:rFonts w:ascii="Times New Roman" w:eastAsia="Calibri" w:hAnsi="Times New Roman" w:cs="Times New Roman"/>
          <w:sz w:val="28"/>
          <w:szCs w:val="28"/>
          <w:lang w:val="uk-UA"/>
        </w:rPr>
        <w:t>261-264</w:t>
      </w:r>
      <w:r w:rsidR="002E1F26" w:rsidRPr="002E1F2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1E6DE3CD" w14:textId="08FAF9EE" w:rsidR="00BC7844" w:rsidRPr="00BC7844" w:rsidRDefault="00BC7844"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 усіх органічних фракцій ротової рідини найбільш значущими є білки, такі як альбуміни та імуноглобуліни. Варто відмітити, що вміст імуноглобулінів у ротовій рідині та сироватці крові різний. Найбільш показовим при розвитку запалення тканин порожнини рота є секреторний імуноглобулін А (</w:t>
      </w:r>
      <w:r>
        <w:rPr>
          <w:rFonts w:ascii="Times New Roman" w:eastAsia="Calibri" w:hAnsi="Times New Roman" w:cs="Times New Roman"/>
          <w:sz w:val="28"/>
          <w:szCs w:val="28"/>
        </w:rPr>
        <w:t>sIgA</w:t>
      </w:r>
      <w:r>
        <w:rPr>
          <w:rFonts w:ascii="Times New Roman" w:eastAsia="Calibri" w:hAnsi="Times New Roman" w:cs="Times New Roman"/>
          <w:sz w:val="28"/>
          <w:szCs w:val="28"/>
          <w:lang w:val="uk-UA"/>
        </w:rPr>
        <w:t>)</w:t>
      </w:r>
      <w:r w:rsidRPr="00BC7844">
        <w:rPr>
          <w:rFonts w:ascii="Times New Roman" w:eastAsia="Calibri" w:hAnsi="Times New Roman" w:cs="Times New Roman"/>
          <w:sz w:val="28"/>
          <w:szCs w:val="28"/>
          <w:lang w:val="uk-UA"/>
        </w:rPr>
        <w:t xml:space="preserve">, який є продуктом взаємодії плазматичних клітин, </w:t>
      </w:r>
      <w:r>
        <w:rPr>
          <w:rFonts w:ascii="Times New Roman" w:eastAsia="Calibri" w:hAnsi="Times New Roman" w:cs="Times New Roman"/>
          <w:sz w:val="28"/>
          <w:szCs w:val="28"/>
          <w:lang w:val="uk-UA"/>
        </w:rPr>
        <w:t xml:space="preserve">продукуючих </w:t>
      </w:r>
      <w:r>
        <w:rPr>
          <w:rFonts w:ascii="Times New Roman" w:eastAsia="Calibri" w:hAnsi="Times New Roman" w:cs="Times New Roman"/>
          <w:sz w:val="28"/>
          <w:szCs w:val="28"/>
        </w:rPr>
        <w:t>sIgA</w:t>
      </w:r>
      <w:r>
        <w:rPr>
          <w:rFonts w:ascii="Times New Roman" w:eastAsia="Calibri" w:hAnsi="Times New Roman" w:cs="Times New Roman"/>
          <w:sz w:val="28"/>
          <w:szCs w:val="28"/>
          <w:lang w:val="uk-UA"/>
        </w:rPr>
        <w:t>, та секреторного компонента епітеліальних клітин про</w:t>
      </w:r>
      <w:r w:rsidR="00AB0B1A">
        <w:rPr>
          <w:rFonts w:ascii="Times New Roman" w:eastAsia="Calibri" w:hAnsi="Times New Roman" w:cs="Times New Roman"/>
          <w:sz w:val="28"/>
          <w:szCs w:val="28"/>
          <w:lang w:val="uk-UA"/>
        </w:rPr>
        <w:t>токів слинних залоз. Як відомо, гострі та запальні процеси характеризуються зниженням вмісту секреторного імуноглобуліну А у ротовій рідині. Дефіцит даного імуноглобуліну підтримує схильність до частих</w:t>
      </w:r>
      <w:r w:rsidR="00602F9F">
        <w:rPr>
          <w:rFonts w:ascii="Times New Roman" w:eastAsia="Calibri" w:hAnsi="Times New Roman" w:cs="Times New Roman"/>
          <w:sz w:val="28"/>
          <w:szCs w:val="28"/>
          <w:lang w:val="uk-UA"/>
        </w:rPr>
        <w:t xml:space="preserve"> повторних запальних процесів, тому рівень секреторного імуноглобуліну А є важливим діагностичним критері</w:t>
      </w:r>
      <w:r w:rsidR="00B54C47">
        <w:rPr>
          <w:rFonts w:ascii="Times New Roman" w:eastAsia="Calibri" w:hAnsi="Times New Roman" w:cs="Times New Roman"/>
          <w:sz w:val="28"/>
          <w:szCs w:val="28"/>
          <w:lang w:val="uk-UA"/>
        </w:rPr>
        <w:t>єм стану мукозального імунітету</w:t>
      </w:r>
      <w:r w:rsidR="00602F9F">
        <w:rPr>
          <w:rFonts w:ascii="Times New Roman" w:eastAsia="Calibri" w:hAnsi="Times New Roman" w:cs="Times New Roman"/>
          <w:sz w:val="28"/>
          <w:szCs w:val="28"/>
          <w:lang w:val="uk-UA"/>
        </w:rPr>
        <w:t xml:space="preserve">. </w:t>
      </w:r>
    </w:p>
    <w:p w14:paraId="237FF407" w14:textId="22027C7F" w:rsidR="00602F9F" w:rsidRDefault="00602F9F" w:rsidP="00272D39">
      <w:pPr>
        <w:spacing w:line="360" w:lineRule="auto"/>
        <w:ind w:firstLine="709"/>
        <w:jc w:val="both"/>
        <w:rPr>
          <w:rFonts w:ascii="Times New Roman" w:eastAsia="Calibri" w:hAnsi="Times New Roman" w:cs="Times New Roman"/>
          <w:sz w:val="28"/>
          <w:szCs w:val="28"/>
          <w:lang w:val="uk-UA"/>
        </w:rPr>
      </w:pPr>
      <w:r w:rsidRPr="00602F9F">
        <w:rPr>
          <w:rFonts w:ascii="Times New Roman" w:eastAsia="Calibri" w:hAnsi="Times New Roman" w:cs="Times New Roman"/>
          <w:sz w:val="28"/>
          <w:szCs w:val="28"/>
          <w:lang w:val="uk-UA"/>
        </w:rPr>
        <w:t xml:space="preserve">Несекреторний IgA надходить в слину з сироватки в результаті транссудації через запалену або ушкоджену слизову оболонку. Встановлено, що сироваткові IgM в найменшій мірі здатні </w:t>
      </w:r>
      <w:r>
        <w:rPr>
          <w:rFonts w:ascii="Times New Roman" w:eastAsia="Calibri" w:hAnsi="Times New Roman" w:cs="Times New Roman"/>
          <w:sz w:val="28"/>
          <w:szCs w:val="28"/>
          <w:lang w:val="uk-UA"/>
        </w:rPr>
        <w:t>проникати в слину. Несекреторні</w:t>
      </w:r>
      <w:r w:rsidRPr="00602F9F">
        <w:rPr>
          <w:rFonts w:ascii="Times New Roman" w:eastAsia="Calibri" w:hAnsi="Times New Roman" w:cs="Times New Roman"/>
          <w:sz w:val="28"/>
          <w:szCs w:val="28"/>
          <w:lang w:val="uk-UA"/>
        </w:rPr>
        <w:t xml:space="preserve"> імуноглобуліни п</w:t>
      </w:r>
      <w:r w:rsidR="001404B5">
        <w:rPr>
          <w:rFonts w:ascii="Times New Roman" w:eastAsia="Calibri" w:hAnsi="Times New Roman" w:cs="Times New Roman"/>
          <w:sz w:val="28"/>
          <w:szCs w:val="28"/>
          <w:lang w:val="uk-UA"/>
        </w:rPr>
        <w:t xml:space="preserve">отрапляють в порожнину рота з </w:t>
      </w:r>
      <w:r w:rsidRPr="00602F9F">
        <w:rPr>
          <w:rFonts w:ascii="Times New Roman" w:eastAsia="Calibri" w:hAnsi="Times New Roman" w:cs="Times New Roman"/>
          <w:sz w:val="28"/>
          <w:szCs w:val="28"/>
          <w:lang w:val="uk-UA"/>
        </w:rPr>
        <w:t>током крові, але вони можуть також синтезуватися безпосередньо в</w:t>
      </w:r>
      <w:r w:rsidR="001404B5">
        <w:rPr>
          <w:rFonts w:ascii="Times New Roman" w:eastAsia="Calibri" w:hAnsi="Times New Roman" w:cs="Times New Roman"/>
          <w:sz w:val="28"/>
          <w:szCs w:val="28"/>
          <w:lang w:val="uk-UA"/>
        </w:rPr>
        <w:t xml:space="preserve"> ній плазмоцитами за спеціальної</w:t>
      </w:r>
      <w:r w:rsidRPr="00602F9F">
        <w:rPr>
          <w:rFonts w:ascii="Times New Roman" w:eastAsia="Calibri" w:hAnsi="Times New Roman" w:cs="Times New Roman"/>
          <w:sz w:val="28"/>
          <w:szCs w:val="28"/>
          <w:lang w:val="uk-UA"/>
        </w:rPr>
        <w:t xml:space="preserve"> стимуляції. Вони менш </w:t>
      </w:r>
      <w:r w:rsidR="001404B5">
        <w:rPr>
          <w:rFonts w:ascii="Times New Roman" w:eastAsia="Calibri" w:hAnsi="Times New Roman" w:cs="Times New Roman"/>
          <w:sz w:val="28"/>
          <w:szCs w:val="28"/>
          <w:lang w:val="uk-UA"/>
        </w:rPr>
        <w:t>ефективні, однак мають неабияку</w:t>
      </w:r>
      <w:r w:rsidRPr="00602F9F">
        <w:rPr>
          <w:rFonts w:ascii="Times New Roman" w:eastAsia="Calibri" w:hAnsi="Times New Roman" w:cs="Times New Roman"/>
          <w:sz w:val="28"/>
          <w:szCs w:val="28"/>
          <w:lang w:val="uk-UA"/>
        </w:rPr>
        <w:t xml:space="preserve"> імуностимулюючу дію на місцеву лімфатичну систему</w:t>
      </w:r>
      <w:r w:rsidR="001404B5">
        <w:rPr>
          <w:rFonts w:ascii="Times New Roman" w:eastAsia="Calibri" w:hAnsi="Times New Roman" w:cs="Times New Roman"/>
          <w:sz w:val="28"/>
          <w:szCs w:val="28"/>
          <w:lang w:val="uk-UA"/>
        </w:rPr>
        <w:t>.</w:t>
      </w:r>
    </w:p>
    <w:p w14:paraId="2E8421E0" w14:textId="7EC164B1" w:rsidR="003E60CC" w:rsidRDefault="003E60CC"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оцінювання імунного статусу нами було проведене комплексне дослідження найбільш вагомих показників стану імунітету, а саме дослідження </w:t>
      </w:r>
      <w:r>
        <w:rPr>
          <w:rFonts w:ascii="Times New Roman" w:eastAsia="Calibri" w:hAnsi="Times New Roman" w:cs="Times New Roman"/>
          <w:sz w:val="28"/>
          <w:szCs w:val="28"/>
        </w:rPr>
        <w:t>sIgA</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IgA</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IgG</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IgM</w:t>
      </w:r>
      <w:r w:rsidRPr="003E60C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 лізоциму.</w:t>
      </w:r>
      <w:r w:rsidR="00602F9F">
        <w:rPr>
          <w:rFonts w:ascii="Times New Roman" w:eastAsia="Calibri" w:hAnsi="Times New Roman" w:cs="Times New Roman"/>
          <w:sz w:val="28"/>
          <w:szCs w:val="28"/>
          <w:lang w:val="uk-UA"/>
        </w:rPr>
        <w:t xml:space="preserve"> </w:t>
      </w:r>
    </w:p>
    <w:p w14:paraId="7DEFCDB4" w14:textId="677B78C1" w:rsidR="001404B5" w:rsidRDefault="001404B5" w:rsidP="00272D3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Згідно з отриманими даними, в усіх групах, крім контрольної, було зафіксовано зниження рівня секреторного імуноглобуліну А. При цьому надзвичайно важливим є те, що достовірної різниці між показниками груп пацієнтів з вираженими ознаками гінгівіту та без таких, ми не спостерігали. Даний факт свідчить про те, що відсутність клінічних проявів гінгівіту не є достовірним критерієм відсутності розвитку патологічного процесу у тканинах пародонту. </w:t>
      </w:r>
      <w:r w:rsidR="001471D6">
        <w:rPr>
          <w:rFonts w:ascii="Times New Roman" w:eastAsia="Calibri" w:hAnsi="Times New Roman" w:cs="Times New Roman"/>
          <w:sz w:val="28"/>
          <w:szCs w:val="28"/>
          <w:lang w:val="uk-UA"/>
        </w:rPr>
        <w:t>Дані, отримані у результаті дослідження рівню секреторного імуног</w:t>
      </w:r>
      <w:r w:rsidR="00FB72F7">
        <w:rPr>
          <w:rFonts w:ascii="Times New Roman" w:eastAsia="Calibri" w:hAnsi="Times New Roman" w:cs="Times New Roman"/>
          <w:sz w:val="28"/>
          <w:szCs w:val="28"/>
          <w:lang w:val="uk-UA"/>
        </w:rPr>
        <w:t>лобуліну А, наведені у таблиці 5</w:t>
      </w:r>
      <w:r w:rsidR="00C23A80">
        <w:rPr>
          <w:rFonts w:ascii="Times New Roman" w:eastAsia="Calibri" w:hAnsi="Times New Roman" w:cs="Times New Roman"/>
          <w:sz w:val="28"/>
          <w:szCs w:val="28"/>
          <w:lang w:val="uk-UA"/>
        </w:rPr>
        <w:t>.6</w:t>
      </w:r>
      <w:r w:rsidR="00FB72F7">
        <w:rPr>
          <w:rFonts w:ascii="Times New Roman" w:eastAsia="Calibri" w:hAnsi="Times New Roman" w:cs="Times New Roman"/>
          <w:sz w:val="28"/>
          <w:szCs w:val="28"/>
          <w:lang w:val="uk-UA"/>
        </w:rPr>
        <w:t>.</w:t>
      </w:r>
    </w:p>
    <w:p w14:paraId="573E9864" w14:textId="77777777" w:rsidR="00936303" w:rsidRDefault="00936303" w:rsidP="00936303">
      <w:pPr>
        <w:spacing w:line="360" w:lineRule="auto"/>
        <w:ind w:firstLine="709"/>
        <w:jc w:val="both"/>
        <w:rPr>
          <w:rFonts w:ascii="Times New Roman" w:hAnsi="Times New Roman"/>
          <w:sz w:val="28"/>
          <w:szCs w:val="28"/>
          <w:lang w:val="uk-UA"/>
        </w:rPr>
      </w:pPr>
      <w:r>
        <w:rPr>
          <w:rFonts w:ascii="Times New Roman" w:eastAsia="Calibri" w:hAnsi="Times New Roman" w:cs="Times New Roman"/>
          <w:sz w:val="28"/>
          <w:szCs w:val="28"/>
          <w:lang w:val="uk-UA"/>
        </w:rPr>
        <w:t xml:space="preserve">Згідно з отриманими даними у першій групі пацієнтів, хронічний гінгівіт у дітей з атопічними захворюваннями розвивається на тлі зниженого імунного захисту. Оскільки рівень секреторного імуноглобуліну А знаходився на рівні </w:t>
      </w:r>
      <w:r>
        <w:rPr>
          <w:rFonts w:ascii="Times New Roman" w:hAnsi="Times New Roman"/>
          <w:sz w:val="28"/>
          <w:szCs w:val="28"/>
          <w:lang w:val="uk-UA"/>
        </w:rPr>
        <w:t xml:space="preserve">78.06 </w:t>
      </w:r>
      <w:r>
        <w:rPr>
          <w:rFonts w:ascii="Times New Roman" w:hAnsi="Times New Roman" w:cs="Times New Roman"/>
          <w:sz w:val="28"/>
          <w:szCs w:val="28"/>
          <w:lang w:val="uk-UA"/>
        </w:rPr>
        <w:t xml:space="preserve">± </w:t>
      </w:r>
      <w:r w:rsidRPr="00014A22">
        <w:rPr>
          <w:rFonts w:ascii="Times New Roman" w:hAnsi="Times New Roman"/>
          <w:sz w:val="28"/>
          <w:szCs w:val="28"/>
          <w:lang w:val="uk-UA"/>
        </w:rPr>
        <w:t>9.32</w:t>
      </w:r>
      <w:r>
        <w:rPr>
          <w:rFonts w:ascii="Times New Roman" w:hAnsi="Times New Roman"/>
          <w:sz w:val="28"/>
          <w:szCs w:val="28"/>
          <w:lang w:val="uk-UA"/>
        </w:rPr>
        <w:t xml:space="preserve"> мг/л до проведення лікування, це свідчить про ушкодження імунологічної ланки у патогенезі хронічного гінгівіту. Використання у лікуванні хронічного гінгівіту серед даного контингенту дітей патогенетично обґрунтованої методики лікування дало змогу досягнути не тільки клінічного покращення, яке ми спостерігали згідно з усуненням симптомів гінгівіту та нормалізації індексних показників, але й нормалізувати стан імунного захисту. </w:t>
      </w:r>
    </w:p>
    <w:p w14:paraId="3C5D98F9" w14:textId="77777777" w:rsidR="00936303" w:rsidRPr="00C23A80" w:rsidRDefault="00936303" w:rsidP="00272D39">
      <w:pPr>
        <w:spacing w:line="360" w:lineRule="auto"/>
        <w:ind w:firstLine="709"/>
        <w:jc w:val="both"/>
        <w:rPr>
          <w:rFonts w:ascii="Times New Roman" w:eastAsia="Calibri" w:hAnsi="Times New Roman" w:cs="Times New Roman"/>
          <w:sz w:val="28"/>
          <w:szCs w:val="28"/>
          <w:lang w:val="uk-UA"/>
        </w:rPr>
      </w:pPr>
    </w:p>
    <w:p w14:paraId="47E41594" w14:textId="28EEAD4F" w:rsidR="001471D6" w:rsidRPr="00C23A80" w:rsidRDefault="001471D6" w:rsidP="00014A22">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 xml:space="preserve">Таблиця </w:t>
      </w:r>
      <w:r w:rsidR="00FB72F7">
        <w:rPr>
          <w:rFonts w:ascii="Times New Roman" w:eastAsia="Calibri" w:hAnsi="Times New Roman" w:cs="Times New Roman"/>
          <w:sz w:val="28"/>
          <w:szCs w:val="28"/>
          <w:lang w:val="uk-UA"/>
        </w:rPr>
        <w:t>5</w:t>
      </w:r>
      <w:r w:rsidR="00C23A80" w:rsidRPr="00C23A80">
        <w:rPr>
          <w:rFonts w:ascii="Times New Roman" w:eastAsia="Calibri" w:hAnsi="Times New Roman" w:cs="Times New Roman"/>
          <w:sz w:val="28"/>
          <w:szCs w:val="28"/>
          <w:lang w:val="uk-UA"/>
        </w:rPr>
        <w:t>.6</w:t>
      </w:r>
    </w:p>
    <w:p w14:paraId="2A57B5AA" w14:textId="0E7E4A9D" w:rsidR="001471D6" w:rsidRDefault="001471D6" w:rsidP="000728CB">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рівню секреторного імуноглобуліну А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014A22" w:rsidRPr="00852E54" w14:paraId="46B869BB" w14:textId="77777777" w:rsidTr="00014A22">
        <w:trPr>
          <w:trHeight w:val="471"/>
          <w:jc w:val="center"/>
        </w:trPr>
        <w:tc>
          <w:tcPr>
            <w:tcW w:w="1838" w:type="dxa"/>
            <w:vMerge w:val="restart"/>
            <w:shd w:val="clear" w:color="auto" w:fill="auto"/>
          </w:tcPr>
          <w:p w14:paraId="62B4D07A" w14:textId="77777777" w:rsidR="00014A22" w:rsidRPr="002804DE" w:rsidRDefault="00014A22" w:rsidP="00014A22">
            <w:pPr>
              <w:spacing w:after="0" w:line="360" w:lineRule="auto"/>
              <w:ind w:hanging="5"/>
              <w:jc w:val="center"/>
              <w:rPr>
                <w:rFonts w:ascii="Times New Roman" w:hAnsi="Times New Roman"/>
                <w:sz w:val="28"/>
                <w:szCs w:val="28"/>
                <w:lang w:val="uk-UA"/>
              </w:rPr>
            </w:pPr>
            <w:r>
              <w:rPr>
                <w:rFonts w:ascii="Times New Roman" w:hAnsi="Times New Roman"/>
                <w:sz w:val="28"/>
                <w:szCs w:val="28"/>
                <w:lang w:val="uk-UA"/>
              </w:rPr>
              <w:t>Строк спостереження</w:t>
            </w:r>
          </w:p>
        </w:tc>
        <w:tc>
          <w:tcPr>
            <w:tcW w:w="7447" w:type="dxa"/>
            <w:gridSpan w:val="5"/>
            <w:shd w:val="clear" w:color="auto" w:fill="auto"/>
          </w:tcPr>
          <w:p w14:paraId="4DAED1EE" w14:textId="7FB82A5B" w:rsidR="00014A22" w:rsidRPr="00014A22" w:rsidRDefault="00014A22" w:rsidP="00014A2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Секреторний імуноглобулін А</w:t>
            </w:r>
            <w:r w:rsidR="00A87EF8">
              <w:rPr>
                <w:rFonts w:ascii="Times New Roman" w:hAnsi="Times New Roman"/>
                <w:sz w:val="28"/>
                <w:szCs w:val="28"/>
                <w:lang w:val="uk-UA"/>
              </w:rPr>
              <w:t>, мг/</w:t>
            </w:r>
            <w:r w:rsidR="00311667">
              <w:rPr>
                <w:rFonts w:ascii="Times New Roman" w:hAnsi="Times New Roman"/>
                <w:sz w:val="28"/>
                <w:szCs w:val="28"/>
                <w:lang w:val="uk-UA"/>
              </w:rPr>
              <w:t>л</w:t>
            </w:r>
          </w:p>
        </w:tc>
      </w:tr>
      <w:tr w:rsidR="00014A22" w:rsidRPr="00043875" w14:paraId="72168E71" w14:textId="77777777" w:rsidTr="00014A22">
        <w:trPr>
          <w:trHeight w:val="486"/>
          <w:jc w:val="center"/>
        </w:trPr>
        <w:tc>
          <w:tcPr>
            <w:tcW w:w="1838" w:type="dxa"/>
            <w:vMerge/>
            <w:shd w:val="clear" w:color="auto" w:fill="auto"/>
          </w:tcPr>
          <w:p w14:paraId="2BBD15B5" w14:textId="77777777" w:rsidR="00014A22" w:rsidRPr="002804DE" w:rsidRDefault="00014A22" w:rsidP="00014A22">
            <w:pPr>
              <w:spacing w:after="0" w:line="360" w:lineRule="auto"/>
              <w:ind w:hanging="5"/>
              <w:jc w:val="center"/>
              <w:rPr>
                <w:rFonts w:ascii="Times New Roman" w:hAnsi="Times New Roman"/>
                <w:sz w:val="28"/>
                <w:szCs w:val="28"/>
                <w:lang w:val="uk-UA"/>
              </w:rPr>
            </w:pPr>
          </w:p>
        </w:tc>
        <w:tc>
          <w:tcPr>
            <w:tcW w:w="1418" w:type="dxa"/>
            <w:shd w:val="clear" w:color="auto" w:fill="auto"/>
          </w:tcPr>
          <w:p w14:paraId="0FF69461" w14:textId="77777777" w:rsidR="00014A22" w:rsidRPr="002804DE" w:rsidRDefault="00014A22" w:rsidP="00014A22">
            <w:pPr>
              <w:spacing w:after="0" w:line="360" w:lineRule="auto"/>
              <w:rPr>
                <w:rFonts w:ascii="Times New Roman" w:hAnsi="Times New Roman"/>
                <w:sz w:val="28"/>
                <w:szCs w:val="28"/>
                <w:lang w:val="uk-UA"/>
              </w:rPr>
            </w:pPr>
            <w:r w:rsidRPr="002804DE">
              <w:rPr>
                <w:rFonts w:ascii="Times New Roman" w:hAnsi="Times New Roman"/>
                <w:sz w:val="28"/>
                <w:szCs w:val="28"/>
                <w:lang w:val="uk-UA"/>
              </w:rPr>
              <w:t>Група 1 (</w:t>
            </w:r>
            <w:r w:rsidRPr="002804DE">
              <w:rPr>
                <w:rFonts w:ascii="Times New Roman" w:hAnsi="Times New Roman"/>
                <w:sz w:val="28"/>
                <w:szCs w:val="28"/>
              </w:rPr>
              <w:t>n=</w:t>
            </w:r>
            <w:r>
              <w:rPr>
                <w:rFonts w:ascii="Times New Roman" w:hAnsi="Times New Roman"/>
                <w:sz w:val="28"/>
                <w:szCs w:val="28"/>
                <w:lang w:val="ru-RU"/>
              </w:rPr>
              <w:t>76</w:t>
            </w:r>
            <w:r w:rsidRPr="002804DE">
              <w:rPr>
                <w:rFonts w:ascii="Times New Roman" w:hAnsi="Times New Roman"/>
                <w:sz w:val="28"/>
                <w:szCs w:val="28"/>
                <w:lang w:val="uk-UA"/>
              </w:rPr>
              <w:t>)</w:t>
            </w:r>
          </w:p>
        </w:tc>
        <w:tc>
          <w:tcPr>
            <w:tcW w:w="1417" w:type="dxa"/>
            <w:shd w:val="clear" w:color="auto" w:fill="auto"/>
          </w:tcPr>
          <w:p w14:paraId="01A6F5A1" w14:textId="77777777" w:rsidR="00014A22" w:rsidRPr="002804DE" w:rsidRDefault="00014A22" w:rsidP="00014A22">
            <w:pPr>
              <w:spacing w:after="0" w:line="360" w:lineRule="auto"/>
              <w:rPr>
                <w:rFonts w:ascii="Times New Roman" w:hAnsi="Times New Roman"/>
                <w:sz w:val="28"/>
                <w:szCs w:val="28"/>
                <w:lang w:val="uk-UA"/>
              </w:rPr>
            </w:pPr>
            <w:r>
              <w:rPr>
                <w:rFonts w:ascii="Times New Roman" w:hAnsi="Times New Roman"/>
                <w:sz w:val="28"/>
                <w:szCs w:val="28"/>
                <w:lang w:val="uk-UA"/>
              </w:rPr>
              <w:t>Група 2 (n=5</w:t>
            </w:r>
            <w:r w:rsidRPr="002804DE">
              <w:rPr>
                <w:rFonts w:ascii="Times New Roman" w:hAnsi="Times New Roman"/>
                <w:sz w:val="28"/>
                <w:szCs w:val="28"/>
                <w:lang w:val="uk-UA"/>
              </w:rPr>
              <w:t>0)</w:t>
            </w:r>
          </w:p>
        </w:tc>
        <w:tc>
          <w:tcPr>
            <w:tcW w:w="1559" w:type="dxa"/>
            <w:shd w:val="clear" w:color="auto" w:fill="auto"/>
          </w:tcPr>
          <w:p w14:paraId="7D29D14A" w14:textId="77777777" w:rsidR="00014A22" w:rsidRPr="002804DE" w:rsidRDefault="00014A22" w:rsidP="00014A22">
            <w:pPr>
              <w:spacing w:after="0" w:line="360" w:lineRule="auto"/>
              <w:jc w:val="center"/>
              <w:rPr>
                <w:rFonts w:ascii="Times New Roman" w:hAnsi="Times New Roman"/>
                <w:sz w:val="28"/>
                <w:szCs w:val="28"/>
                <w:lang w:val="uk-UA"/>
              </w:rPr>
            </w:pPr>
            <w:r w:rsidRPr="002804DE">
              <w:rPr>
                <w:rFonts w:ascii="Times New Roman" w:hAnsi="Times New Roman"/>
                <w:sz w:val="28"/>
                <w:szCs w:val="28"/>
                <w:lang w:val="uk-UA"/>
              </w:rPr>
              <w:t>Група 3 (n=30)</w:t>
            </w:r>
          </w:p>
        </w:tc>
        <w:tc>
          <w:tcPr>
            <w:tcW w:w="1570" w:type="dxa"/>
            <w:shd w:val="clear" w:color="auto" w:fill="auto"/>
          </w:tcPr>
          <w:p w14:paraId="484EFFBE" w14:textId="77777777" w:rsidR="00014A22" w:rsidRPr="002804DE" w:rsidRDefault="00014A22" w:rsidP="00014A22">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 4</w:t>
            </w:r>
            <w:r>
              <w:rPr>
                <w:rFonts w:ascii="Times New Roman" w:hAnsi="Times New Roman"/>
                <w:sz w:val="28"/>
                <w:szCs w:val="28"/>
                <w:lang w:val="uk-UA"/>
              </w:rPr>
              <w:br/>
            </w:r>
            <w:r w:rsidRPr="002804DE">
              <w:rPr>
                <w:rFonts w:ascii="Times New Roman" w:hAnsi="Times New Roman"/>
                <w:sz w:val="28"/>
                <w:szCs w:val="28"/>
                <w:lang w:val="uk-UA"/>
              </w:rPr>
              <w:t>(n=30)</w:t>
            </w:r>
          </w:p>
        </w:tc>
        <w:tc>
          <w:tcPr>
            <w:tcW w:w="1483" w:type="dxa"/>
            <w:shd w:val="clear" w:color="auto" w:fill="auto"/>
          </w:tcPr>
          <w:p w14:paraId="19B5E4C8" w14:textId="77777777" w:rsidR="00014A22" w:rsidRPr="002804DE" w:rsidRDefault="00014A22" w:rsidP="00014A2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Група 5 </w:t>
            </w:r>
            <w:r>
              <w:rPr>
                <w:rFonts w:ascii="Times New Roman" w:hAnsi="Times New Roman"/>
                <w:sz w:val="28"/>
                <w:szCs w:val="28"/>
                <w:lang w:val="uk-UA"/>
              </w:rPr>
              <w:br/>
              <w:t>(n=35</w:t>
            </w:r>
            <w:r w:rsidRPr="002804DE">
              <w:rPr>
                <w:rFonts w:ascii="Times New Roman" w:hAnsi="Times New Roman"/>
                <w:sz w:val="28"/>
                <w:szCs w:val="28"/>
                <w:lang w:val="uk-UA"/>
              </w:rPr>
              <w:t>)</w:t>
            </w:r>
          </w:p>
        </w:tc>
      </w:tr>
      <w:tr w:rsidR="00311667" w:rsidRPr="00043875" w14:paraId="73713527" w14:textId="77777777" w:rsidTr="00014A22">
        <w:trPr>
          <w:trHeight w:val="429"/>
          <w:jc w:val="center"/>
        </w:trPr>
        <w:tc>
          <w:tcPr>
            <w:tcW w:w="1838" w:type="dxa"/>
            <w:shd w:val="clear" w:color="auto" w:fill="auto"/>
          </w:tcPr>
          <w:p w14:paraId="66637152" w14:textId="77777777" w:rsidR="00311667" w:rsidRPr="002804DE" w:rsidRDefault="00311667" w:rsidP="00311667">
            <w:pPr>
              <w:spacing w:after="0"/>
              <w:ind w:hanging="5"/>
              <w:rPr>
                <w:rFonts w:ascii="Times New Roman" w:hAnsi="Times New Roman"/>
                <w:sz w:val="28"/>
                <w:szCs w:val="28"/>
                <w:lang w:val="uk-UA"/>
              </w:rPr>
            </w:pPr>
            <w:r w:rsidRPr="002804DE">
              <w:rPr>
                <w:rFonts w:ascii="Times New Roman" w:hAnsi="Times New Roman"/>
                <w:sz w:val="28"/>
                <w:szCs w:val="28"/>
                <w:lang w:val="uk-UA"/>
              </w:rPr>
              <w:t>До лікування</w:t>
            </w:r>
          </w:p>
        </w:tc>
        <w:tc>
          <w:tcPr>
            <w:tcW w:w="1418" w:type="dxa"/>
            <w:shd w:val="clear" w:color="auto" w:fill="auto"/>
          </w:tcPr>
          <w:p w14:paraId="0FFF42C4" w14:textId="4D3C3257" w:rsidR="00311667" w:rsidRPr="002804DE" w:rsidRDefault="00311667" w:rsidP="00311667">
            <w:pPr>
              <w:spacing w:after="0" w:line="360" w:lineRule="auto"/>
              <w:rPr>
                <w:rFonts w:ascii="Times New Roman" w:hAnsi="Times New Roman"/>
                <w:sz w:val="28"/>
                <w:szCs w:val="28"/>
                <w:lang w:val="uk-UA"/>
              </w:rPr>
            </w:pPr>
            <w:r>
              <w:rPr>
                <w:rFonts w:ascii="Times New Roman" w:hAnsi="Times New Roman"/>
                <w:sz w:val="28"/>
                <w:szCs w:val="28"/>
                <w:lang w:val="uk-UA"/>
              </w:rPr>
              <w:t>78.06</w:t>
            </w:r>
            <w:r>
              <w:rPr>
                <w:rFonts w:ascii="Times New Roman" w:hAnsi="Times New Roman" w:cs="Times New Roman"/>
                <w:sz w:val="28"/>
                <w:szCs w:val="28"/>
                <w:lang w:val="uk-UA"/>
              </w:rPr>
              <w:t>±</w:t>
            </w:r>
            <w:r w:rsidRPr="00014A22">
              <w:rPr>
                <w:rFonts w:ascii="Times New Roman" w:hAnsi="Times New Roman"/>
                <w:sz w:val="28"/>
                <w:szCs w:val="28"/>
                <w:lang w:val="uk-UA"/>
              </w:rPr>
              <w:t>9.32</w:t>
            </w:r>
          </w:p>
        </w:tc>
        <w:tc>
          <w:tcPr>
            <w:tcW w:w="1417" w:type="dxa"/>
            <w:shd w:val="clear" w:color="auto" w:fill="auto"/>
          </w:tcPr>
          <w:p w14:paraId="4EB102DD" w14:textId="3BB170A8"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75.41</w:t>
            </w:r>
            <w:r>
              <w:rPr>
                <w:rFonts w:ascii="Times New Roman" w:hAnsi="Times New Roman" w:cs="Times New Roman"/>
                <w:sz w:val="28"/>
                <w:szCs w:val="28"/>
                <w:lang w:val="uk-UA"/>
              </w:rPr>
              <w:t>±</w:t>
            </w:r>
            <w:r w:rsidRPr="00014A22">
              <w:rPr>
                <w:rFonts w:ascii="Times New Roman" w:hAnsi="Times New Roman"/>
                <w:sz w:val="28"/>
                <w:szCs w:val="28"/>
                <w:lang w:val="uk-UA"/>
              </w:rPr>
              <w:t>9.04</w:t>
            </w:r>
          </w:p>
        </w:tc>
        <w:tc>
          <w:tcPr>
            <w:tcW w:w="1559" w:type="dxa"/>
            <w:shd w:val="clear" w:color="auto" w:fill="auto"/>
          </w:tcPr>
          <w:p w14:paraId="77C7B1D2" w14:textId="77C2AB87"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76.09</w:t>
            </w:r>
            <w:r>
              <w:rPr>
                <w:rFonts w:ascii="Times New Roman" w:hAnsi="Times New Roman" w:cs="Times New Roman"/>
                <w:sz w:val="28"/>
                <w:szCs w:val="28"/>
                <w:lang w:val="uk-UA"/>
              </w:rPr>
              <w:t>±</w:t>
            </w:r>
            <w:r w:rsidRPr="00311667">
              <w:rPr>
                <w:rFonts w:ascii="Times New Roman" w:hAnsi="Times New Roman"/>
                <w:sz w:val="28"/>
                <w:szCs w:val="28"/>
                <w:lang w:val="uk-UA"/>
              </w:rPr>
              <w:t>9.33</w:t>
            </w:r>
          </w:p>
        </w:tc>
        <w:tc>
          <w:tcPr>
            <w:tcW w:w="1570" w:type="dxa"/>
            <w:shd w:val="clear" w:color="auto" w:fill="auto"/>
          </w:tcPr>
          <w:p w14:paraId="42FDC7D0" w14:textId="5ED8A541"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76.71</w:t>
            </w:r>
            <w:r>
              <w:rPr>
                <w:rFonts w:ascii="Times New Roman" w:hAnsi="Times New Roman" w:cs="Times New Roman"/>
                <w:sz w:val="28"/>
                <w:szCs w:val="28"/>
                <w:lang w:val="uk-UA"/>
              </w:rPr>
              <w:t>±</w:t>
            </w:r>
            <w:r w:rsidRPr="00311667">
              <w:rPr>
                <w:rFonts w:ascii="Times New Roman" w:hAnsi="Times New Roman"/>
                <w:sz w:val="28"/>
                <w:szCs w:val="28"/>
                <w:lang w:val="uk-UA"/>
              </w:rPr>
              <w:t>10.53</w:t>
            </w:r>
          </w:p>
        </w:tc>
        <w:tc>
          <w:tcPr>
            <w:tcW w:w="1483" w:type="dxa"/>
            <w:shd w:val="clear" w:color="auto" w:fill="auto"/>
          </w:tcPr>
          <w:p w14:paraId="1CE76097" w14:textId="0693CEC7" w:rsidR="00311667" w:rsidRPr="00B3009F" w:rsidRDefault="00311667" w:rsidP="00311667">
            <w:pPr>
              <w:spacing w:after="0" w:line="360" w:lineRule="auto"/>
              <w:jc w:val="center"/>
              <w:rPr>
                <w:rFonts w:ascii="Times New Roman" w:hAnsi="Times New Roman"/>
                <w:sz w:val="28"/>
                <w:szCs w:val="28"/>
              </w:rPr>
            </w:pPr>
            <w:r w:rsidRPr="00311667">
              <w:rPr>
                <w:rFonts w:ascii="Times New Roman" w:hAnsi="Times New Roman"/>
                <w:sz w:val="28"/>
                <w:szCs w:val="28"/>
                <w:lang w:val="uk-UA"/>
              </w:rPr>
              <w:t>123.57</w:t>
            </w:r>
            <w:r>
              <w:rPr>
                <w:rFonts w:ascii="Times New Roman" w:hAnsi="Times New Roman" w:cs="Times New Roman"/>
                <w:sz w:val="28"/>
                <w:szCs w:val="28"/>
                <w:lang w:val="uk-UA"/>
              </w:rPr>
              <w:t>±</w:t>
            </w:r>
            <w:r w:rsidRPr="00311667">
              <w:rPr>
                <w:rFonts w:ascii="Times New Roman" w:hAnsi="Times New Roman"/>
                <w:sz w:val="28"/>
                <w:szCs w:val="28"/>
                <w:lang w:val="uk-UA"/>
              </w:rPr>
              <w:t>9.55</w:t>
            </w:r>
          </w:p>
        </w:tc>
      </w:tr>
      <w:tr w:rsidR="00311667" w:rsidRPr="00043875" w14:paraId="0AF26471" w14:textId="77777777" w:rsidTr="00014A22">
        <w:trPr>
          <w:trHeight w:val="427"/>
          <w:jc w:val="center"/>
        </w:trPr>
        <w:tc>
          <w:tcPr>
            <w:tcW w:w="1838" w:type="dxa"/>
            <w:shd w:val="clear" w:color="auto" w:fill="auto"/>
          </w:tcPr>
          <w:p w14:paraId="59111121" w14:textId="62DAC99E" w:rsidR="00311667" w:rsidRPr="002804DE" w:rsidRDefault="00311667" w:rsidP="00311667">
            <w:pPr>
              <w:spacing w:after="0"/>
              <w:ind w:hanging="5"/>
              <w:rPr>
                <w:rFonts w:ascii="Times New Roman" w:hAnsi="Times New Roman"/>
                <w:sz w:val="28"/>
                <w:szCs w:val="28"/>
                <w:lang w:val="uk-UA"/>
              </w:rPr>
            </w:pPr>
            <w:r>
              <w:rPr>
                <w:rFonts w:ascii="Times New Roman" w:hAnsi="Times New Roman"/>
                <w:sz w:val="28"/>
                <w:szCs w:val="28"/>
                <w:lang w:val="uk-UA"/>
              </w:rPr>
              <w:t>Через 6 місяців</w:t>
            </w:r>
            <w:r w:rsidRPr="002804DE">
              <w:rPr>
                <w:rFonts w:ascii="Times New Roman" w:hAnsi="Times New Roman"/>
                <w:sz w:val="28"/>
                <w:szCs w:val="28"/>
                <w:lang w:val="uk-UA"/>
              </w:rPr>
              <w:t xml:space="preserve"> </w:t>
            </w:r>
          </w:p>
        </w:tc>
        <w:tc>
          <w:tcPr>
            <w:tcW w:w="1418" w:type="dxa"/>
            <w:shd w:val="clear" w:color="auto" w:fill="auto"/>
          </w:tcPr>
          <w:p w14:paraId="7ECAF17B" w14:textId="50CABEEF" w:rsidR="00311667" w:rsidRPr="002804DE" w:rsidRDefault="00311667" w:rsidP="00311667">
            <w:pPr>
              <w:spacing w:after="0" w:line="360" w:lineRule="auto"/>
              <w:rPr>
                <w:rFonts w:ascii="Times New Roman" w:hAnsi="Times New Roman"/>
                <w:sz w:val="28"/>
                <w:szCs w:val="28"/>
                <w:lang w:val="uk-UA"/>
              </w:rPr>
            </w:pPr>
            <w:r w:rsidRPr="00014A22">
              <w:rPr>
                <w:rFonts w:ascii="Times New Roman" w:hAnsi="Times New Roman"/>
                <w:sz w:val="28"/>
                <w:szCs w:val="28"/>
                <w:lang w:val="uk-UA"/>
              </w:rPr>
              <w:t>117.61</w:t>
            </w:r>
            <w:r>
              <w:rPr>
                <w:rFonts w:ascii="Times New Roman" w:hAnsi="Times New Roman" w:cs="Times New Roman"/>
                <w:sz w:val="28"/>
                <w:szCs w:val="28"/>
                <w:lang w:val="uk-UA"/>
              </w:rPr>
              <w:t>±</w:t>
            </w:r>
            <w:r w:rsidRPr="00014A22">
              <w:rPr>
                <w:rFonts w:ascii="Times New Roman" w:hAnsi="Times New Roman"/>
                <w:sz w:val="28"/>
                <w:szCs w:val="28"/>
                <w:lang w:val="uk-UA"/>
              </w:rPr>
              <w:t>14.03</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4A9EFB5C" w14:textId="6B0E1814"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111.84</w:t>
            </w:r>
            <w:r>
              <w:rPr>
                <w:rFonts w:ascii="Times New Roman" w:hAnsi="Times New Roman" w:cs="Times New Roman"/>
                <w:sz w:val="28"/>
                <w:szCs w:val="28"/>
                <w:lang w:val="uk-UA"/>
              </w:rPr>
              <w:t>±</w:t>
            </w:r>
            <w:r w:rsidRPr="00014A22">
              <w:rPr>
                <w:rFonts w:ascii="Times New Roman" w:hAnsi="Times New Roman"/>
                <w:sz w:val="28"/>
                <w:szCs w:val="28"/>
                <w:lang w:val="uk-UA"/>
              </w:rPr>
              <w:t>5.88</w:t>
            </w:r>
            <w:r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501DE60B" w14:textId="36D7591B"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77.10</w:t>
            </w:r>
            <w:r>
              <w:rPr>
                <w:rFonts w:ascii="Times New Roman" w:hAnsi="Times New Roman" w:cs="Times New Roman"/>
                <w:sz w:val="28"/>
                <w:szCs w:val="28"/>
                <w:lang w:val="uk-UA"/>
              </w:rPr>
              <w:t>±</w:t>
            </w:r>
            <w:r w:rsidRPr="00311667">
              <w:rPr>
                <w:rFonts w:ascii="Times New Roman" w:hAnsi="Times New Roman"/>
                <w:sz w:val="28"/>
                <w:szCs w:val="28"/>
                <w:lang w:val="uk-UA"/>
              </w:rPr>
              <w:t>8.36</w:t>
            </w:r>
          </w:p>
        </w:tc>
        <w:tc>
          <w:tcPr>
            <w:tcW w:w="1570" w:type="dxa"/>
            <w:shd w:val="clear" w:color="auto" w:fill="auto"/>
          </w:tcPr>
          <w:p w14:paraId="260F03DF" w14:textId="55733019"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75.28</w:t>
            </w:r>
            <w:r>
              <w:rPr>
                <w:rFonts w:ascii="Times New Roman" w:hAnsi="Times New Roman" w:cs="Times New Roman"/>
                <w:sz w:val="28"/>
                <w:szCs w:val="28"/>
                <w:lang w:val="uk-UA"/>
              </w:rPr>
              <w:t>±</w:t>
            </w:r>
            <w:r w:rsidRPr="00311667">
              <w:rPr>
                <w:rFonts w:ascii="Times New Roman" w:hAnsi="Times New Roman"/>
                <w:sz w:val="28"/>
                <w:szCs w:val="28"/>
                <w:lang w:val="uk-UA"/>
              </w:rPr>
              <w:t>7.02</w:t>
            </w:r>
          </w:p>
        </w:tc>
        <w:tc>
          <w:tcPr>
            <w:tcW w:w="1483" w:type="dxa"/>
            <w:shd w:val="clear" w:color="auto" w:fill="auto"/>
          </w:tcPr>
          <w:p w14:paraId="29144D9E" w14:textId="42B17AEE"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124.07</w:t>
            </w:r>
            <w:r>
              <w:rPr>
                <w:rFonts w:ascii="Times New Roman" w:hAnsi="Times New Roman" w:cs="Times New Roman"/>
                <w:sz w:val="28"/>
                <w:szCs w:val="28"/>
                <w:lang w:val="uk-UA"/>
              </w:rPr>
              <w:t>±</w:t>
            </w:r>
            <w:r w:rsidRPr="00311667">
              <w:rPr>
                <w:rFonts w:ascii="Times New Roman" w:hAnsi="Times New Roman"/>
                <w:sz w:val="28"/>
                <w:szCs w:val="28"/>
                <w:lang w:val="uk-UA"/>
              </w:rPr>
              <w:t>9.58</w:t>
            </w:r>
          </w:p>
        </w:tc>
      </w:tr>
      <w:tr w:rsidR="00311667" w:rsidRPr="002804DE" w14:paraId="2AF68FE5" w14:textId="77777777" w:rsidTr="00014A22">
        <w:trPr>
          <w:trHeight w:val="577"/>
          <w:jc w:val="center"/>
        </w:trPr>
        <w:tc>
          <w:tcPr>
            <w:tcW w:w="1838" w:type="dxa"/>
            <w:shd w:val="clear" w:color="auto" w:fill="auto"/>
          </w:tcPr>
          <w:p w14:paraId="1654DBCC" w14:textId="7F2FEAB7" w:rsidR="00311667" w:rsidRPr="002804DE" w:rsidRDefault="00311667" w:rsidP="00311667">
            <w:pPr>
              <w:spacing w:after="0"/>
              <w:ind w:hanging="5"/>
              <w:rPr>
                <w:rFonts w:ascii="Times New Roman" w:hAnsi="Times New Roman"/>
                <w:sz w:val="28"/>
                <w:szCs w:val="28"/>
                <w:lang w:val="uk-UA"/>
              </w:rPr>
            </w:pPr>
            <w:r>
              <w:rPr>
                <w:rFonts w:ascii="Times New Roman" w:hAnsi="Times New Roman"/>
                <w:sz w:val="28"/>
                <w:szCs w:val="28"/>
                <w:lang w:val="uk-UA"/>
              </w:rPr>
              <w:t>Через 12</w:t>
            </w:r>
            <w:r w:rsidRPr="002804DE">
              <w:rPr>
                <w:rFonts w:ascii="Times New Roman" w:hAnsi="Times New Roman"/>
                <w:sz w:val="28"/>
                <w:szCs w:val="28"/>
                <w:lang w:val="uk-UA"/>
              </w:rPr>
              <w:t xml:space="preserve"> місяців</w:t>
            </w:r>
          </w:p>
        </w:tc>
        <w:tc>
          <w:tcPr>
            <w:tcW w:w="1418" w:type="dxa"/>
            <w:shd w:val="clear" w:color="auto" w:fill="auto"/>
          </w:tcPr>
          <w:p w14:paraId="5080D615" w14:textId="0D0BBFE1" w:rsidR="00311667" w:rsidRPr="002804DE" w:rsidRDefault="00311667" w:rsidP="00311667">
            <w:pPr>
              <w:spacing w:after="0" w:line="360" w:lineRule="auto"/>
              <w:rPr>
                <w:rFonts w:ascii="Times New Roman" w:hAnsi="Times New Roman"/>
                <w:sz w:val="28"/>
                <w:szCs w:val="28"/>
                <w:lang w:val="uk-UA"/>
              </w:rPr>
            </w:pPr>
            <w:r w:rsidRPr="00014A22">
              <w:rPr>
                <w:rFonts w:ascii="Times New Roman" w:hAnsi="Times New Roman"/>
                <w:sz w:val="28"/>
                <w:szCs w:val="28"/>
                <w:lang w:val="uk-UA"/>
              </w:rPr>
              <w:t>121.42</w:t>
            </w:r>
            <w:r>
              <w:rPr>
                <w:rFonts w:ascii="Times New Roman" w:hAnsi="Times New Roman" w:cs="Times New Roman"/>
                <w:sz w:val="28"/>
                <w:szCs w:val="28"/>
                <w:lang w:val="uk-UA"/>
              </w:rPr>
              <w:t>±</w:t>
            </w:r>
            <w:r w:rsidRPr="00014A22">
              <w:rPr>
                <w:rFonts w:ascii="Times New Roman" w:hAnsi="Times New Roman"/>
                <w:sz w:val="28"/>
                <w:szCs w:val="28"/>
                <w:lang w:val="uk-UA"/>
              </w:rPr>
              <w:t>11.95</w:t>
            </w:r>
            <w:r w:rsidRPr="002804DE">
              <w:rPr>
                <w:rFonts w:ascii="Times New Roman" w:hAnsi="Times New Roman"/>
                <w:sz w:val="28"/>
                <w:szCs w:val="28"/>
                <w:lang w:val="uk-UA"/>
              </w:rPr>
              <w:t>*</w:t>
            </w:r>
            <w:r w:rsidR="009953B6" w:rsidRPr="009953B6">
              <w:rPr>
                <w:rFonts w:ascii="Times New Roman" w:hAnsi="Times New Roman"/>
                <w:sz w:val="28"/>
                <w:szCs w:val="28"/>
                <w:vertAlign w:val="superscript"/>
                <w:lang w:val="uk-UA"/>
              </w:rPr>
              <w:t>1</w:t>
            </w:r>
          </w:p>
        </w:tc>
        <w:tc>
          <w:tcPr>
            <w:tcW w:w="1417" w:type="dxa"/>
            <w:shd w:val="clear" w:color="auto" w:fill="auto"/>
          </w:tcPr>
          <w:p w14:paraId="79A1CD93" w14:textId="16BEB765" w:rsidR="00311667" w:rsidRPr="002804DE" w:rsidRDefault="00311667" w:rsidP="00311667">
            <w:pPr>
              <w:spacing w:after="0" w:line="360" w:lineRule="auto"/>
              <w:jc w:val="center"/>
              <w:rPr>
                <w:rFonts w:ascii="Times New Roman" w:hAnsi="Times New Roman"/>
                <w:sz w:val="28"/>
                <w:szCs w:val="28"/>
                <w:lang w:val="uk-UA"/>
              </w:rPr>
            </w:pPr>
            <w:r w:rsidRPr="00014A22">
              <w:rPr>
                <w:rFonts w:ascii="Times New Roman" w:hAnsi="Times New Roman"/>
                <w:sz w:val="28"/>
                <w:szCs w:val="28"/>
                <w:lang w:val="uk-UA"/>
              </w:rPr>
              <w:t>122.03</w:t>
            </w:r>
            <w:r>
              <w:rPr>
                <w:rFonts w:ascii="Times New Roman" w:hAnsi="Times New Roman" w:cs="Times New Roman"/>
                <w:sz w:val="28"/>
                <w:szCs w:val="28"/>
                <w:lang w:val="uk-UA"/>
              </w:rPr>
              <w:t>±</w:t>
            </w:r>
            <w:r w:rsidRPr="00014A22">
              <w:rPr>
                <w:rFonts w:ascii="Times New Roman" w:hAnsi="Times New Roman"/>
                <w:sz w:val="28"/>
                <w:szCs w:val="28"/>
                <w:lang w:val="uk-UA"/>
              </w:rPr>
              <w:t>11.68</w:t>
            </w:r>
            <w:r w:rsidRPr="002804DE">
              <w:rPr>
                <w:rFonts w:ascii="Times New Roman" w:hAnsi="Times New Roman"/>
                <w:sz w:val="28"/>
                <w:szCs w:val="28"/>
                <w:lang w:val="uk-UA"/>
              </w:rPr>
              <w:t>*</w:t>
            </w:r>
            <w:r w:rsidR="009953B6" w:rsidRPr="00F42F7A">
              <w:rPr>
                <w:rFonts w:ascii="Times New Roman" w:hAnsi="Times New Roman"/>
                <w:sz w:val="28"/>
                <w:szCs w:val="28"/>
                <w:vertAlign w:val="superscript"/>
                <w:lang w:val="uk-UA"/>
              </w:rPr>
              <w:t>2</w:t>
            </w:r>
          </w:p>
        </w:tc>
        <w:tc>
          <w:tcPr>
            <w:tcW w:w="1559" w:type="dxa"/>
            <w:shd w:val="clear" w:color="auto" w:fill="auto"/>
          </w:tcPr>
          <w:p w14:paraId="4F587A76" w14:textId="61FA5E8B"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80.13</w:t>
            </w:r>
            <w:r>
              <w:rPr>
                <w:rFonts w:ascii="Times New Roman" w:hAnsi="Times New Roman" w:cs="Times New Roman"/>
                <w:sz w:val="28"/>
                <w:szCs w:val="28"/>
                <w:lang w:val="uk-UA"/>
              </w:rPr>
              <w:t>±</w:t>
            </w:r>
            <w:r w:rsidRPr="00311667">
              <w:rPr>
                <w:rFonts w:ascii="Times New Roman" w:hAnsi="Times New Roman"/>
                <w:sz w:val="28"/>
                <w:szCs w:val="28"/>
                <w:lang w:val="uk-UA"/>
              </w:rPr>
              <w:t>6.29</w:t>
            </w:r>
          </w:p>
        </w:tc>
        <w:tc>
          <w:tcPr>
            <w:tcW w:w="1570" w:type="dxa"/>
            <w:shd w:val="clear" w:color="auto" w:fill="auto"/>
          </w:tcPr>
          <w:p w14:paraId="105ED6AA" w14:textId="5C906A66"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80.71</w:t>
            </w:r>
            <w:r>
              <w:rPr>
                <w:rFonts w:ascii="Times New Roman" w:hAnsi="Times New Roman" w:cs="Times New Roman"/>
                <w:sz w:val="28"/>
                <w:szCs w:val="28"/>
                <w:lang w:val="uk-UA"/>
              </w:rPr>
              <w:t>±</w:t>
            </w:r>
            <w:r w:rsidRPr="00311667">
              <w:rPr>
                <w:rFonts w:ascii="Times New Roman" w:hAnsi="Times New Roman"/>
                <w:sz w:val="28"/>
                <w:szCs w:val="28"/>
                <w:lang w:val="uk-UA"/>
              </w:rPr>
              <w:t>7.04</w:t>
            </w:r>
          </w:p>
        </w:tc>
        <w:tc>
          <w:tcPr>
            <w:tcW w:w="1483" w:type="dxa"/>
            <w:shd w:val="clear" w:color="auto" w:fill="auto"/>
          </w:tcPr>
          <w:p w14:paraId="215DEA69" w14:textId="1AC38DC0" w:rsidR="00311667" w:rsidRPr="002804DE" w:rsidRDefault="00311667" w:rsidP="00311667">
            <w:pPr>
              <w:spacing w:after="0" w:line="360" w:lineRule="auto"/>
              <w:jc w:val="center"/>
              <w:rPr>
                <w:rFonts w:ascii="Times New Roman" w:hAnsi="Times New Roman"/>
                <w:sz w:val="28"/>
                <w:szCs w:val="28"/>
                <w:lang w:val="uk-UA"/>
              </w:rPr>
            </w:pPr>
            <w:r w:rsidRPr="00311667">
              <w:rPr>
                <w:rFonts w:ascii="Times New Roman" w:hAnsi="Times New Roman"/>
                <w:sz w:val="28"/>
                <w:szCs w:val="28"/>
                <w:lang w:val="uk-UA"/>
              </w:rPr>
              <w:t>125.35</w:t>
            </w:r>
            <w:r>
              <w:rPr>
                <w:rFonts w:ascii="Times New Roman" w:hAnsi="Times New Roman" w:cs="Times New Roman"/>
                <w:sz w:val="28"/>
                <w:szCs w:val="28"/>
                <w:lang w:val="uk-UA"/>
              </w:rPr>
              <w:t>±</w:t>
            </w:r>
            <w:r w:rsidRPr="00311667">
              <w:rPr>
                <w:rFonts w:ascii="Times New Roman" w:hAnsi="Times New Roman"/>
                <w:sz w:val="28"/>
                <w:szCs w:val="28"/>
                <w:lang w:val="uk-UA"/>
              </w:rPr>
              <w:t>10.59</w:t>
            </w:r>
          </w:p>
        </w:tc>
      </w:tr>
    </w:tbl>
    <w:p w14:paraId="1E01110D" w14:textId="7471BF5A" w:rsidR="001471D6" w:rsidRDefault="00014A22" w:rsidP="00376DF7">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0F502010" w14:textId="77777777" w:rsidR="00376DF7" w:rsidRPr="00F42F7A" w:rsidRDefault="00376DF7" w:rsidP="00376DF7">
      <w:pPr>
        <w:spacing w:after="0" w:line="360" w:lineRule="auto"/>
        <w:jc w:val="both"/>
        <w:rPr>
          <w:rFonts w:ascii="Times New Roman" w:hAnsi="Times New Roman"/>
          <w:sz w:val="28"/>
          <w:szCs w:val="28"/>
          <w:lang w:val="uk-UA"/>
        </w:rPr>
      </w:pPr>
      <w:r w:rsidRPr="009953B6">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0FEAACEE" w14:textId="77777777" w:rsidR="00376DF7" w:rsidRDefault="00376DF7" w:rsidP="00376DF7">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60BD752" w14:textId="77777777" w:rsidR="00376DF7" w:rsidRDefault="00376DF7" w:rsidP="00936303">
      <w:pPr>
        <w:spacing w:after="0" w:line="360" w:lineRule="auto"/>
        <w:jc w:val="both"/>
        <w:rPr>
          <w:rFonts w:ascii="Times New Roman" w:eastAsia="Calibri" w:hAnsi="Times New Roman" w:cs="Times New Roman"/>
          <w:sz w:val="28"/>
          <w:szCs w:val="28"/>
          <w:lang w:val="uk-UA"/>
        </w:rPr>
      </w:pPr>
    </w:p>
    <w:p w14:paraId="67AF74E4" w14:textId="24752B9B" w:rsidR="00242BF1" w:rsidRDefault="00242BF1" w:rsidP="0093630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через шість та дванадцять місяців рівень секреторного імуноглобуліну А збільшився відносно початкового рівню </w:t>
      </w:r>
      <w:r w:rsidR="00970C8E">
        <w:rPr>
          <w:rFonts w:ascii="Times New Roman" w:hAnsi="Times New Roman"/>
          <w:sz w:val="28"/>
          <w:szCs w:val="28"/>
          <w:lang w:val="uk-UA"/>
        </w:rPr>
        <w:t xml:space="preserve">у 0,67 та 0,64 рази та досяг рівня </w:t>
      </w:r>
      <w:r w:rsidR="00970C8E" w:rsidRPr="00014A22">
        <w:rPr>
          <w:rFonts w:ascii="Times New Roman" w:hAnsi="Times New Roman"/>
          <w:sz w:val="28"/>
          <w:szCs w:val="28"/>
          <w:lang w:val="uk-UA"/>
        </w:rPr>
        <w:t>117.61</w:t>
      </w:r>
      <w:r w:rsidR="00970C8E">
        <w:rPr>
          <w:rFonts w:ascii="Times New Roman" w:hAnsi="Times New Roman"/>
          <w:sz w:val="28"/>
          <w:szCs w:val="28"/>
          <w:lang w:val="uk-UA"/>
        </w:rPr>
        <w:t xml:space="preserve"> </w:t>
      </w:r>
      <w:r w:rsidR="00970C8E">
        <w:rPr>
          <w:rFonts w:ascii="Times New Roman" w:hAnsi="Times New Roman" w:cs="Times New Roman"/>
          <w:sz w:val="28"/>
          <w:szCs w:val="28"/>
          <w:lang w:val="uk-UA"/>
        </w:rPr>
        <w:t xml:space="preserve">± </w:t>
      </w:r>
      <w:r w:rsidR="00970C8E" w:rsidRPr="00014A22">
        <w:rPr>
          <w:rFonts w:ascii="Times New Roman" w:hAnsi="Times New Roman"/>
          <w:sz w:val="28"/>
          <w:szCs w:val="28"/>
          <w:lang w:val="uk-UA"/>
        </w:rPr>
        <w:t>14.03</w:t>
      </w:r>
      <w:r w:rsidR="00A87EF8">
        <w:rPr>
          <w:rFonts w:ascii="Times New Roman" w:hAnsi="Times New Roman"/>
          <w:sz w:val="28"/>
          <w:szCs w:val="28"/>
          <w:lang w:val="uk-UA"/>
        </w:rPr>
        <w:t xml:space="preserve"> мг/</w:t>
      </w:r>
      <w:r w:rsidR="00970C8E">
        <w:rPr>
          <w:rFonts w:ascii="Times New Roman" w:hAnsi="Times New Roman"/>
          <w:sz w:val="28"/>
          <w:szCs w:val="28"/>
          <w:lang w:val="uk-UA"/>
        </w:rPr>
        <w:t xml:space="preserve">л та </w:t>
      </w:r>
      <w:r w:rsidR="00970C8E" w:rsidRPr="00014A22">
        <w:rPr>
          <w:rFonts w:ascii="Times New Roman" w:hAnsi="Times New Roman"/>
          <w:sz w:val="28"/>
          <w:szCs w:val="28"/>
          <w:lang w:val="uk-UA"/>
        </w:rPr>
        <w:t>121.42</w:t>
      </w:r>
      <w:r w:rsidR="00970C8E">
        <w:rPr>
          <w:rFonts w:ascii="Times New Roman" w:hAnsi="Times New Roman"/>
          <w:sz w:val="28"/>
          <w:szCs w:val="28"/>
          <w:lang w:val="uk-UA"/>
        </w:rPr>
        <w:t xml:space="preserve"> </w:t>
      </w:r>
      <w:r w:rsidR="00970C8E">
        <w:rPr>
          <w:rFonts w:ascii="Times New Roman" w:hAnsi="Times New Roman" w:cs="Times New Roman"/>
          <w:sz w:val="28"/>
          <w:szCs w:val="28"/>
          <w:lang w:val="uk-UA"/>
        </w:rPr>
        <w:t xml:space="preserve">± </w:t>
      </w:r>
      <w:r w:rsidR="00970C8E" w:rsidRPr="00014A22">
        <w:rPr>
          <w:rFonts w:ascii="Times New Roman" w:hAnsi="Times New Roman"/>
          <w:sz w:val="28"/>
          <w:szCs w:val="28"/>
          <w:lang w:val="uk-UA"/>
        </w:rPr>
        <w:t>11.95</w:t>
      </w:r>
      <w:r w:rsidR="00A87EF8">
        <w:rPr>
          <w:rFonts w:ascii="Times New Roman" w:hAnsi="Times New Roman"/>
          <w:sz w:val="28"/>
          <w:szCs w:val="28"/>
          <w:lang w:val="uk-UA"/>
        </w:rPr>
        <w:t xml:space="preserve"> мг/</w:t>
      </w:r>
      <w:r w:rsidR="00970C8E">
        <w:rPr>
          <w:rFonts w:ascii="Times New Roman" w:hAnsi="Times New Roman"/>
          <w:sz w:val="28"/>
          <w:szCs w:val="28"/>
          <w:lang w:val="uk-UA"/>
        </w:rPr>
        <w:t xml:space="preserve">л відповідно, ми спостерігали статистично значиму різницю відносно початкового рівня та відсутність достовірної різниці з показниками контрольної групи. </w:t>
      </w:r>
      <w:r w:rsidR="00331A41">
        <w:rPr>
          <w:rFonts w:ascii="Times New Roman" w:hAnsi="Times New Roman"/>
          <w:sz w:val="28"/>
          <w:szCs w:val="28"/>
          <w:lang w:val="uk-UA"/>
        </w:rPr>
        <w:t>Рівень секреторного імуноглобуліну А є найбільш показовим у характеристиці мукозального імунітету, саме тому його нормалізація після здійснення лікувальних заходів говорить про стабільний результат, а отже нормальну захисну функцію ротової рідини, що у подальшому буде інгібітором розвитку патологічного процесу.</w:t>
      </w:r>
      <w:r w:rsidR="00021D21">
        <w:rPr>
          <w:rFonts w:ascii="Times New Roman" w:hAnsi="Times New Roman"/>
          <w:sz w:val="28"/>
          <w:szCs w:val="28"/>
          <w:lang w:val="uk-UA"/>
        </w:rPr>
        <w:t xml:space="preserve"> Як відомо, а</w:t>
      </w:r>
      <w:r w:rsidR="00021D21" w:rsidRPr="00021D21">
        <w:rPr>
          <w:rFonts w:ascii="Times New Roman" w:hAnsi="Times New Roman"/>
          <w:sz w:val="28"/>
          <w:szCs w:val="28"/>
          <w:lang w:val="uk-UA"/>
        </w:rPr>
        <w:t>нтитіла</w:t>
      </w:r>
      <w:r w:rsidR="00021D21">
        <w:rPr>
          <w:rFonts w:ascii="Times New Roman" w:hAnsi="Times New Roman"/>
          <w:sz w:val="28"/>
          <w:szCs w:val="28"/>
          <w:lang w:val="uk-UA"/>
        </w:rPr>
        <w:t xml:space="preserve"> секреторного імуноглобуліну А</w:t>
      </w:r>
      <w:r w:rsidR="00021D21" w:rsidRPr="00021D21">
        <w:rPr>
          <w:rFonts w:ascii="Times New Roman" w:hAnsi="Times New Roman"/>
          <w:sz w:val="28"/>
          <w:szCs w:val="28"/>
          <w:lang w:val="uk-UA"/>
        </w:rPr>
        <w:t xml:space="preserve"> перешкоджають виникненню патологічн</w:t>
      </w:r>
      <w:r w:rsidR="00021D21">
        <w:rPr>
          <w:rFonts w:ascii="Times New Roman" w:hAnsi="Times New Roman"/>
          <w:sz w:val="28"/>
          <w:szCs w:val="28"/>
          <w:lang w:val="uk-UA"/>
        </w:rPr>
        <w:t>их процесів на слизовій</w:t>
      </w:r>
      <w:r w:rsidR="00021D21" w:rsidRPr="00021D21">
        <w:rPr>
          <w:rFonts w:ascii="Times New Roman" w:hAnsi="Times New Roman"/>
          <w:sz w:val="28"/>
          <w:szCs w:val="28"/>
          <w:lang w:val="uk-UA"/>
        </w:rPr>
        <w:t xml:space="preserve"> оболонці, не викликаючи її пошкодження, оскільки взаємодія SIgA-антитіл з антигеном на відміну від антитіл G і М не викликає активації системи комплементу.</w:t>
      </w:r>
      <w:r w:rsidR="00021D21">
        <w:rPr>
          <w:rFonts w:ascii="Times New Roman" w:hAnsi="Times New Roman"/>
          <w:sz w:val="28"/>
          <w:szCs w:val="28"/>
          <w:lang w:val="uk-UA"/>
        </w:rPr>
        <w:t xml:space="preserve"> У той же час у</w:t>
      </w:r>
      <w:r w:rsidR="00021D21" w:rsidRPr="00021D21">
        <w:rPr>
          <w:rFonts w:ascii="Times New Roman" w:hAnsi="Times New Roman"/>
          <w:sz w:val="28"/>
          <w:szCs w:val="28"/>
          <w:lang w:val="uk-UA"/>
        </w:rPr>
        <w:t xml:space="preserve"> осіб з дефіцит</w:t>
      </w:r>
      <w:r w:rsidR="00021D21">
        <w:rPr>
          <w:rFonts w:ascii="Times New Roman" w:hAnsi="Times New Roman"/>
          <w:sz w:val="28"/>
          <w:szCs w:val="28"/>
          <w:lang w:val="uk-UA"/>
        </w:rPr>
        <w:t xml:space="preserve">ом </w:t>
      </w:r>
      <w:r w:rsidR="00021D21">
        <w:rPr>
          <w:rFonts w:ascii="Times New Roman" w:hAnsi="Times New Roman"/>
          <w:sz w:val="28"/>
          <w:szCs w:val="28"/>
        </w:rPr>
        <w:t>s</w:t>
      </w:r>
      <w:r w:rsidR="00021D21" w:rsidRPr="00021D21">
        <w:rPr>
          <w:rFonts w:ascii="Times New Roman" w:hAnsi="Times New Roman"/>
          <w:sz w:val="28"/>
          <w:szCs w:val="28"/>
          <w:lang w:val="uk-UA"/>
        </w:rPr>
        <w:t xml:space="preserve">IgA антигени безперешкодно адсорбуються на слизистій оболонці рота і поступають в кров, що може привести </w:t>
      </w:r>
      <w:r w:rsidR="00021D21">
        <w:rPr>
          <w:rFonts w:ascii="Times New Roman" w:hAnsi="Times New Roman"/>
          <w:sz w:val="28"/>
          <w:szCs w:val="28"/>
          <w:lang w:val="uk-UA"/>
        </w:rPr>
        <w:t>до важких наслідків алергізації, тобто ще більш інтенсифікувати патологічні процеси у порожнині рота.</w:t>
      </w:r>
    </w:p>
    <w:p w14:paraId="273E84B0" w14:textId="54ED21A4" w:rsidR="00021D21" w:rsidRDefault="00021D21"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динаміки показників секреторного імуноглобуліну А другої групи пацієнтів</w:t>
      </w:r>
      <w:r w:rsidR="00803328">
        <w:rPr>
          <w:rFonts w:ascii="Times New Roman" w:hAnsi="Times New Roman"/>
          <w:sz w:val="28"/>
          <w:szCs w:val="28"/>
          <w:lang w:val="uk-UA"/>
        </w:rPr>
        <w:t xml:space="preserve"> показав зниження імунного захисту ротової порожнини, а саме зниження рівня </w:t>
      </w:r>
      <w:r w:rsidR="00803328">
        <w:rPr>
          <w:rFonts w:ascii="Times New Roman" w:hAnsi="Times New Roman"/>
          <w:sz w:val="28"/>
          <w:szCs w:val="28"/>
        </w:rPr>
        <w:t>sIgA</w:t>
      </w:r>
      <w:r w:rsidR="00803328" w:rsidRPr="00803328">
        <w:rPr>
          <w:rFonts w:ascii="Times New Roman" w:hAnsi="Times New Roman"/>
          <w:sz w:val="28"/>
          <w:szCs w:val="28"/>
          <w:lang w:val="uk-UA"/>
        </w:rPr>
        <w:t xml:space="preserve"> </w:t>
      </w:r>
      <w:r w:rsidR="00803328">
        <w:rPr>
          <w:rFonts w:ascii="Times New Roman" w:hAnsi="Times New Roman"/>
          <w:sz w:val="28"/>
          <w:szCs w:val="28"/>
          <w:lang w:val="uk-UA"/>
        </w:rPr>
        <w:t xml:space="preserve">до рівня </w:t>
      </w:r>
      <w:r w:rsidR="00803328" w:rsidRPr="00014A22">
        <w:rPr>
          <w:rFonts w:ascii="Times New Roman" w:hAnsi="Times New Roman"/>
          <w:sz w:val="28"/>
          <w:szCs w:val="28"/>
          <w:lang w:val="uk-UA"/>
        </w:rPr>
        <w:t>75.41</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9.04</w:t>
      </w:r>
      <w:r w:rsidR="00803328">
        <w:rPr>
          <w:rFonts w:ascii="Times New Roman" w:hAnsi="Times New Roman"/>
          <w:sz w:val="28"/>
          <w:szCs w:val="28"/>
          <w:lang w:val="uk-UA"/>
        </w:rPr>
        <w:t xml:space="preserve"> мг/л. Через шість та дванадцять місяців після проведення програми профілактики хронічного гінгівіту, ми спостерігали нормалізацію стану мукозального імунітету згідно з рівнем секреторного імуноглобуліну А, який дорівнював </w:t>
      </w:r>
      <w:r w:rsidR="00803328" w:rsidRPr="00014A22">
        <w:rPr>
          <w:rFonts w:ascii="Times New Roman" w:hAnsi="Times New Roman"/>
          <w:sz w:val="28"/>
          <w:szCs w:val="28"/>
          <w:lang w:val="uk-UA"/>
        </w:rPr>
        <w:t>111.84</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5.88</w:t>
      </w:r>
      <w:r w:rsidR="00803328">
        <w:rPr>
          <w:rFonts w:ascii="Times New Roman" w:hAnsi="Times New Roman"/>
          <w:sz w:val="28"/>
          <w:szCs w:val="28"/>
          <w:lang w:val="uk-UA"/>
        </w:rPr>
        <w:t xml:space="preserve"> мг/л та </w:t>
      </w:r>
      <w:r w:rsidR="00803328" w:rsidRPr="00014A22">
        <w:rPr>
          <w:rFonts w:ascii="Times New Roman" w:hAnsi="Times New Roman"/>
          <w:sz w:val="28"/>
          <w:szCs w:val="28"/>
          <w:lang w:val="uk-UA"/>
        </w:rPr>
        <w:t>122.03</w:t>
      </w:r>
      <w:r w:rsidR="00803328">
        <w:rPr>
          <w:rFonts w:ascii="Times New Roman" w:hAnsi="Times New Roman"/>
          <w:sz w:val="28"/>
          <w:szCs w:val="28"/>
          <w:lang w:val="uk-UA"/>
        </w:rPr>
        <w:t xml:space="preserve"> </w:t>
      </w:r>
      <w:r w:rsidR="00803328">
        <w:rPr>
          <w:rFonts w:ascii="Times New Roman" w:hAnsi="Times New Roman" w:cs="Times New Roman"/>
          <w:sz w:val="28"/>
          <w:szCs w:val="28"/>
          <w:lang w:val="uk-UA"/>
        </w:rPr>
        <w:t xml:space="preserve">± </w:t>
      </w:r>
      <w:r w:rsidR="00803328" w:rsidRPr="00014A22">
        <w:rPr>
          <w:rFonts w:ascii="Times New Roman" w:hAnsi="Times New Roman"/>
          <w:sz w:val="28"/>
          <w:szCs w:val="28"/>
          <w:lang w:val="uk-UA"/>
        </w:rPr>
        <w:t>11.68</w:t>
      </w:r>
      <w:r w:rsidR="00803328">
        <w:rPr>
          <w:rFonts w:ascii="Times New Roman" w:hAnsi="Times New Roman"/>
          <w:sz w:val="28"/>
          <w:szCs w:val="28"/>
          <w:lang w:val="uk-UA"/>
        </w:rPr>
        <w:t xml:space="preserve"> мг/л відповідно, що склало достовірну різницю з початковим рівнем. Таким чином, можна зробити висновок що запропонована програма профілактики хронічного гінгівіту у дітей з атопічними захворюваннями </w:t>
      </w:r>
      <w:r w:rsidR="004E37F0">
        <w:rPr>
          <w:rFonts w:ascii="Times New Roman" w:hAnsi="Times New Roman"/>
          <w:sz w:val="28"/>
          <w:szCs w:val="28"/>
          <w:lang w:val="uk-UA"/>
        </w:rPr>
        <w:t>є ефективною згідно з показниками рівню секреторного імуноглобуліну А.</w:t>
      </w:r>
    </w:p>
    <w:p w14:paraId="466CBF21" w14:textId="24E1BE29" w:rsidR="004E37F0" w:rsidRDefault="004E37F0"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Порівняння запропонованої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методики лікування хронічного гінгівіту у дітей з атопічними захворюваннями та традиційних лікувально-профілактичних заходів на базі аналізу рівня секреторного імуноглобуліну А свідчить на користь запропонованої методики, щ</w:t>
      </w:r>
      <w:r w:rsidR="00936303">
        <w:rPr>
          <w:rFonts w:ascii="Times New Roman" w:hAnsi="Times New Roman"/>
          <w:sz w:val="28"/>
          <w:szCs w:val="28"/>
          <w:lang w:val="uk-UA"/>
        </w:rPr>
        <w:t>о продемонстровано на діаграмі 5</w:t>
      </w:r>
      <w:r>
        <w:rPr>
          <w:rFonts w:ascii="Times New Roman" w:hAnsi="Times New Roman"/>
          <w:sz w:val="28"/>
          <w:szCs w:val="28"/>
          <w:lang w:val="uk-UA"/>
        </w:rPr>
        <w:t xml:space="preserve">.1. </w:t>
      </w:r>
    </w:p>
    <w:p w14:paraId="24B180DC" w14:textId="50419BA5" w:rsidR="00936303" w:rsidRDefault="00936303" w:rsidP="00D55B8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Згідно з отриманими даними, нами не було встановлено достовірної різниці між показниками першої та третьої груп. На початку дослідження рівень секреторного імуноглобуліну А у третій групі пацієнтів, хворих на атопічні захворювання та гінгівіт, знаходився на рівні </w:t>
      </w:r>
      <w:r w:rsidRPr="00311667">
        <w:rPr>
          <w:rFonts w:ascii="Times New Roman" w:hAnsi="Times New Roman"/>
          <w:sz w:val="28"/>
          <w:szCs w:val="28"/>
          <w:lang w:val="uk-UA"/>
        </w:rPr>
        <w:t>76.09</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9.33</w:t>
      </w:r>
      <w:r>
        <w:rPr>
          <w:rFonts w:ascii="Times New Roman" w:hAnsi="Times New Roman"/>
          <w:sz w:val="28"/>
          <w:szCs w:val="28"/>
          <w:lang w:val="uk-UA"/>
        </w:rPr>
        <w:t xml:space="preserve"> мг/л. Проте аналіз даних показників через шість  та дванадцять місяців не виявив покращення стану мукозального імунітету, що полягало у відсутності достовірної різниці у показниках.</w:t>
      </w:r>
    </w:p>
    <w:p w14:paraId="7E6DE5FE" w14:textId="1CB7C4B8" w:rsidR="001E0423" w:rsidRDefault="00FB72F7" w:rsidP="001E042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1E0423">
        <w:rPr>
          <w:rFonts w:ascii="Times New Roman" w:hAnsi="Times New Roman"/>
          <w:sz w:val="28"/>
          <w:szCs w:val="28"/>
          <w:lang w:val="uk-UA"/>
        </w:rPr>
        <w:t>.1</w:t>
      </w:r>
    </w:p>
    <w:p w14:paraId="591D4645" w14:textId="4115A135" w:rsidR="001E0423" w:rsidRDefault="001E0423"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Порівняння рівня секреторного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першої та третьої</w:t>
      </w:r>
      <w:r w:rsidRPr="008A025A">
        <w:rPr>
          <w:rFonts w:ascii="Times New Roman" w:hAnsi="Times New Roman"/>
          <w:sz w:val="28"/>
          <w:szCs w:val="28"/>
          <w:lang w:val="uk-UA"/>
        </w:rPr>
        <w:t xml:space="preserve"> 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531DAECA" w14:textId="77777777" w:rsidR="001E0423" w:rsidRDefault="001E0423" w:rsidP="001E0423">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34C76089" wp14:editId="6268441F">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6174E12" w14:textId="77777777" w:rsidR="004E37F0" w:rsidRDefault="004E37F0" w:rsidP="00234BE4">
      <w:pPr>
        <w:spacing w:line="360" w:lineRule="auto"/>
        <w:jc w:val="both"/>
        <w:rPr>
          <w:rFonts w:ascii="Times New Roman" w:hAnsi="Times New Roman"/>
          <w:sz w:val="28"/>
          <w:szCs w:val="28"/>
          <w:lang w:val="uk-UA"/>
        </w:rPr>
      </w:pPr>
    </w:p>
    <w:p w14:paraId="071AEF1F" w14:textId="1D9F31F8" w:rsidR="004E37F0" w:rsidRDefault="004E37F0"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Через шість місяців нами був констатований середній рівень секреторного імуноглобуліну А </w:t>
      </w:r>
      <w:r w:rsidR="007F66C8" w:rsidRPr="00311667">
        <w:rPr>
          <w:rFonts w:ascii="Times New Roman" w:hAnsi="Times New Roman"/>
          <w:sz w:val="28"/>
          <w:szCs w:val="28"/>
          <w:lang w:val="uk-UA"/>
        </w:rPr>
        <w:t>77.10</w:t>
      </w:r>
      <w:r w:rsidR="007F66C8">
        <w:rPr>
          <w:rFonts w:ascii="Times New Roman" w:hAnsi="Times New Roman"/>
          <w:sz w:val="28"/>
          <w:szCs w:val="28"/>
          <w:lang w:val="uk-UA"/>
        </w:rPr>
        <w:t xml:space="preserve"> </w:t>
      </w:r>
      <w:r w:rsidR="007F66C8">
        <w:rPr>
          <w:rFonts w:ascii="Times New Roman" w:hAnsi="Times New Roman" w:cs="Times New Roman"/>
          <w:sz w:val="28"/>
          <w:szCs w:val="28"/>
          <w:lang w:val="uk-UA"/>
        </w:rPr>
        <w:t xml:space="preserve">± </w:t>
      </w:r>
      <w:r w:rsidR="007F66C8" w:rsidRPr="00311667">
        <w:rPr>
          <w:rFonts w:ascii="Times New Roman" w:hAnsi="Times New Roman"/>
          <w:sz w:val="28"/>
          <w:szCs w:val="28"/>
          <w:lang w:val="uk-UA"/>
        </w:rPr>
        <w:t>8.36</w:t>
      </w:r>
      <w:r w:rsidR="007F66C8">
        <w:rPr>
          <w:rFonts w:ascii="Times New Roman" w:hAnsi="Times New Roman"/>
          <w:sz w:val="28"/>
          <w:szCs w:val="28"/>
          <w:lang w:val="uk-UA"/>
        </w:rPr>
        <w:t xml:space="preserve"> мг/л, через шість місяців </w:t>
      </w:r>
      <w:r w:rsidR="007F66C8" w:rsidRPr="00311667">
        <w:rPr>
          <w:rFonts w:ascii="Times New Roman" w:hAnsi="Times New Roman"/>
          <w:sz w:val="28"/>
          <w:szCs w:val="28"/>
          <w:lang w:val="uk-UA"/>
        </w:rPr>
        <w:t>80.13</w:t>
      </w:r>
      <w:r w:rsidR="007F66C8">
        <w:rPr>
          <w:rFonts w:ascii="Times New Roman" w:hAnsi="Times New Roman"/>
          <w:sz w:val="28"/>
          <w:szCs w:val="28"/>
          <w:lang w:val="uk-UA"/>
        </w:rPr>
        <w:t xml:space="preserve"> </w:t>
      </w:r>
      <w:r w:rsidR="007F66C8">
        <w:rPr>
          <w:rFonts w:ascii="Times New Roman" w:hAnsi="Times New Roman" w:cs="Times New Roman"/>
          <w:sz w:val="28"/>
          <w:szCs w:val="28"/>
          <w:lang w:val="uk-UA"/>
        </w:rPr>
        <w:t xml:space="preserve">± </w:t>
      </w:r>
      <w:r w:rsidR="007F66C8" w:rsidRPr="00311667">
        <w:rPr>
          <w:rFonts w:ascii="Times New Roman" w:hAnsi="Times New Roman"/>
          <w:sz w:val="28"/>
          <w:szCs w:val="28"/>
          <w:lang w:val="uk-UA"/>
        </w:rPr>
        <w:t>6.29</w:t>
      </w:r>
      <w:r w:rsidR="007F66C8">
        <w:rPr>
          <w:rFonts w:ascii="Times New Roman" w:hAnsi="Times New Roman"/>
          <w:sz w:val="28"/>
          <w:szCs w:val="28"/>
          <w:lang w:val="uk-UA"/>
        </w:rPr>
        <w:t xml:space="preserve"> мг/л. При порівнянні даних з даними першої групи очевидною є різниця у показниках, що говорить про важливість імунологічної ланки у патогенезі хронічного гінгівіту та підтверджує необхідність її корекції в процесі лікування.</w:t>
      </w:r>
    </w:p>
    <w:p w14:paraId="7711C9C7" w14:textId="6A09ABB4" w:rsidR="00234BE4" w:rsidRDefault="007F66C8"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Аналогічна ситуація спостерігалася при проведенні профілактичних заходів у четвертій групі пацієнтів, </w:t>
      </w:r>
      <w:r w:rsidR="00234BE4">
        <w:rPr>
          <w:rFonts w:ascii="Times New Roman" w:hAnsi="Times New Roman"/>
          <w:sz w:val="28"/>
          <w:szCs w:val="28"/>
          <w:lang w:val="uk-UA"/>
        </w:rPr>
        <w:t>хворих на атопічні захворювання, порівняльний аналіз показників рівня імуноглобуліну А у другій та четвертій групах представлені на д</w:t>
      </w:r>
      <w:r w:rsidR="00FB72F7">
        <w:rPr>
          <w:rFonts w:ascii="Times New Roman" w:hAnsi="Times New Roman"/>
          <w:sz w:val="28"/>
          <w:szCs w:val="28"/>
          <w:lang w:val="uk-UA"/>
        </w:rPr>
        <w:t>іаграмі 5</w:t>
      </w:r>
      <w:r w:rsidR="00234BE4">
        <w:rPr>
          <w:rFonts w:ascii="Times New Roman" w:hAnsi="Times New Roman"/>
          <w:sz w:val="28"/>
          <w:szCs w:val="28"/>
          <w:lang w:val="uk-UA"/>
        </w:rPr>
        <w:t>.2.</w:t>
      </w:r>
      <w:r>
        <w:rPr>
          <w:rFonts w:ascii="Times New Roman" w:hAnsi="Times New Roman"/>
          <w:sz w:val="28"/>
          <w:szCs w:val="28"/>
          <w:lang w:val="uk-UA"/>
        </w:rPr>
        <w:t xml:space="preserve"> </w:t>
      </w:r>
    </w:p>
    <w:p w14:paraId="0348FB72" w14:textId="77777777" w:rsidR="00936303" w:rsidRDefault="00936303" w:rsidP="00234BE4">
      <w:pPr>
        <w:spacing w:after="0" w:line="360" w:lineRule="auto"/>
        <w:ind w:firstLine="709"/>
        <w:jc w:val="right"/>
        <w:rPr>
          <w:rFonts w:ascii="Times New Roman" w:hAnsi="Times New Roman"/>
          <w:sz w:val="28"/>
          <w:szCs w:val="28"/>
          <w:lang w:val="uk-UA"/>
        </w:rPr>
      </w:pPr>
    </w:p>
    <w:p w14:paraId="21E30202" w14:textId="77777777" w:rsidR="00936303" w:rsidRDefault="00936303" w:rsidP="00234BE4">
      <w:pPr>
        <w:spacing w:after="0" w:line="360" w:lineRule="auto"/>
        <w:ind w:firstLine="709"/>
        <w:jc w:val="right"/>
        <w:rPr>
          <w:rFonts w:ascii="Times New Roman" w:hAnsi="Times New Roman"/>
          <w:sz w:val="28"/>
          <w:szCs w:val="28"/>
          <w:lang w:val="uk-UA"/>
        </w:rPr>
      </w:pPr>
    </w:p>
    <w:p w14:paraId="1CD0C60C" w14:textId="77777777" w:rsidR="00936303" w:rsidRDefault="00936303" w:rsidP="00234BE4">
      <w:pPr>
        <w:spacing w:after="0" w:line="360" w:lineRule="auto"/>
        <w:ind w:firstLine="709"/>
        <w:jc w:val="right"/>
        <w:rPr>
          <w:rFonts w:ascii="Times New Roman" w:hAnsi="Times New Roman"/>
          <w:sz w:val="28"/>
          <w:szCs w:val="28"/>
          <w:lang w:val="uk-UA"/>
        </w:rPr>
      </w:pPr>
    </w:p>
    <w:p w14:paraId="104A7123" w14:textId="77777777" w:rsidR="00936303" w:rsidRDefault="00936303" w:rsidP="00234BE4">
      <w:pPr>
        <w:spacing w:after="0" w:line="360" w:lineRule="auto"/>
        <w:ind w:firstLine="709"/>
        <w:jc w:val="right"/>
        <w:rPr>
          <w:rFonts w:ascii="Times New Roman" w:hAnsi="Times New Roman"/>
          <w:sz w:val="28"/>
          <w:szCs w:val="28"/>
          <w:lang w:val="uk-UA"/>
        </w:rPr>
      </w:pPr>
    </w:p>
    <w:p w14:paraId="12E2F6BA" w14:textId="77777777" w:rsidR="00936303" w:rsidRDefault="00936303" w:rsidP="00234BE4">
      <w:pPr>
        <w:spacing w:after="0" w:line="360" w:lineRule="auto"/>
        <w:ind w:firstLine="709"/>
        <w:jc w:val="right"/>
        <w:rPr>
          <w:rFonts w:ascii="Times New Roman" w:hAnsi="Times New Roman"/>
          <w:sz w:val="28"/>
          <w:szCs w:val="28"/>
          <w:lang w:val="uk-UA"/>
        </w:rPr>
      </w:pPr>
    </w:p>
    <w:p w14:paraId="73D79741" w14:textId="612D741F" w:rsidR="00234BE4" w:rsidRDefault="00FB72F7" w:rsidP="00234B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234BE4">
        <w:rPr>
          <w:rFonts w:ascii="Times New Roman" w:hAnsi="Times New Roman"/>
          <w:sz w:val="28"/>
          <w:szCs w:val="28"/>
          <w:lang w:val="uk-UA"/>
        </w:rPr>
        <w:t>.2</w:t>
      </w:r>
    </w:p>
    <w:p w14:paraId="30D2893B" w14:textId="15CA0718" w:rsidR="00234BE4" w:rsidRDefault="00234BE4"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Порівняння рівня секреторного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другої та четвертої </w:t>
      </w:r>
      <w:r w:rsidRPr="008A025A">
        <w:rPr>
          <w:rFonts w:ascii="Times New Roman" w:hAnsi="Times New Roman"/>
          <w:sz w:val="28"/>
          <w:szCs w:val="28"/>
          <w:lang w:val="uk-UA"/>
        </w:rPr>
        <w:t>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17E77693" w14:textId="77777777" w:rsidR="00234BE4" w:rsidRDefault="00234BE4" w:rsidP="00234BE4">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25BCAC96" wp14:editId="58A610AE">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B248A39" w14:textId="77777777" w:rsidR="00234BE4" w:rsidRDefault="00234BE4" w:rsidP="00331A41">
      <w:pPr>
        <w:spacing w:line="360" w:lineRule="auto"/>
        <w:ind w:firstLine="709"/>
        <w:jc w:val="both"/>
        <w:rPr>
          <w:rFonts w:ascii="Times New Roman" w:hAnsi="Times New Roman"/>
          <w:sz w:val="28"/>
          <w:szCs w:val="28"/>
          <w:lang w:val="uk-UA"/>
        </w:rPr>
      </w:pPr>
    </w:p>
    <w:p w14:paraId="03B29FB5" w14:textId="6D1FFADE" w:rsidR="007F66C8" w:rsidRDefault="007F66C8"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секреторного імуноглобуліну А знаходився на рівні </w:t>
      </w:r>
      <w:r w:rsidRPr="00311667">
        <w:rPr>
          <w:rFonts w:ascii="Times New Roman" w:hAnsi="Times New Roman"/>
          <w:sz w:val="28"/>
          <w:szCs w:val="28"/>
          <w:lang w:val="uk-UA"/>
        </w:rPr>
        <w:t>76.71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10.53</w:t>
      </w:r>
      <w:r>
        <w:rPr>
          <w:rFonts w:ascii="Times New Roman" w:hAnsi="Times New Roman"/>
          <w:sz w:val="28"/>
          <w:szCs w:val="28"/>
          <w:lang w:val="uk-UA"/>
        </w:rPr>
        <w:t xml:space="preserve"> мг/л на початку дослідження, через шість місяців він дорівнював </w:t>
      </w:r>
      <w:r w:rsidRPr="00311667">
        <w:rPr>
          <w:rFonts w:ascii="Times New Roman" w:hAnsi="Times New Roman"/>
          <w:sz w:val="28"/>
          <w:szCs w:val="28"/>
          <w:lang w:val="uk-UA"/>
        </w:rPr>
        <w:t>75.28</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7.02</w:t>
      </w:r>
      <w:r>
        <w:rPr>
          <w:rFonts w:ascii="Times New Roman" w:hAnsi="Times New Roman"/>
          <w:sz w:val="28"/>
          <w:szCs w:val="28"/>
          <w:lang w:val="uk-UA"/>
        </w:rPr>
        <w:t xml:space="preserve"> мг/л, через дванадцять місяців ми зафіксували позначку у </w:t>
      </w:r>
      <w:r w:rsidRPr="00311667">
        <w:rPr>
          <w:rFonts w:ascii="Times New Roman" w:hAnsi="Times New Roman"/>
          <w:sz w:val="28"/>
          <w:szCs w:val="28"/>
          <w:lang w:val="uk-UA"/>
        </w:rPr>
        <w:t>80.71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311667">
        <w:rPr>
          <w:rFonts w:ascii="Times New Roman" w:hAnsi="Times New Roman"/>
          <w:sz w:val="28"/>
          <w:szCs w:val="28"/>
          <w:lang w:val="uk-UA"/>
        </w:rPr>
        <w:t>7.04</w:t>
      </w:r>
      <w:r>
        <w:rPr>
          <w:rFonts w:ascii="Times New Roman" w:hAnsi="Times New Roman"/>
          <w:sz w:val="28"/>
          <w:szCs w:val="28"/>
          <w:lang w:val="uk-UA"/>
        </w:rPr>
        <w:t xml:space="preserve"> мг/л. Враховуючи те, що достовірної різниці у початкових показниках між обстеженими групами не було, слід визнати, що оптимальн</w:t>
      </w:r>
      <w:r w:rsidR="001E0423">
        <w:rPr>
          <w:rFonts w:ascii="Times New Roman" w:hAnsi="Times New Roman"/>
          <w:sz w:val="28"/>
          <w:szCs w:val="28"/>
          <w:lang w:val="uk-UA"/>
        </w:rPr>
        <w:t>ою є запропонована програма</w:t>
      </w:r>
      <w:r>
        <w:rPr>
          <w:rFonts w:ascii="Times New Roman" w:hAnsi="Times New Roman"/>
          <w:sz w:val="28"/>
          <w:szCs w:val="28"/>
          <w:lang w:val="uk-UA"/>
        </w:rPr>
        <w:t xml:space="preserve"> профілактичних заходів, яка орієнтована на </w:t>
      </w:r>
      <w:r w:rsidR="001E0423">
        <w:rPr>
          <w:rFonts w:ascii="Times New Roman" w:hAnsi="Times New Roman"/>
          <w:sz w:val="28"/>
          <w:szCs w:val="28"/>
          <w:lang w:val="uk-UA"/>
        </w:rPr>
        <w:t xml:space="preserve">урахування імунологічного статусу, який згідно з нашим дослідженням, є скомпрометованим як у групі дітей </w:t>
      </w:r>
      <w:r w:rsidR="00882D82">
        <w:rPr>
          <w:rFonts w:ascii="Times New Roman" w:hAnsi="Times New Roman"/>
          <w:sz w:val="28"/>
          <w:szCs w:val="28"/>
          <w:lang w:val="uk-UA"/>
        </w:rPr>
        <w:t xml:space="preserve">з гінгівітом, так і без даного </w:t>
      </w:r>
      <w:r w:rsidR="001E0423">
        <w:rPr>
          <w:rFonts w:ascii="Times New Roman" w:hAnsi="Times New Roman"/>
          <w:sz w:val="28"/>
          <w:szCs w:val="28"/>
          <w:lang w:val="uk-UA"/>
        </w:rPr>
        <w:t xml:space="preserve">діагнозу. </w:t>
      </w:r>
    </w:p>
    <w:p w14:paraId="29501EA4" w14:textId="506C028A" w:rsidR="001E0423" w:rsidRDefault="001E0423"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важливим спостереженням є те, що незалежно від наявності клінічних ознак гінгівіту, у дітей з атопічними захворюваннями спостерігається зниження рівня секреторного імуноглобуліну А, що свідчить про ураженість імунної ланки та погіршення стану мукозального імунітету. Урахування цих особливостей дозволило отримати позитивний довготривалий ефект від застосованого комплексу </w:t>
      </w:r>
      <w:r w:rsidR="00E269E5">
        <w:rPr>
          <w:rFonts w:ascii="Times New Roman" w:hAnsi="Times New Roman"/>
          <w:sz w:val="28"/>
          <w:szCs w:val="28"/>
          <w:lang w:val="uk-UA"/>
        </w:rPr>
        <w:t>концептуально нової</w:t>
      </w:r>
      <w:r>
        <w:rPr>
          <w:rFonts w:ascii="Times New Roman" w:hAnsi="Times New Roman"/>
          <w:sz w:val="28"/>
          <w:szCs w:val="28"/>
          <w:lang w:val="uk-UA"/>
        </w:rPr>
        <w:t xml:space="preserve"> програми лікування та профілактики хронічного гінгівіту.</w:t>
      </w:r>
    </w:p>
    <w:p w14:paraId="75DACA76" w14:textId="3DCB97C1" w:rsidR="00EA6013" w:rsidRDefault="00D55B8C" w:rsidP="00331A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відомо, вміст загального</w:t>
      </w:r>
      <w:r w:rsidR="00882D82">
        <w:rPr>
          <w:rFonts w:ascii="Times New Roman" w:hAnsi="Times New Roman"/>
          <w:sz w:val="28"/>
          <w:szCs w:val="28"/>
          <w:lang w:val="uk-UA"/>
        </w:rPr>
        <w:t xml:space="preserve"> імуноглобуліну А у ротовій рідині та секреті ясенної борозни відображає вміст імуноглобуліну у сироватці крові. Саме тому ми вирішили дослідити даний параметр, порівняти тенденції у зміні секреторного та сироваткового імуноглобуліну А та зробити висновок щодо його діагностичної цінності для контролю загального імунологічного статусу пацієнта.</w:t>
      </w:r>
    </w:p>
    <w:p w14:paraId="6FC31FCA" w14:textId="1B901A18" w:rsidR="007F66C8" w:rsidRPr="00803328" w:rsidRDefault="00882D82" w:rsidP="009C6E5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проведених досліджень показали знижений рівень </w:t>
      </w:r>
      <w:r w:rsidR="0078184F">
        <w:rPr>
          <w:rFonts w:ascii="Times New Roman" w:hAnsi="Times New Roman"/>
          <w:sz w:val="28"/>
          <w:szCs w:val="28"/>
          <w:lang w:val="uk-UA"/>
        </w:rPr>
        <w:t>мономерної форми</w:t>
      </w:r>
      <w:r>
        <w:rPr>
          <w:rFonts w:ascii="Times New Roman" w:hAnsi="Times New Roman"/>
          <w:sz w:val="28"/>
          <w:szCs w:val="28"/>
          <w:lang w:val="uk-UA"/>
        </w:rPr>
        <w:t xml:space="preserve"> імуноглобуліну</w:t>
      </w:r>
      <w:r w:rsidR="0078184F">
        <w:rPr>
          <w:rFonts w:ascii="Times New Roman" w:hAnsi="Times New Roman"/>
          <w:sz w:val="28"/>
          <w:szCs w:val="28"/>
          <w:lang w:val="uk-UA"/>
        </w:rPr>
        <w:t xml:space="preserve"> А</w:t>
      </w:r>
      <w:r>
        <w:rPr>
          <w:rFonts w:ascii="Times New Roman" w:hAnsi="Times New Roman"/>
          <w:sz w:val="28"/>
          <w:szCs w:val="28"/>
          <w:lang w:val="uk-UA"/>
        </w:rPr>
        <w:t xml:space="preserve"> у першій, другій, третій та четвертій групі відносно групи контролю та відсутність достовірної різниці між показниками перерахованих груп. Це співпадає з результатами дослідження рівня секреторного </w:t>
      </w:r>
      <w:r w:rsidR="009C6E57">
        <w:rPr>
          <w:rFonts w:ascii="Times New Roman" w:hAnsi="Times New Roman"/>
          <w:sz w:val="28"/>
          <w:szCs w:val="28"/>
          <w:lang w:val="uk-UA"/>
        </w:rPr>
        <w:t>імуноглобуліну А. Результати дослідження рівня імуно</w:t>
      </w:r>
      <w:r w:rsidR="00FB72F7">
        <w:rPr>
          <w:rFonts w:ascii="Times New Roman" w:hAnsi="Times New Roman"/>
          <w:sz w:val="28"/>
          <w:szCs w:val="28"/>
          <w:lang w:val="uk-UA"/>
        </w:rPr>
        <w:t>глобуліну А наведені у таблиці 5</w:t>
      </w:r>
      <w:r w:rsidR="00C23A80">
        <w:rPr>
          <w:rFonts w:ascii="Times New Roman" w:hAnsi="Times New Roman"/>
          <w:sz w:val="28"/>
          <w:szCs w:val="28"/>
          <w:lang w:val="uk-UA"/>
        </w:rPr>
        <w:t>.7</w:t>
      </w:r>
      <w:r w:rsidR="009C6E57">
        <w:rPr>
          <w:rFonts w:ascii="Times New Roman" w:hAnsi="Times New Roman"/>
          <w:sz w:val="28"/>
          <w:szCs w:val="28"/>
          <w:lang w:val="uk-UA"/>
        </w:rPr>
        <w:t>.</w:t>
      </w:r>
    </w:p>
    <w:p w14:paraId="614F18FF" w14:textId="7479A17F" w:rsidR="00021D21" w:rsidRPr="00C23A80" w:rsidRDefault="00021D21" w:rsidP="00D55B8C">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Табл</w:t>
      </w:r>
      <w:r w:rsidR="00FB72F7">
        <w:rPr>
          <w:rFonts w:ascii="Times New Roman" w:eastAsia="Calibri" w:hAnsi="Times New Roman" w:cs="Times New Roman"/>
          <w:sz w:val="28"/>
          <w:szCs w:val="28"/>
          <w:lang w:val="uk-UA"/>
        </w:rPr>
        <w:t>иця 5</w:t>
      </w:r>
      <w:r w:rsidR="00C23A80" w:rsidRPr="00C23A80">
        <w:rPr>
          <w:rFonts w:ascii="Times New Roman" w:eastAsia="Calibri" w:hAnsi="Times New Roman" w:cs="Times New Roman"/>
          <w:sz w:val="28"/>
          <w:szCs w:val="28"/>
          <w:lang w:val="uk-UA"/>
        </w:rPr>
        <w:t>.7</w:t>
      </w:r>
    </w:p>
    <w:p w14:paraId="327EDFEE" w14:textId="3C8B1779" w:rsidR="00021D21" w:rsidRDefault="00021D21" w:rsidP="00D55B8C">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рівню імуноглобуліну А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525BE7" w:rsidRPr="009141C4" w14:paraId="5C228573" w14:textId="77777777" w:rsidTr="00C56137">
        <w:trPr>
          <w:trHeight w:val="471"/>
          <w:jc w:val="center"/>
        </w:trPr>
        <w:tc>
          <w:tcPr>
            <w:tcW w:w="1838" w:type="dxa"/>
            <w:vMerge w:val="restart"/>
            <w:shd w:val="clear" w:color="auto" w:fill="auto"/>
          </w:tcPr>
          <w:p w14:paraId="48617983" w14:textId="77777777" w:rsidR="00021D21" w:rsidRPr="00525BE7" w:rsidRDefault="00021D21" w:rsidP="00D55B8C">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5E7F7E70" w14:textId="76E7220E" w:rsidR="00021D21" w:rsidRPr="00525BE7" w:rsidRDefault="00D55B8C" w:rsidP="00D55B8C">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w:t>
            </w:r>
            <w:r w:rsidR="00021D21" w:rsidRPr="00525BE7">
              <w:rPr>
                <w:rFonts w:ascii="Times New Roman" w:hAnsi="Times New Roman"/>
                <w:color w:val="000000" w:themeColor="text1"/>
                <w:sz w:val="28"/>
                <w:szCs w:val="28"/>
                <w:lang w:val="uk-UA"/>
              </w:rPr>
              <w:t>муноглобулін А</w:t>
            </w:r>
            <w:r w:rsidR="00560D27" w:rsidRPr="00525BE7">
              <w:rPr>
                <w:rFonts w:ascii="Times New Roman" w:hAnsi="Times New Roman"/>
                <w:color w:val="000000" w:themeColor="text1"/>
                <w:sz w:val="28"/>
                <w:szCs w:val="28"/>
                <w:lang w:val="uk-UA"/>
              </w:rPr>
              <w:t xml:space="preserve">, </w:t>
            </w:r>
            <w:r w:rsidR="00021D21" w:rsidRPr="00525BE7">
              <w:rPr>
                <w:rFonts w:ascii="Times New Roman" w:hAnsi="Times New Roman"/>
                <w:color w:val="000000" w:themeColor="text1"/>
                <w:sz w:val="28"/>
                <w:szCs w:val="28"/>
                <w:lang w:val="uk-UA"/>
              </w:rPr>
              <w:t>г/л</w:t>
            </w:r>
          </w:p>
        </w:tc>
      </w:tr>
      <w:tr w:rsidR="00021D21" w:rsidRPr="00525BE7" w14:paraId="0C06303F" w14:textId="77777777" w:rsidTr="00C56137">
        <w:trPr>
          <w:trHeight w:val="486"/>
          <w:jc w:val="center"/>
        </w:trPr>
        <w:tc>
          <w:tcPr>
            <w:tcW w:w="1838" w:type="dxa"/>
            <w:vMerge/>
            <w:shd w:val="clear" w:color="auto" w:fill="auto"/>
          </w:tcPr>
          <w:p w14:paraId="336662CC" w14:textId="77777777" w:rsidR="00021D21" w:rsidRPr="00525BE7" w:rsidRDefault="00021D21" w:rsidP="00D55B8C">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79E8F3AA" w14:textId="77777777" w:rsidR="00021D21" w:rsidRPr="00525BE7" w:rsidRDefault="00021D21" w:rsidP="00D55B8C">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78D8AC80" w14:textId="77777777" w:rsidR="00021D21" w:rsidRPr="00525BE7" w:rsidRDefault="00021D21" w:rsidP="00D55B8C">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2B5EB27F"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6AF27FAF"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74195CB3" w14:textId="77777777" w:rsidR="00021D21" w:rsidRPr="00525BE7" w:rsidRDefault="00021D21" w:rsidP="00D55B8C">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021D21" w:rsidRPr="00525BE7" w14:paraId="2B4C39C8" w14:textId="77777777" w:rsidTr="00C56137">
        <w:trPr>
          <w:trHeight w:val="429"/>
          <w:jc w:val="center"/>
        </w:trPr>
        <w:tc>
          <w:tcPr>
            <w:tcW w:w="1838" w:type="dxa"/>
            <w:shd w:val="clear" w:color="auto" w:fill="auto"/>
          </w:tcPr>
          <w:p w14:paraId="6475A60B"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106FE6F0" w14:textId="3A57AFA5"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2.06</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0.41</w:t>
            </w:r>
          </w:p>
        </w:tc>
        <w:tc>
          <w:tcPr>
            <w:tcW w:w="1417" w:type="dxa"/>
            <w:shd w:val="clear" w:color="auto" w:fill="auto"/>
          </w:tcPr>
          <w:p w14:paraId="2FFB5117" w14:textId="3B14AA8C"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0.45</w:t>
            </w:r>
          </w:p>
        </w:tc>
        <w:tc>
          <w:tcPr>
            <w:tcW w:w="1559" w:type="dxa"/>
            <w:shd w:val="clear" w:color="auto" w:fill="auto"/>
          </w:tcPr>
          <w:p w14:paraId="5762B945" w14:textId="1FDA5042"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1.91</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0.42</w:t>
            </w:r>
          </w:p>
        </w:tc>
        <w:tc>
          <w:tcPr>
            <w:tcW w:w="1570" w:type="dxa"/>
            <w:shd w:val="clear" w:color="auto" w:fill="auto"/>
          </w:tcPr>
          <w:p w14:paraId="016A64B6" w14:textId="16BDFD31"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1.95</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0.45</w:t>
            </w:r>
          </w:p>
        </w:tc>
        <w:tc>
          <w:tcPr>
            <w:tcW w:w="1483" w:type="dxa"/>
            <w:shd w:val="clear" w:color="auto" w:fill="auto"/>
          </w:tcPr>
          <w:p w14:paraId="69A64905" w14:textId="4D88B2DE"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5.04</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1.19</w:t>
            </w:r>
          </w:p>
        </w:tc>
      </w:tr>
      <w:tr w:rsidR="00021D21" w:rsidRPr="00525BE7" w14:paraId="5435E6FB" w14:textId="77777777" w:rsidTr="00C56137">
        <w:trPr>
          <w:trHeight w:val="427"/>
          <w:jc w:val="center"/>
        </w:trPr>
        <w:tc>
          <w:tcPr>
            <w:tcW w:w="1838" w:type="dxa"/>
            <w:shd w:val="clear" w:color="auto" w:fill="auto"/>
          </w:tcPr>
          <w:p w14:paraId="2651815A"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1FDC2F6A" w14:textId="39CE085F"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6.58</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0.73</w:t>
            </w:r>
            <w:r w:rsidR="00021D21"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5D13C78E" w14:textId="6B23D98C"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6.89</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0.66</w:t>
            </w:r>
            <w:r w:rsidR="00021D21"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5ADB6874" w14:textId="2D219436"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1.90</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0.40</w:t>
            </w:r>
          </w:p>
        </w:tc>
        <w:tc>
          <w:tcPr>
            <w:tcW w:w="1570" w:type="dxa"/>
            <w:shd w:val="clear" w:color="auto" w:fill="auto"/>
          </w:tcPr>
          <w:p w14:paraId="2E430A20" w14:textId="76F1BA05"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1.84</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0.47</w:t>
            </w:r>
          </w:p>
        </w:tc>
        <w:tc>
          <w:tcPr>
            <w:tcW w:w="1483" w:type="dxa"/>
            <w:shd w:val="clear" w:color="auto" w:fill="auto"/>
          </w:tcPr>
          <w:p w14:paraId="5CE83B40" w14:textId="70007353"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5.68</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1.01</w:t>
            </w:r>
          </w:p>
        </w:tc>
      </w:tr>
      <w:tr w:rsidR="00525BE7" w:rsidRPr="00525BE7" w14:paraId="1844F7D4" w14:textId="77777777" w:rsidTr="00C56137">
        <w:trPr>
          <w:trHeight w:val="577"/>
          <w:jc w:val="center"/>
        </w:trPr>
        <w:tc>
          <w:tcPr>
            <w:tcW w:w="1838" w:type="dxa"/>
            <w:shd w:val="clear" w:color="auto" w:fill="auto"/>
          </w:tcPr>
          <w:p w14:paraId="32EB1821" w14:textId="77777777" w:rsidR="00021D21" w:rsidRPr="00525BE7" w:rsidRDefault="00021D21" w:rsidP="00D55B8C">
            <w:pPr>
              <w:spacing w:after="0" w:line="360" w:lineRule="auto"/>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000987E1" w14:textId="1C1268CD" w:rsidR="00021D21" w:rsidRPr="00525BE7" w:rsidRDefault="00525BE7" w:rsidP="00D55B8C">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6.40</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0.69</w:t>
            </w:r>
            <w:r w:rsidR="00021D21"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08AE66B5" w14:textId="595DBCA7"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5.11</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0.86</w:t>
            </w:r>
            <w:r w:rsidR="00021D21"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25A6E86D" w14:textId="2E69D17E"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2.03</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0.59</w:t>
            </w:r>
          </w:p>
        </w:tc>
        <w:tc>
          <w:tcPr>
            <w:tcW w:w="1570" w:type="dxa"/>
            <w:shd w:val="clear" w:color="auto" w:fill="auto"/>
          </w:tcPr>
          <w:p w14:paraId="0F2F6759" w14:textId="2B705977"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1.72</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0.31</w:t>
            </w:r>
          </w:p>
        </w:tc>
        <w:tc>
          <w:tcPr>
            <w:tcW w:w="1483" w:type="dxa"/>
            <w:shd w:val="clear" w:color="auto" w:fill="auto"/>
          </w:tcPr>
          <w:p w14:paraId="289C891D" w14:textId="4BF1931D" w:rsidR="00021D21" w:rsidRPr="00525BE7" w:rsidRDefault="00525BE7" w:rsidP="00D55B8C">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5.73</w:t>
            </w:r>
            <w:r>
              <w:rPr>
                <w:rFonts w:ascii="Times New Roman" w:hAnsi="Times New Roman" w:cs="Times New Roman"/>
                <w:color w:val="000000" w:themeColor="text1"/>
                <w:sz w:val="28"/>
                <w:szCs w:val="28"/>
                <w:lang w:val="uk-UA"/>
              </w:rPr>
              <w:t>±</w:t>
            </w:r>
            <w:r w:rsidRPr="00525BE7">
              <w:rPr>
                <w:rFonts w:ascii="Times New Roman" w:hAnsi="Times New Roman"/>
                <w:color w:val="000000" w:themeColor="text1"/>
                <w:sz w:val="28"/>
                <w:szCs w:val="28"/>
                <w:lang w:val="uk-UA"/>
              </w:rPr>
              <w:t>0.68</w:t>
            </w:r>
          </w:p>
        </w:tc>
      </w:tr>
    </w:tbl>
    <w:p w14:paraId="28E42EC6" w14:textId="77777777" w:rsidR="00021D21" w:rsidRDefault="00021D21" w:rsidP="00D55B8C">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7C1788CF" w14:textId="77777777" w:rsidR="00936303" w:rsidRPr="00F42F7A" w:rsidRDefault="00936303" w:rsidP="00D55B8C">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2DE85C78" w14:textId="77777777" w:rsidR="00936303" w:rsidRDefault="00936303" w:rsidP="00D55B8C">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09F44C15" w14:textId="77777777" w:rsidR="00936303" w:rsidRDefault="00936303" w:rsidP="00021D21">
      <w:pPr>
        <w:spacing w:line="360" w:lineRule="auto"/>
        <w:jc w:val="both"/>
        <w:rPr>
          <w:rFonts w:ascii="Times New Roman" w:eastAsia="Calibri" w:hAnsi="Times New Roman" w:cs="Times New Roman"/>
          <w:sz w:val="28"/>
          <w:szCs w:val="28"/>
          <w:lang w:val="uk-UA"/>
        </w:rPr>
      </w:pPr>
    </w:p>
    <w:p w14:paraId="5F372339" w14:textId="02C3D726" w:rsidR="00021D21" w:rsidRDefault="009C6E57"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Згідно з отриманими даними до проведення лікування </w:t>
      </w:r>
      <w:r w:rsidR="00FD5FFD">
        <w:rPr>
          <w:rFonts w:ascii="Times New Roman" w:hAnsi="Times New Roman"/>
          <w:sz w:val="28"/>
          <w:szCs w:val="28"/>
          <w:lang w:val="uk-UA"/>
        </w:rPr>
        <w:t xml:space="preserve">рівень імуноглобуліну А знаходився на рівні 2.06 </w:t>
      </w:r>
      <w:r w:rsidR="00FD5FFD">
        <w:rPr>
          <w:rFonts w:ascii="Times New Roman" w:hAnsi="Times New Roman" w:cs="Times New Roman"/>
          <w:color w:val="000000" w:themeColor="text1"/>
          <w:sz w:val="28"/>
          <w:szCs w:val="28"/>
          <w:lang w:val="uk-UA"/>
        </w:rPr>
        <w:t xml:space="preserve">± </w:t>
      </w:r>
      <w:r w:rsidR="00FD5FFD" w:rsidRPr="00525BE7">
        <w:rPr>
          <w:rFonts w:ascii="Times New Roman" w:hAnsi="Times New Roman"/>
          <w:color w:val="000000" w:themeColor="text1"/>
          <w:sz w:val="28"/>
          <w:szCs w:val="28"/>
          <w:lang w:val="uk-UA"/>
        </w:rPr>
        <w:t>0.41</w:t>
      </w:r>
      <w:r w:rsidR="00FD5FFD">
        <w:rPr>
          <w:rFonts w:ascii="Times New Roman" w:hAnsi="Times New Roman"/>
          <w:color w:val="000000" w:themeColor="text1"/>
          <w:sz w:val="28"/>
          <w:szCs w:val="28"/>
          <w:lang w:val="uk-UA"/>
        </w:rPr>
        <w:t xml:space="preserve"> г/л, у той час як у контрольній групі даний показник був на рівні 5.04 </w:t>
      </w:r>
      <w:r w:rsidR="00FD5FFD">
        <w:rPr>
          <w:rFonts w:ascii="Times New Roman" w:hAnsi="Times New Roman" w:cs="Times New Roman"/>
          <w:color w:val="000000" w:themeColor="text1"/>
          <w:sz w:val="28"/>
          <w:szCs w:val="28"/>
          <w:lang w:val="uk-UA"/>
        </w:rPr>
        <w:t xml:space="preserve">± </w:t>
      </w:r>
      <w:r w:rsidR="00FD5FFD" w:rsidRPr="00525BE7">
        <w:rPr>
          <w:rFonts w:ascii="Times New Roman" w:hAnsi="Times New Roman"/>
          <w:color w:val="000000" w:themeColor="text1"/>
          <w:sz w:val="28"/>
          <w:szCs w:val="28"/>
          <w:lang w:val="uk-UA"/>
        </w:rPr>
        <w:t>1.19</w:t>
      </w:r>
      <w:r w:rsidR="00FD5FFD">
        <w:rPr>
          <w:rFonts w:ascii="Times New Roman" w:hAnsi="Times New Roman"/>
          <w:color w:val="000000" w:themeColor="text1"/>
          <w:sz w:val="28"/>
          <w:szCs w:val="28"/>
          <w:lang w:val="uk-UA"/>
        </w:rPr>
        <w:t xml:space="preserve"> г/л. Даний факт свідчить про зниження імунного захисту організму в цілому</w:t>
      </w:r>
      <w:r w:rsidR="00ED03FF">
        <w:rPr>
          <w:rFonts w:ascii="Times New Roman" w:hAnsi="Times New Roman"/>
          <w:color w:val="000000" w:themeColor="text1"/>
          <w:sz w:val="28"/>
          <w:szCs w:val="28"/>
          <w:lang w:val="uk-UA"/>
        </w:rPr>
        <w:t xml:space="preserve">. Після проведення лікувальних заходів за запропонованою нами методикою з використанням імунокорегуючої терапії показники імуноглобуліну А нормалізувалися та дорівнювали 6.58 </w:t>
      </w:r>
      <w:r w:rsidR="00ED03FF">
        <w:rPr>
          <w:rFonts w:ascii="Times New Roman" w:hAnsi="Times New Roman" w:cs="Times New Roman"/>
          <w:color w:val="000000" w:themeColor="text1"/>
          <w:sz w:val="28"/>
          <w:szCs w:val="28"/>
          <w:lang w:val="uk-UA"/>
        </w:rPr>
        <w:t xml:space="preserve">± </w:t>
      </w:r>
      <w:r w:rsidR="00ED03FF" w:rsidRPr="00525BE7">
        <w:rPr>
          <w:rFonts w:ascii="Times New Roman" w:hAnsi="Times New Roman"/>
          <w:color w:val="000000" w:themeColor="text1"/>
          <w:sz w:val="28"/>
          <w:szCs w:val="28"/>
          <w:lang w:val="uk-UA"/>
        </w:rPr>
        <w:t>0.73</w:t>
      </w:r>
      <w:r w:rsidR="00ED03FF">
        <w:rPr>
          <w:rFonts w:ascii="Times New Roman" w:hAnsi="Times New Roman"/>
          <w:color w:val="000000" w:themeColor="text1"/>
          <w:sz w:val="28"/>
          <w:szCs w:val="28"/>
          <w:lang w:val="uk-UA"/>
        </w:rPr>
        <w:t xml:space="preserve"> г/л через шість місяців та 6.40 </w:t>
      </w:r>
      <w:r w:rsidR="00ED03FF">
        <w:rPr>
          <w:rFonts w:ascii="Times New Roman" w:hAnsi="Times New Roman" w:cs="Times New Roman"/>
          <w:color w:val="000000" w:themeColor="text1"/>
          <w:sz w:val="28"/>
          <w:szCs w:val="28"/>
          <w:lang w:val="uk-UA"/>
        </w:rPr>
        <w:t xml:space="preserve">± </w:t>
      </w:r>
      <w:r w:rsidR="00ED03FF" w:rsidRPr="00525BE7">
        <w:rPr>
          <w:rFonts w:ascii="Times New Roman" w:hAnsi="Times New Roman"/>
          <w:color w:val="000000" w:themeColor="text1"/>
          <w:sz w:val="28"/>
          <w:szCs w:val="28"/>
          <w:lang w:val="uk-UA"/>
        </w:rPr>
        <w:t>0.69</w:t>
      </w:r>
      <w:r w:rsidR="00ED03FF">
        <w:rPr>
          <w:rFonts w:ascii="Times New Roman" w:hAnsi="Times New Roman"/>
          <w:color w:val="000000" w:themeColor="text1"/>
          <w:sz w:val="28"/>
          <w:szCs w:val="28"/>
          <w:lang w:val="uk-UA"/>
        </w:rPr>
        <w:t xml:space="preserve"> г/л через дванадцять місяців, що становить статистично значиму різницю з початковими показниками. Отримані результати свідчать про ефективність запропонованої комплексної терапії хронічного гінгівіту у дітей з атопічними захворюваннями. </w:t>
      </w:r>
    </w:p>
    <w:p w14:paraId="2E218CCB" w14:textId="29ED76EF" w:rsidR="00ED03FF" w:rsidRDefault="00ED03FF"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Якщо порівняти дані першої групи, де була застосована </w:t>
      </w:r>
      <w:r w:rsidR="00D55B8C">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методика лікування, з даними третьої групи, де була застосована стандартний спосіб лікування хронічного гінгівіту, направлений на усунення симптомів, очевидною є перевага запропонованої терапії. Порівняльний аналіз ефективності л</w:t>
      </w:r>
      <w:r w:rsidR="00FB72F7">
        <w:rPr>
          <w:rFonts w:ascii="Times New Roman" w:hAnsi="Times New Roman"/>
          <w:color w:val="000000" w:themeColor="text1"/>
          <w:sz w:val="28"/>
          <w:szCs w:val="28"/>
          <w:lang w:val="uk-UA"/>
        </w:rPr>
        <w:t>ікування наведений на діаграмі 5</w:t>
      </w:r>
      <w:r>
        <w:rPr>
          <w:rFonts w:ascii="Times New Roman" w:hAnsi="Times New Roman"/>
          <w:color w:val="000000" w:themeColor="text1"/>
          <w:sz w:val="28"/>
          <w:szCs w:val="28"/>
          <w:lang w:val="uk-UA"/>
        </w:rPr>
        <w:t>.3.</w:t>
      </w:r>
    </w:p>
    <w:p w14:paraId="61FDB31C" w14:textId="33BC9DF3" w:rsidR="00ED03FF" w:rsidRDefault="00FB72F7" w:rsidP="00ED03FF">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ED03FF">
        <w:rPr>
          <w:rFonts w:ascii="Times New Roman" w:hAnsi="Times New Roman"/>
          <w:sz w:val="28"/>
          <w:szCs w:val="28"/>
          <w:lang w:val="uk-UA"/>
        </w:rPr>
        <w:t>.3</w:t>
      </w:r>
    </w:p>
    <w:p w14:paraId="5CCD1170" w14:textId="32059E04" w:rsidR="00ED03FF" w:rsidRDefault="00ED03FF"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Порівняний аналіз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першої та третьої </w:t>
      </w:r>
      <w:r w:rsidRPr="008A025A">
        <w:rPr>
          <w:rFonts w:ascii="Times New Roman" w:hAnsi="Times New Roman"/>
          <w:sz w:val="28"/>
          <w:szCs w:val="28"/>
          <w:lang w:val="uk-UA"/>
        </w:rPr>
        <w:t>груп</w:t>
      </w:r>
      <w:r w:rsidRPr="00C56137">
        <w:rPr>
          <w:rFonts w:ascii="Times New Roman" w:hAnsi="Times New Roman"/>
          <w:sz w:val="28"/>
          <w:szCs w:val="28"/>
          <w:lang w:val="uk-UA"/>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4222CE7A" w14:textId="77777777" w:rsidR="00ED03FF" w:rsidRDefault="00ED03FF" w:rsidP="00ED03FF">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673F5E66" wp14:editId="096EF71B">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C580186" w14:textId="3BB53320" w:rsidR="00ED03FF" w:rsidRDefault="00B50EA6" w:rsidP="00ED03F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показників першої та третьої дослідних груп свідчить про відсутність змін у імунному статусі пацієнтів третьої групи. Отже, у пацієнтів з атопічними захворюваннями хронічний гінгівіт проходить на тлі зниженого імунного захисту, що у свою чергу сприяє поглибленню патологічного процесу у тканинах пародонту. Згідно з отриманими даними, для успішного лікування захворювань тканин пародонту, необхідна імуномодулююча терапія, яка забезпечить довготривалий ефект від лікування. </w:t>
      </w:r>
    </w:p>
    <w:p w14:paraId="31771816" w14:textId="4F45BB9A" w:rsidR="00B50EA6" w:rsidRDefault="00B50EA6" w:rsidP="00ED03FF">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Вивчення показників другої та четвертої групи</w:t>
      </w:r>
      <w:r w:rsidR="005C3947">
        <w:rPr>
          <w:rFonts w:ascii="Times New Roman" w:hAnsi="Times New Roman"/>
          <w:sz w:val="28"/>
          <w:szCs w:val="28"/>
          <w:lang w:val="uk-UA"/>
        </w:rPr>
        <w:t xml:space="preserve"> виявив схожі тенденції. При проведенні профілактичних заходів серед пацієнтів другої групи з атопічними захворюваннями без виражених ознак гінгівіту, ми спостерігали позитивну динаміку. На початку дослідження рівень імуноглобуліну дорівнював </w:t>
      </w:r>
      <w:r w:rsidR="005C3947">
        <w:rPr>
          <w:rFonts w:ascii="Times New Roman" w:hAnsi="Times New Roman"/>
          <w:color w:val="000000" w:themeColor="text1"/>
          <w:sz w:val="28"/>
          <w:szCs w:val="28"/>
          <w:lang w:val="uk-UA"/>
        </w:rPr>
        <w:t xml:space="preserve">2.02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0.45</w:t>
      </w:r>
      <w:r w:rsidR="005C3947">
        <w:rPr>
          <w:rFonts w:ascii="Times New Roman" w:hAnsi="Times New Roman"/>
          <w:color w:val="000000" w:themeColor="text1"/>
          <w:sz w:val="28"/>
          <w:szCs w:val="28"/>
          <w:lang w:val="uk-UA"/>
        </w:rPr>
        <w:t xml:space="preserve"> г/л, через шість місяців 6.89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0.66</w:t>
      </w:r>
      <w:r w:rsidR="005C3947">
        <w:rPr>
          <w:rFonts w:ascii="Times New Roman" w:hAnsi="Times New Roman"/>
          <w:color w:val="000000" w:themeColor="text1"/>
          <w:sz w:val="28"/>
          <w:szCs w:val="28"/>
          <w:lang w:val="uk-UA"/>
        </w:rPr>
        <w:t xml:space="preserve"> г/л, через дванадцять місяців 5.11 </w:t>
      </w:r>
      <w:r w:rsidR="005C3947">
        <w:rPr>
          <w:rFonts w:ascii="Times New Roman" w:hAnsi="Times New Roman" w:cs="Times New Roman"/>
          <w:color w:val="000000" w:themeColor="text1"/>
          <w:sz w:val="28"/>
          <w:szCs w:val="28"/>
          <w:lang w:val="uk-UA"/>
        </w:rPr>
        <w:t xml:space="preserve">± </w:t>
      </w:r>
      <w:r w:rsidR="005C3947" w:rsidRPr="00525BE7">
        <w:rPr>
          <w:rFonts w:ascii="Times New Roman" w:hAnsi="Times New Roman"/>
          <w:color w:val="000000" w:themeColor="text1"/>
          <w:sz w:val="28"/>
          <w:szCs w:val="28"/>
          <w:lang w:val="uk-UA"/>
        </w:rPr>
        <w:t>0.86</w:t>
      </w:r>
      <w:r w:rsidR="005C3947">
        <w:rPr>
          <w:rFonts w:ascii="Times New Roman" w:hAnsi="Times New Roman"/>
          <w:color w:val="000000" w:themeColor="text1"/>
          <w:sz w:val="28"/>
          <w:szCs w:val="28"/>
          <w:lang w:val="uk-UA"/>
        </w:rPr>
        <w:t xml:space="preserve"> г/л. Зображення порівняння отриманих даних у другій та четвертій групах представлене на діаграмі </w:t>
      </w:r>
      <w:r w:rsidR="00FB72F7">
        <w:rPr>
          <w:rFonts w:ascii="Times New Roman" w:hAnsi="Times New Roman"/>
          <w:color w:val="000000" w:themeColor="text1"/>
          <w:sz w:val="28"/>
          <w:szCs w:val="28"/>
          <w:lang w:val="uk-UA"/>
        </w:rPr>
        <w:t>5</w:t>
      </w:r>
      <w:r w:rsidR="00A061A5">
        <w:rPr>
          <w:rFonts w:ascii="Times New Roman" w:hAnsi="Times New Roman"/>
          <w:color w:val="000000" w:themeColor="text1"/>
          <w:sz w:val="28"/>
          <w:szCs w:val="28"/>
          <w:lang w:val="uk-UA"/>
        </w:rPr>
        <w:t>.</w:t>
      </w:r>
      <w:r w:rsidR="005C3947">
        <w:rPr>
          <w:rFonts w:ascii="Times New Roman" w:hAnsi="Times New Roman"/>
          <w:color w:val="000000" w:themeColor="text1"/>
          <w:sz w:val="28"/>
          <w:szCs w:val="28"/>
          <w:lang w:val="uk-UA"/>
        </w:rPr>
        <w:t>4.</w:t>
      </w:r>
    </w:p>
    <w:p w14:paraId="63F345F8" w14:textId="0C6E0317" w:rsidR="00A061A5" w:rsidRDefault="00FB72F7" w:rsidP="00A061A5">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Діаграма 5</w:t>
      </w:r>
      <w:r w:rsidR="00A061A5">
        <w:rPr>
          <w:rFonts w:ascii="Times New Roman" w:hAnsi="Times New Roman"/>
          <w:sz w:val="28"/>
          <w:szCs w:val="28"/>
          <w:lang w:val="uk-UA"/>
        </w:rPr>
        <w:t>.4</w:t>
      </w:r>
    </w:p>
    <w:p w14:paraId="06D02007" w14:textId="50B8AB31" w:rsidR="00A061A5" w:rsidRDefault="00A061A5" w:rsidP="000728CB">
      <w:pPr>
        <w:spacing w:after="0" w:line="360" w:lineRule="auto"/>
        <w:jc w:val="center"/>
        <w:rPr>
          <w:rFonts w:ascii="Times New Roman" w:hAnsi="Times New Roman"/>
          <w:sz w:val="28"/>
          <w:szCs w:val="28"/>
          <w:lang w:val="uk-UA"/>
        </w:rPr>
      </w:pPr>
      <w:r>
        <w:rPr>
          <w:rFonts w:ascii="Times New Roman" w:hAnsi="Times New Roman"/>
          <w:sz w:val="28"/>
          <w:szCs w:val="28"/>
          <w:lang w:val="uk-UA"/>
        </w:rPr>
        <w:t>Порівняний аналіз імуноглобуліну А</w:t>
      </w:r>
      <w:r w:rsidRPr="008A025A">
        <w:rPr>
          <w:rFonts w:ascii="Times New Roman" w:hAnsi="Times New Roman"/>
          <w:sz w:val="28"/>
          <w:szCs w:val="28"/>
          <w:lang w:val="uk-UA"/>
        </w:rPr>
        <w:t xml:space="preserve"> </w:t>
      </w:r>
      <w:r>
        <w:rPr>
          <w:rFonts w:ascii="Times New Roman" w:hAnsi="Times New Roman"/>
          <w:sz w:val="28"/>
          <w:szCs w:val="28"/>
          <w:lang w:val="uk-UA"/>
        </w:rPr>
        <w:t xml:space="preserve">другої та четвертої </w:t>
      </w:r>
      <w:r w:rsidRPr="008A025A">
        <w:rPr>
          <w:rFonts w:ascii="Times New Roman" w:hAnsi="Times New Roman"/>
          <w:sz w:val="28"/>
          <w:szCs w:val="28"/>
          <w:lang w:val="uk-UA"/>
        </w:rPr>
        <w:t>груп</w:t>
      </w:r>
      <w:r w:rsidRPr="008A025A">
        <w:rPr>
          <w:rFonts w:ascii="Times New Roman" w:hAnsi="Times New Roman"/>
          <w:sz w:val="28"/>
          <w:szCs w:val="28"/>
          <w:lang w:val="ru-RU"/>
        </w:rPr>
        <w:t xml:space="preserve"> </w:t>
      </w:r>
      <w:r>
        <w:rPr>
          <w:rFonts w:ascii="Times New Roman" w:hAnsi="Times New Roman"/>
          <w:sz w:val="28"/>
          <w:szCs w:val="28"/>
          <w:lang w:val="uk-UA"/>
        </w:rPr>
        <w:t xml:space="preserve">у </w:t>
      </w:r>
      <w:r w:rsidRPr="008A025A">
        <w:rPr>
          <w:rFonts w:ascii="Times New Roman" w:hAnsi="Times New Roman"/>
          <w:sz w:val="28"/>
          <w:szCs w:val="28"/>
          <w:lang w:val="uk-UA"/>
        </w:rPr>
        <w:t>динаміці</w:t>
      </w:r>
    </w:p>
    <w:p w14:paraId="7969535A" w14:textId="77777777" w:rsidR="00A061A5" w:rsidRDefault="00A061A5" w:rsidP="00A061A5">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14:anchorId="58AFA758" wp14:editId="6ECC122F">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8F9D87F" w14:textId="642D0D26" w:rsidR="00A061A5" w:rsidRDefault="00A061A5" w:rsidP="00ED03F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порівнянні показників другої та четвертої груп імуноглобуліну А наявна достовірна різниця у їх значеннях при строках спостереження у шість та дванадцять місяців. Так, через шість та дванадцять місяців рівень імуноглобуліну А у дітей з атопічними захворюваннями без виражених ознак майже не змінився та залишався на низькому рівні. Необхідно відмітити, що аналіз клінічних показників на даних строках спостережень виявив розвиток симптомів гінгівіту, що підтверджує значущість імунної ланки у патогенезі захворювань пародонту та необхідність її корекції навіть при відсутності клінічних проявів хронічного гінгівіту. У той же час, важливим є те, що у другій групі пацієнтів, де була застосована запропонована </w:t>
      </w:r>
      <w:r w:rsidR="00E269E5">
        <w:rPr>
          <w:rFonts w:ascii="Times New Roman" w:hAnsi="Times New Roman"/>
          <w:sz w:val="28"/>
          <w:szCs w:val="28"/>
          <w:lang w:val="uk-UA"/>
        </w:rPr>
        <w:t>концептуально нова</w:t>
      </w:r>
      <w:r>
        <w:rPr>
          <w:rFonts w:ascii="Times New Roman" w:hAnsi="Times New Roman"/>
          <w:sz w:val="28"/>
          <w:szCs w:val="28"/>
          <w:lang w:val="uk-UA"/>
        </w:rPr>
        <w:t xml:space="preserve"> програма профілактики хронічного гінгівіту, відбулося помірне зниження рівню імуноглобуліну А, що свідчить про зниження ступеню імунного захисту організму. </w:t>
      </w:r>
      <w:r w:rsidR="00340339">
        <w:rPr>
          <w:rFonts w:ascii="Times New Roman" w:hAnsi="Times New Roman"/>
          <w:sz w:val="28"/>
          <w:szCs w:val="28"/>
          <w:lang w:val="uk-UA"/>
        </w:rPr>
        <w:t>Оскільки даний факт не призвів до змін інших параметрів, таких як рівень секреторного імуноглобуліну, що говорить про стабільність мукозального імунітету, та змін клінічних параметрів, вважаємо доцільним рекомендувати повторний курс імуномодулюючої терапії з контролем рівню імуноглобуліну А.</w:t>
      </w:r>
    </w:p>
    <w:p w14:paraId="53973F40" w14:textId="54EE85B9" w:rsidR="00C56137" w:rsidRDefault="00793903" w:rsidP="00C5613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дослідження рівню імуноглобуліну А дозволило виявити ураженість імунної системи у дітей з атопічними захворюваннями. Проведення </w:t>
      </w:r>
      <w:r w:rsidR="00EF0AB1">
        <w:rPr>
          <w:rFonts w:ascii="Times New Roman" w:hAnsi="Times New Roman"/>
          <w:sz w:val="28"/>
          <w:szCs w:val="28"/>
          <w:lang w:val="uk-UA"/>
        </w:rPr>
        <w:t>концептуально нового</w:t>
      </w:r>
      <w:r>
        <w:rPr>
          <w:rFonts w:ascii="Times New Roman" w:hAnsi="Times New Roman"/>
          <w:sz w:val="28"/>
          <w:szCs w:val="28"/>
          <w:lang w:val="uk-UA"/>
        </w:rPr>
        <w:t xml:space="preserve"> лікування та профілактики хронічного гінгівіту дозволило нормалізувати ступінь імунного захисту, що проявлялося у нормалізації рівню імуноглобуліну А. Динаміка рівню даного імуноглобуліну відобразила зміни, що відбуваються у організмі дітей з атопічними захворюваннями, підтвердила необхідність впливу на імунну ланку у патогенезі захворювань пародонту та довела можливість використання </w:t>
      </w:r>
      <w:r w:rsidR="00F02C22">
        <w:rPr>
          <w:rFonts w:ascii="Times New Roman" w:hAnsi="Times New Roman"/>
          <w:sz w:val="28"/>
          <w:szCs w:val="28"/>
          <w:lang w:val="uk-UA"/>
        </w:rPr>
        <w:t>імуноглобуліну А у якості неінвазивного діагностичного біомаркеру з метою подальшої корекції лікувально-профілактичних заходів</w:t>
      </w:r>
      <w:r w:rsidR="00C56137">
        <w:rPr>
          <w:rFonts w:ascii="Times New Roman" w:hAnsi="Times New Roman"/>
          <w:sz w:val="28"/>
          <w:szCs w:val="28"/>
          <w:lang w:val="uk-UA"/>
        </w:rPr>
        <w:t xml:space="preserve"> серед даного контингенту дітей.</w:t>
      </w:r>
    </w:p>
    <w:p w14:paraId="349A95C4" w14:textId="0B819BAD" w:rsidR="00C56137" w:rsidRPr="00756AF0" w:rsidRDefault="00C56137" w:rsidP="00C5613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аналізу інформативності </w:t>
      </w:r>
      <w:r w:rsidR="008D34B3">
        <w:rPr>
          <w:rFonts w:ascii="Times New Roman" w:hAnsi="Times New Roman"/>
          <w:sz w:val="28"/>
          <w:szCs w:val="28"/>
          <w:lang w:val="uk-UA"/>
        </w:rPr>
        <w:t xml:space="preserve">рівню імуноглобулінів у ротовій рідині ми провели дослідження рівнів декількох імуноглобулінів, у тому числі імуноглобуліну </w:t>
      </w:r>
      <w:r w:rsidR="008D34B3">
        <w:rPr>
          <w:rFonts w:ascii="Times New Roman" w:hAnsi="Times New Roman"/>
          <w:sz w:val="28"/>
          <w:szCs w:val="28"/>
        </w:rPr>
        <w:t>G</w:t>
      </w:r>
      <w:r w:rsidR="008D34B3" w:rsidRPr="008D34B3">
        <w:rPr>
          <w:rFonts w:ascii="Times New Roman" w:hAnsi="Times New Roman"/>
          <w:sz w:val="28"/>
          <w:szCs w:val="28"/>
          <w:lang w:val="uk-UA"/>
        </w:rPr>
        <w:t>.</w:t>
      </w:r>
      <w:r w:rsidR="00756AF0" w:rsidRPr="00756AF0">
        <w:rPr>
          <w:rFonts w:ascii="Times New Roman" w:hAnsi="Times New Roman"/>
          <w:sz w:val="28"/>
          <w:szCs w:val="28"/>
          <w:lang w:val="uk-UA"/>
        </w:rPr>
        <w:t xml:space="preserve"> </w:t>
      </w:r>
      <w:r w:rsidR="00756AF0">
        <w:rPr>
          <w:rFonts w:ascii="Times New Roman" w:hAnsi="Times New Roman"/>
          <w:sz w:val="28"/>
          <w:szCs w:val="28"/>
          <w:lang w:val="uk-UA"/>
        </w:rPr>
        <w:t xml:space="preserve">Згідно з проведеним дослідженням, на початку ми зафіксували зниження </w:t>
      </w:r>
      <w:r w:rsidR="007774D2">
        <w:rPr>
          <w:rFonts w:ascii="Times New Roman" w:hAnsi="Times New Roman"/>
          <w:sz w:val="28"/>
          <w:szCs w:val="28"/>
          <w:lang w:val="uk-UA"/>
        </w:rPr>
        <w:t>рівню імуноглобуліну у всіх групах, крім контрольної. Отримані у результаті дослі</w:t>
      </w:r>
      <w:r w:rsidR="00FB72F7">
        <w:rPr>
          <w:rFonts w:ascii="Times New Roman" w:hAnsi="Times New Roman"/>
          <w:sz w:val="28"/>
          <w:szCs w:val="28"/>
          <w:lang w:val="uk-UA"/>
        </w:rPr>
        <w:t>дження дані наведені у таблиці 5</w:t>
      </w:r>
      <w:r w:rsidR="00C23A80">
        <w:rPr>
          <w:rFonts w:ascii="Times New Roman" w:hAnsi="Times New Roman"/>
          <w:sz w:val="28"/>
          <w:szCs w:val="28"/>
          <w:lang w:val="uk-UA"/>
        </w:rPr>
        <w:t>.8</w:t>
      </w:r>
      <w:r w:rsidR="007774D2">
        <w:rPr>
          <w:rFonts w:ascii="Times New Roman" w:hAnsi="Times New Roman"/>
          <w:sz w:val="28"/>
          <w:szCs w:val="28"/>
          <w:lang w:val="uk-UA"/>
        </w:rPr>
        <w:t>.</w:t>
      </w:r>
    </w:p>
    <w:p w14:paraId="16616F89" w14:textId="13B9764E" w:rsidR="00C56137" w:rsidRPr="00C23A80" w:rsidRDefault="00C56137" w:rsidP="00C56137">
      <w:pPr>
        <w:spacing w:line="360" w:lineRule="auto"/>
        <w:ind w:firstLine="709"/>
        <w:jc w:val="right"/>
        <w:rPr>
          <w:rFonts w:ascii="Times New Roman" w:eastAsia="Calibri" w:hAnsi="Times New Roman" w:cs="Times New Roman"/>
          <w:sz w:val="28"/>
          <w:szCs w:val="28"/>
          <w:lang w:val="uk-UA"/>
        </w:rPr>
      </w:pPr>
      <w:r w:rsidRPr="00C23A80">
        <w:rPr>
          <w:rFonts w:ascii="Times New Roman" w:eastAsia="Calibri" w:hAnsi="Times New Roman" w:cs="Times New Roman"/>
          <w:sz w:val="28"/>
          <w:szCs w:val="28"/>
          <w:lang w:val="uk-UA"/>
        </w:rPr>
        <w:t>Табл</w:t>
      </w:r>
      <w:r w:rsidR="00FB72F7">
        <w:rPr>
          <w:rFonts w:ascii="Times New Roman" w:eastAsia="Calibri" w:hAnsi="Times New Roman" w:cs="Times New Roman"/>
          <w:sz w:val="28"/>
          <w:szCs w:val="28"/>
          <w:lang w:val="uk-UA"/>
        </w:rPr>
        <w:t>иця 5</w:t>
      </w:r>
      <w:r w:rsidR="00C23A80" w:rsidRPr="00C23A80">
        <w:rPr>
          <w:rFonts w:ascii="Times New Roman" w:eastAsia="Calibri" w:hAnsi="Times New Roman" w:cs="Times New Roman"/>
          <w:sz w:val="28"/>
          <w:szCs w:val="28"/>
          <w:lang w:val="uk-UA"/>
        </w:rPr>
        <w:t>.8</w:t>
      </w:r>
    </w:p>
    <w:p w14:paraId="3300A865" w14:textId="17323BA8" w:rsidR="00C56137" w:rsidRDefault="00C56137"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рівню імуноглобуліну </w:t>
      </w:r>
      <w:r>
        <w:rPr>
          <w:rFonts w:ascii="Times New Roman" w:eastAsia="Calibri" w:hAnsi="Times New Roman" w:cs="Times New Roman"/>
          <w:sz w:val="28"/>
          <w:szCs w:val="28"/>
        </w:rPr>
        <w:t>G</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C56137" w:rsidRPr="00C56137" w14:paraId="75479198" w14:textId="77777777" w:rsidTr="00C56137">
        <w:trPr>
          <w:trHeight w:val="471"/>
          <w:jc w:val="center"/>
        </w:trPr>
        <w:tc>
          <w:tcPr>
            <w:tcW w:w="1838" w:type="dxa"/>
            <w:vMerge w:val="restart"/>
            <w:shd w:val="clear" w:color="auto" w:fill="auto"/>
          </w:tcPr>
          <w:p w14:paraId="3B490B6D" w14:textId="77777777" w:rsidR="00C56137" w:rsidRPr="00525BE7" w:rsidRDefault="00C56137" w:rsidP="00C56137">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7C481B2D" w14:textId="3F1940BD" w:rsidR="00C56137" w:rsidRPr="00525BE7" w:rsidRDefault="00C56137" w:rsidP="00C56137">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Імуноглобулін </w:t>
            </w:r>
            <w:r>
              <w:rPr>
                <w:rFonts w:ascii="Times New Roman" w:hAnsi="Times New Roman"/>
                <w:color w:val="000000" w:themeColor="text1"/>
                <w:sz w:val="28"/>
                <w:szCs w:val="28"/>
              </w:rPr>
              <w:t>G</w:t>
            </w:r>
            <w:r w:rsidRPr="00525BE7">
              <w:rPr>
                <w:rFonts w:ascii="Times New Roman" w:hAnsi="Times New Roman"/>
                <w:color w:val="000000" w:themeColor="text1"/>
                <w:sz w:val="28"/>
                <w:szCs w:val="28"/>
                <w:lang w:val="uk-UA"/>
              </w:rPr>
              <w:t>, г/л</w:t>
            </w:r>
          </w:p>
        </w:tc>
      </w:tr>
      <w:tr w:rsidR="00C56137" w:rsidRPr="00525BE7" w14:paraId="700D33C5" w14:textId="77777777" w:rsidTr="00C56137">
        <w:trPr>
          <w:trHeight w:val="486"/>
          <w:jc w:val="center"/>
        </w:trPr>
        <w:tc>
          <w:tcPr>
            <w:tcW w:w="1838" w:type="dxa"/>
            <w:vMerge/>
            <w:shd w:val="clear" w:color="auto" w:fill="auto"/>
          </w:tcPr>
          <w:p w14:paraId="55A964FC" w14:textId="77777777" w:rsidR="00C56137" w:rsidRPr="00525BE7" w:rsidRDefault="00C56137" w:rsidP="00C56137">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5E93FF9F" w14:textId="77777777" w:rsidR="00C56137" w:rsidRPr="00525BE7" w:rsidRDefault="00C56137" w:rsidP="00C56137">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6EC25C10" w14:textId="77777777" w:rsidR="00C56137" w:rsidRPr="00525BE7" w:rsidRDefault="00C56137" w:rsidP="00C56137">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3152C1D5"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4EE2D122"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6E7DED80" w14:textId="77777777" w:rsidR="00C56137" w:rsidRPr="00525BE7" w:rsidRDefault="00C56137" w:rsidP="00C56137">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C56137" w:rsidRPr="00525BE7" w14:paraId="059F5A95" w14:textId="77777777" w:rsidTr="00C56137">
        <w:trPr>
          <w:trHeight w:val="429"/>
          <w:jc w:val="center"/>
        </w:trPr>
        <w:tc>
          <w:tcPr>
            <w:tcW w:w="1838" w:type="dxa"/>
            <w:shd w:val="clear" w:color="auto" w:fill="auto"/>
          </w:tcPr>
          <w:p w14:paraId="4587F88A"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0C56963C" w14:textId="46037516"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0.49</w:t>
            </w:r>
          </w:p>
        </w:tc>
        <w:tc>
          <w:tcPr>
            <w:tcW w:w="1417" w:type="dxa"/>
            <w:shd w:val="clear" w:color="auto" w:fill="auto"/>
          </w:tcPr>
          <w:p w14:paraId="70CE35F0" w14:textId="4DB5058B"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1.56</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0.49</w:t>
            </w:r>
          </w:p>
        </w:tc>
        <w:tc>
          <w:tcPr>
            <w:tcW w:w="1559" w:type="dxa"/>
            <w:shd w:val="clear" w:color="auto" w:fill="auto"/>
          </w:tcPr>
          <w:p w14:paraId="31F83698" w14:textId="3C6A162D"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0.66</w:t>
            </w:r>
          </w:p>
        </w:tc>
        <w:tc>
          <w:tcPr>
            <w:tcW w:w="1570" w:type="dxa"/>
            <w:shd w:val="clear" w:color="auto" w:fill="auto"/>
          </w:tcPr>
          <w:p w14:paraId="1A53292E" w14:textId="7F1E1B5F"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0.55</w:t>
            </w:r>
          </w:p>
        </w:tc>
        <w:tc>
          <w:tcPr>
            <w:tcW w:w="1483" w:type="dxa"/>
            <w:shd w:val="clear" w:color="auto" w:fill="auto"/>
          </w:tcPr>
          <w:p w14:paraId="035F99E3" w14:textId="3BE8E8E5"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3.02</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0.46</w:t>
            </w:r>
          </w:p>
        </w:tc>
      </w:tr>
      <w:tr w:rsidR="00C56137" w:rsidRPr="00525BE7" w14:paraId="55AB3612" w14:textId="77777777" w:rsidTr="00C56137">
        <w:trPr>
          <w:trHeight w:val="427"/>
          <w:jc w:val="center"/>
        </w:trPr>
        <w:tc>
          <w:tcPr>
            <w:tcW w:w="1838" w:type="dxa"/>
            <w:shd w:val="clear" w:color="auto" w:fill="auto"/>
          </w:tcPr>
          <w:p w14:paraId="4D62B3AF"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5E942B32" w14:textId="646A556E"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4.71</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0.81</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754A0935" w14:textId="39B370C7"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4.89</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0.85</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450339C" w14:textId="0237E48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0.58</w:t>
            </w:r>
          </w:p>
        </w:tc>
        <w:tc>
          <w:tcPr>
            <w:tcW w:w="1570" w:type="dxa"/>
            <w:shd w:val="clear" w:color="auto" w:fill="auto"/>
          </w:tcPr>
          <w:p w14:paraId="03D8BD2B" w14:textId="2B8A489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1.93</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0.42</w:t>
            </w:r>
          </w:p>
        </w:tc>
        <w:tc>
          <w:tcPr>
            <w:tcW w:w="1483" w:type="dxa"/>
            <w:shd w:val="clear" w:color="auto" w:fill="auto"/>
          </w:tcPr>
          <w:p w14:paraId="2CDDD7C4" w14:textId="121D3B8B"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2.97</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0.43</w:t>
            </w:r>
          </w:p>
        </w:tc>
      </w:tr>
      <w:tr w:rsidR="00C56137" w:rsidRPr="00525BE7" w14:paraId="2E35AFF5" w14:textId="77777777" w:rsidTr="00C56137">
        <w:trPr>
          <w:trHeight w:val="577"/>
          <w:jc w:val="center"/>
        </w:trPr>
        <w:tc>
          <w:tcPr>
            <w:tcW w:w="1838" w:type="dxa"/>
            <w:shd w:val="clear" w:color="auto" w:fill="auto"/>
          </w:tcPr>
          <w:p w14:paraId="24462F66" w14:textId="77777777" w:rsidR="00C56137" w:rsidRPr="00525BE7" w:rsidRDefault="00C56137" w:rsidP="00C56137">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3395343F" w14:textId="5E5C40D7" w:rsidR="00C56137" w:rsidRPr="00525BE7" w:rsidRDefault="00C56137" w:rsidP="00C56137">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0.69</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7E0226B4" w14:textId="33FA4282"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5.10</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0.68</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393D515" w14:textId="15CCD2FC"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1.99</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0.47</w:t>
            </w:r>
          </w:p>
        </w:tc>
        <w:tc>
          <w:tcPr>
            <w:tcW w:w="1570" w:type="dxa"/>
            <w:shd w:val="clear" w:color="auto" w:fill="auto"/>
          </w:tcPr>
          <w:p w14:paraId="49624CB0" w14:textId="54754638"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1.85</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0.44</w:t>
            </w:r>
          </w:p>
        </w:tc>
        <w:tc>
          <w:tcPr>
            <w:tcW w:w="1483" w:type="dxa"/>
            <w:shd w:val="clear" w:color="auto" w:fill="auto"/>
          </w:tcPr>
          <w:p w14:paraId="5B24CF68" w14:textId="46C953A4" w:rsidR="00C56137" w:rsidRPr="00525BE7" w:rsidRDefault="00C56137" w:rsidP="00C56137">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3.04</w:t>
            </w:r>
            <w:r>
              <w:rPr>
                <w:rFonts w:ascii="Times New Roman" w:hAnsi="Times New Roman" w:cs="Times New Roman"/>
                <w:color w:val="000000" w:themeColor="text1"/>
                <w:sz w:val="28"/>
                <w:szCs w:val="28"/>
                <w:lang w:val="uk-UA"/>
              </w:rPr>
              <w:t>±</w:t>
            </w:r>
            <w:r w:rsidRPr="00C56137">
              <w:rPr>
                <w:rFonts w:ascii="Times New Roman" w:hAnsi="Times New Roman"/>
                <w:color w:val="000000" w:themeColor="text1"/>
                <w:sz w:val="28"/>
                <w:szCs w:val="28"/>
                <w:lang w:val="uk-UA"/>
              </w:rPr>
              <w:t>0.45</w:t>
            </w:r>
          </w:p>
        </w:tc>
      </w:tr>
    </w:tbl>
    <w:p w14:paraId="5CAC286A" w14:textId="77777777" w:rsidR="00C56137" w:rsidRDefault="00C56137" w:rsidP="00C56137">
      <w:pPr>
        <w:spacing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42C9E253"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46303764" w14:textId="50C83F99"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22D64241" w14:textId="77777777" w:rsidR="00D55B8C" w:rsidRDefault="00D55B8C" w:rsidP="00FB72F7">
      <w:pPr>
        <w:spacing w:line="360" w:lineRule="auto"/>
        <w:ind w:firstLine="709"/>
        <w:jc w:val="both"/>
        <w:rPr>
          <w:rFonts w:ascii="Times New Roman" w:hAnsi="Times New Roman"/>
          <w:sz w:val="28"/>
          <w:szCs w:val="28"/>
          <w:lang w:val="uk-UA"/>
        </w:rPr>
      </w:pPr>
    </w:p>
    <w:p w14:paraId="512B9BD9" w14:textId="1C55A18C" w:rsidR="000728CB" w:rsidRPr="00B411CE" w:rsidRDefault="005C4DBD"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Аналіз даних підтверджує, що динаміка змін рівню імуноглобуліну </w:t>
      </w:r>
      <w:r>
        <w:rPr>
          <w:rFonts w:ascii="Times New Roman" w:hAnsi="Times New Roman"/>
          <w:sz w:val="28"/>
          <w:szCs w:val="28"/>
        </w:rPr>
        <w:t>G</w:t>
      </w:r>
      <w:r>
        <w:rPr>
          <w:rFonts w:ascii="Times New Roman" w:hAnsi="Times New Roman"/>
          <w:sz w:val="28"/>
          <w:szCs w:val="28"/>
          <w:lang w:val="uk-UA"/>
        </w:rPr>
        <w:t xml:space="preserve"> у різних групах відрізнялася із статистично значимою різницею. Так, у першій групі через шість місяців ми спостерігали разом з клінічним покращенням збільшення рівню імноглобуліну до </w:t>
      </w:r>
      <w:r>
        <w:rPr>
          <w:rFonts w:ascii="Times New Roman" w:hAnsi="Times New Roman"/>
          <w:color w:val="000000" w:themeColor="text1"/>
          <w:sz w:val="28"/>
          <w:szCs w:val="28"/>
          <w:lang w:val="uk-UA"/>
        </w:rPr>
        <w:t xml:space="preserve">4.71 </w:t>
      </w:r>
      <w:r>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0.81</w:t>
      </w:r>
      <w:r>
        <w:rPr>
          <w:rFonts w:ascii="Times New Roman" w:hAnsi="Times New Roman"/>
          <w:color w:val="000000" w:themeColor="text1"/>
          <w:sz w:val="28"/>
          <w:szCs w:val="28"/>
          <w:lang w:val="uk-UA"/>
        </w:rPr>
        <w:t xml:space="preserve"> г/л, через дванадцять місяців 5.04 </w:t>
      </w:r>
      <w:r>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0.69</w:t>
      </w:r>
      <w:r>
        <w:rPr>
          <w:rFonts w:ascii="Times New Roman" w:hAnsi="Times New Roman"/>
          <w:color w:val="000000" w:themeColor="text1"/>
          <w:sz w:val="28"/>
          <w:szCs w:val="28"/>
          <w:lang w:val="uk-UA"/>
        </w:rPr>
        <w:t xml:space="preserve"> г/л. У той же час у третій групі, де були обстежені діти з гінгівітом на тлі атопічних захворювань, але лікування не враховувало </w:t>
      </w:r>
      <w:r w:rsidR="0063390A">
        <w:rPr>
          <w:rFonts w:ascii="Times New Roman" w:hAnsi="Times New Roman"/>
          <w:color w:val="000000" w:themeColor="text1"/>
          <w:sz w:val="28"/>
          <w:szCs w:val="28"/>
          <w:lang w:val="uk-UA"/>
        </w:rPr>
        <w:t xml:space="preserve">патогенетичних особливостей гінгівіту, показники імуноглобуліну </w:t>
      </w:r>
      <w:r w:rsidR="0063390A">
        <w:rPr>
          <w:rFonts w:ascii="Times New Roman" w:hAnsi="Times New Roman"/>
          <w:color w:val="000000" w:themeColor="text1"/>
          <w:sz w:val="28"/>
          <w:szCs w:val="28"/>
        </w:rPr>
        <w:t>G</w:t>
      </w:r>
      <w:r w:rsidR="0063390A">
        <w:rPr>
          <w:rFonts w:ascii="Times New Roman" w:hAnsi="Times New Roman"/>
          <w:color w:val="000000" w:themeColor="text1"/>
          <w:sz w:val="28"/>
          <w:szCs w:val="28"/>
          <w:lang w:val="uk-UA"/>
        </w:rPr>
        <w:t xml:space="preserve"> достовірно не відрізнялися від початкових та дорівнювали 2.04 </w:t>
      </w:r>
      <w:r w:rsidR="0063390A">
        <w:rPr>
          <w:rFonts w:ascii="Times New Roman" w:hAnsi="Times New Roman" w:cs="Times New Roman"/>
          <w:color w:val="000000" w:themeColor="text1"/>
          <w:sz w:val="28"/>
          <w:szCs w:val="28"/>
          <w:lang w:val="uk-UA"/>
        </w:rPr>
        <w:t xml:space="preserve">± </w:t>
      </w:r>
      <w:r w:rsidR="0063390A" w:rsidRPr="00C56137">
        <w:rPr>
          <w:rFonts w:ascii="Times New Roman" w:hAnsi="Times New Roman"/>
          <w:color w:val="000000" w:themeColor="text1"/>
          <w:sz w:val="28"/>
          <w:szCs w:val="28"/>
          <w:lang w:val="uk-UA"/>
        </w:rPr>
        <w:t>0.58</w:t>
      </w:r>
      <w:r w:rsidR="0063390A">
        <w:rPr>
          <w:rFonts w:ascii="Times New Roman" w:hAnsi="Times New Roman"/>
          <w:color w:val="000000" w:themeColor="text1"/>
          <w:sz w:val="28"/>
          <w:szCs w:val="28"/>
          <w:lang w:val="uk-UA"/>
        </w:rPr>
        <w:t xml:space="preserve"> г/л та 1.99 </w:t>
      </w:r>
      <w:r w:rsidR="0063390A">
        <w:rPr>
          <w:rFonts w:ascii="Times New Roman" w:hAnsi="Times New Roman" w:cs="Times New Roman"/>
          <w:color w:val="000000" w:themeColor="text1"/>
          <w:sz w:val="28"/>
          <w:szCs w:val="28"/>
          <w:lang w:val="uk-UA"/>
        </w:rPr>
        <w:t xml:space="preserve">± </w:t>
      </w:r>
      <w:r w:rsidR="0063390A" w:rsidRPr="00C56137">
        <w:rPr>
          <w:rFonts w:ascii="Times New Roman" w:hAnsi="Times New Roman"/>
          <w:color w:val="000000" w:themeColor="text1"/>
          <w:sz w:val="28"/>
          <w:szCs w:val="28"/>
          <w:lang w:val="uk-UA"/>
        </w:rPr>
        <w:t>0.47</w:t>
      </w:r>
      <w:r w:rsidR="0063390A">
        <w:rPr>
          <w:rFonts w:ascii="Times New Roman" w:hAnsi="Times New Roman"/>
          <w:color w:val="000000" w:themeColor="text1"/>
          <w:sz w:val="28"/>
          <w:szCs w:val="28"/>
          <w:lang w:val="uk-UA"/>
        </w:rPr>
        <w:t xml:space="preserve"> г/л через шість та дванадцять місяців відповідно. Порівняльний аналіз рівнів імуноглобуліну </w:t>
      </w:r>
      <w:r w:rsidR="0063390A">
        <w:rPr>
          <w:rFonts w:ascii="Times New Roman" w:hAnsi="Times New Roman"/>
          <w:color w:val="000000" w:themeColor="text1"/>
          <w:sz w:val="28"/>
          <w:szCs w:val="28"/>
        </w:rPr>
        <w:t>G</w:t>
      </w:r>
      <w:r w:rsidR="0063390A" w:rsidRPr="00FD6B73">
        <w:rPr>
          <w:rFonts w:ascii="Times New Roman" w:hAnsi="Times New Roman"/>
          <w:color w:val="000000" w:themeColor="text1"/>
          <w:sz w:val="28"/>
          <w:szCs w:val="28"/>
          <w:lang w:val="uk-UA"/>
        </w:rPr>
        <w:t xml:space="preserve"> </w:t>
      </w:r>
      <w:r w:rsidR="00FB72F7">
        <w:rPr>
          <w:rFonts w:ascii="Times New Roman" w:hAnsi="Times New Roman"/>
          <w:color w:val="000000" w:themeColor="text1"/>
          <w:sz w:val="28"/>
          <w:szCs w:val="28"/>
          <w:lang w:val="uk-UA"/>
        </w:rPr>
        <w:t>наведено на діаграмі 5</w:t>
      </w:r>
      <w:r w:rsidR="0063390A">
        <w:rPr>
          <w:rFonts w:ascii="Times New Roman" w:hAnsi="Times New Roman"/>
          <w:color w:val="000000" w:themeColor="text1"/>
          <w:sz w:val="28"/>
          <w:szCs w:val="28"/>
          <w:lang w:val="uk-UA"/>
        </w:rPr>
        <w:t>.5.</w:t>
      </w:r>
    </w:p>
    <w:p w14:paraId="2D3CA7E0" w14:textId="77777777" w:rsidR="00936303" w:rsidRDefault="00936303" w:rsidP="0063390A">
      <w:pPr>
        <w:spacing w:line="360" w:lineRule="auto"/>
        <w:ind w:firstLine="709"/>
        <w:jc w:val="right"/>
        <w:rPr>
          <w:rFonts w:ascii="Times New Roman" w:hAnsi="Times New Roman"/>
          <w:color w:val="000000" w:themeColor="text1"/>
          <w:sz w:val="28"/>
          <w:szCs w:val="28"/>
          <w:lang w:val="uk-UA"/>
        </w:rPr>
      </w:pPr>
    </w:p>
    <w:p w14:paraId="41820763" w14:textId="77777777" w:rsidR="00936303" w:rsidRDefault="00936303" w:rsidP="00D55B8C">
      <w:pPr>
        <w:spacing w:line="360" w:lineRule="auto"/>
        <w:rPr>
          <w:rFonts w:ascii="Times New Roman" w:hAnsi="Times New Roman"/>
          <w:color w:val="000000" w:themeColor="text1"/>
          <w:sz w:val="28"/>
          <w:szCs w:val="28"/>
          <w:lang w:val="uk-UA"/>
        </w:rPr>
      </w:pPr>
    </w:p>
    <w:p w14:paraId="346248D1" w14:textId="77777777" w:rsidR="00936303" w:rsidRDefault="00936303" w:rsidP="0063390A">
      <w:pPr>
        <w:spacing w:line="360" w:lineRule="auto"/>
        <w:ind w:firstLine="709"/>
        <w:jc w:val="right"/>
        <w:rPr>
          <w:rFonts w:ascii="Times New Roman" w:hAnsi="Times New Roman"/>
          <w:color w:val="000000" w:themeColor="text1"/>
          <w:sz w:val="28"/>
          <w:szCs w:val="28"/>
          <w:lang w:val="uk-UA"/>
        </w:rPr>
      </w:pPr>
    </w:p>
    <w:p w14:paraId="73AA40CB" w14:textId="0B92FBCE" w:rsidR="0063390A" w:rsidRDefault="00FB72F7" w:rsidP="0063390A">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Діаграма 5</w:t>
      </w:r>
      <w:r w:rsidR="0063390A">
        <w:rPr>
          <w:rFonts w:ascii="Times New Roman" w:hAnsi="Times New Roman"/>
          <w:color w:val="000000" w:themeColor="text1"/>
          <w:sz w:val="28"/>
          <w:szCs w:val="28"/>
          <w:lang w:val="uk-UA"/>
        </w:rPr>
        <w:t>.5</w:t>
      </w:r>
    </w:p>
    <w:p w14:paraId="44D6FBB1" w14:textId="426081FF" w:rsidR="0063390A" w:rsidRDefault="0063390A" w:rsidP="000728CB">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Порівняльний аналіз динаміки рівнів імуноглобуліну </w:t>
      </w:r>
      <w:r>
        <w:rPr>
          <w:rFonts w:ascii="Times New Roman" w:hAnsi="Times New Roman"/>
          <w:color w:val="000000" w:themeColor="text1"/>
          <w:sz w:val="28"/>
          <w:szCs w:val="28"/>
        </w:rPr>
        <w:t>G</w:t>
      </w:r>
      <w:r>
        <w:rPr>
          <w:rFonts w:ascii="Times New Roman" w:hAnsi="Times New Roman"/>
          <w:color w:val="000000" w:themeColor="text1"/>
          <w:sz w:val="28"/>
          <w:szCs w:val="28"/>
          <w:lang w:val="uk-UA"/>
        </w:rPr>
        <w:t xml:space="preserve"> у різних групах пацієнтів</w:t>
      </w:r>
    </w:p>
    <w:p w14:paraId="13446843" w14:textId="310D88DE" w:rsidR="0063390A" w:rsidRDefault="0063390A"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noProof/>
          <w:sz w:val="28"/>
          <w:szCs w:val="28"/>
        </w:rPr>
        <w:drawing>
          <wp:inline distT="0" distB="0" distL="0" distR="0" wp14:anchorId="6F486F2F" wp14:editId="7E4B3566">
            <wp:extent cx="5486400" cy="32004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B67DB32" w14:textId="51B25AA0" w:rsidR="0063390A" w:rsidRDefault="0025169B"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Як показало дослідження, </w:t>
      </w:r>
      <w:r w:rsidR="00E269E5">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програма профілактики</w:t>
      </w:r>
      <w:r>
        <w:rPr>
          <w:rFonts w:ascii="Times New Roman" w:hAnsi="Times New Roman"/>
          <w:color w:val="000000" w:themeColor="text1"/>
          <w:sz w:val="28"/>
          <w:szCs w:val="28"/>
          <w:lang w:val="uk-UA"/>
        </w:rPr>
        <w:t xml:space="preserve"> захворювань пародонту у дітей з атопічними захворюваннями </w:t>
      </w:r>
      <w:r w:rsidR="00D464B5">
        <w:rPr>
          <w:rFonts w:ascii="Times New Roman" w:hAnsi="Times New Roman"/>
          <w:color w:val="000000" w:themeColor="text1"/>
          <w:sz w:val="28"/>
          <w:szCs w:val="28"/>
          <w:lang w:val="uk-UA"/>
        </w:rPr>
        <w:t xml:space="preserve">мала значну ефективність, яка проявлялася не тільки в усуненні симптомів гінгівіту, але й у збільшенні рівню імуноглобуліну </w:t>
      </w:r>
      <w:r w:rsidR="00D464B5">
        <w:rPr>
          <w:rFonts w:ascii="Times New Roman" w:hAnsi="Times New Roman"/>
          <w:color w:val="000000" w:themeColor="text1"/>
          <w:sz w:val="28"/>
          <w:szCs w:val="28"/>
        </w:rPr>
        <w:t>G</w:t>
      </w:r>
      <w:r w:rsidR="00D464B5" w:rsidRPr="00D464B5">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 xml:space="preserve">до рівня 4.89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0.85</w:t>
      </w:r>
      <w:r w:rsidR="00D464B5">
        <w:rPr>
          <w:rFonts w:ascii="Times New Roman" w:hAnsi="Times New Roman"/>
          <w:color w:val="000000" w:themeColor="text1"/>
          <w:sz w:val="28"/>
          <w:szCs w:val="28"/>
          <w:lang w:val="uk-UA"/>
        </w:rPr>
        <w:t xml:space="preserve"> г/л через шість місяців та 5.10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0.68</w:t>
      </w:r>
      <w:r w:rsidR="00D464B5">
        <w:rPr>
          <w:rFonts w:ascii="Times New Roman" w:hAnsi="Times New Roman"/>
          <w:color w:val="000000" w:themeColor="text1"/>
          <w:sz w:val="28"/>
          <w:szCs w:val="28"/>
          <w:lang w:val="uk-UA"/>
        </w:rPr>
        <w:t xml:space="preserve"> г/л через дванадцять місяців. У четвертій групі пацієнтів покращення згідно з рівнем імуноглобуліну </w:t>
      </w:r>
      <w:r w:rsidR="00D464B5">
        <w:rPr>
          <w:rFonts w:ascii="Times New Roman" w:hAnsi="Times New Roman"/>
          <w:color w:val="000000" w:themeColor="text1"/>
          <w:sz w:val="28"/>
          <w:szCs w:val="28"/>
        </w:rPr>
        <w:t>G</w:t>
      </w:r>
      <w:r w:rsidR="00D464B5" w:rsidRPr="00D464B5">
        <w:rPr>
          <w:rFonts w:ascii="Times New Roman" w:hAnsi="Times New Roman"/>
          <w:color w:val="000000" w:themeColor="text1"/>
          <w:sz w:val="28"/>
          <w:szCs w:val="28"/>
          <w:lang w:val="uk-UA"/>
        </w:rPr>
        <w:t xml:space="preserve"> </w:t>
      </w:r>
      <w:r w:rsidR="00D464B5">
        <w:rPr>
          <w:rFonts w:ascii="Times New Roman" w:hAnsi="Times New Roman"/>
          <w:color w:val="000000" w:themeColor="text1"/>
          <w:sz w:val="28"/>
          <w:szCs w:val="28"/>
          <w:lang w:val="uk-UA"/>
        </w:rPr>
        <w:t xml:space="preserve">не спостерігалося, його рівень дорівнював 1.93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0.42</w:t>
      </w:r>
      <w:r w:rsidR="00D464B5">
        <w:rPr>
          <w:rFonts w:ascii="Times New Roman" w:hAnsi="Times New Roman"/>
          <w:color w:val="000000" w:themeColor="text1"/>
          <w:sz w:val="28"/>
          <w:szCs w:val="28"/>
          <w:lang w:val="uk-UA"/>
        </w:rPr>
        <w:t xml:space="preserve"> г/л через шість місяців та 1.85 </w:t>
      </w:r>
      <w:r w:rsidR="00D464B5">
        <w:rPr>
          <w:rFonts w:ascii="Times New Roman" w:hAnsi="Times New Roman" w:cs="Times New Roman"/>
          <w:color w:val="000000" w:themeColor="text1"/>
          <w:sz w:val="28"/>
          <w:szCs w:val="28"/>
          <w:lang w:val="uk-UA"/>
        </w:rPr>
        <w:t xml:space="preserve">± </w:t>
      </w:r>
      <w:r w:rsidR="00D464B5" w:rsidRPr="00C56137">
        <w:rPr>
          <w:rFonts w:ascii="Times New Roman" w:hAnsi="Times New Roman"/>
          <w:color w:val="000000" w:themeColor="text1"/>
          <w:sz w:val="28"/>
          <w:szCs w:val="28"/>
          <w:lang w:val="uk-UA"/>
        </w:rPr>
        <w:t>0.44</w:t>
      </w:r>
      <w:r w:rsidR="00D464B5">
        <w:rPr>
          <w:rFonts w:ascii="Times New Roman" w:hAnsi="Times New Roman"/>
          <w:color w:val="000000" w:themeColor="text1"/>
          <w:sz w:val="28"/>
          <w:szCs w:val="28"/>
          <w:lang w:val="uk-UA"/>
        </w:rPr>
        <w:t xml:space="preserve"> г/л через дванадцять місяців. Оскільки за даними дослідників існує кореляція між рівнем </w:t>
      </w:r>
      <w:r w:rsidR="000D1888">
        <w:rPr>
          <w:rFonts w:ascii="Times New Roman" w:hAnsi="Times New Roman"/>
          <w:color w:val="000000" w:themeColor="text1"/>
          <w:sz w:val="28"/>
          <w:szCs w:val="28"/>
          <w:lang w:val="uk-UA"/>
        </w:rPr>
        <w:t>імуноглобулінів у сироватці крові та ротовій рідині, можна зробити висновок, що у першій та третій групах пацієнтів ступінь імунного захисту підвищився внаслідок проведених лікувально-діагностичних заходів. Ці дані співпадають з даними аналізу рівня імуноглобуліну А та секреторного імуноглобуліну А.</w:t>
      </w:r>
    </w:p>
    <w:p w14:paraId="6181CDC9" w14:textId="67E614D0" w:rsidR="00C65924" w:rsidRDefault="00C65924"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Таким чином, оскільки </w:t>
      </w:r>
      <w:r w:rsidRPr="00C65924">
        <w:rPr>
          <w:rFonts w:ascii="Times New Roman" w:hAnsi="Times New Roman"/>
          <w:color w:val="000000" w:themeColor="text1"/>
          <w:sz w:val="28"/>
          <w:szCs w:val="28"/>
          <w:lang w:val="uk-UA"/>
        </w:rPr>
        <w:t>IgG є основним імуноглобуліном здорової людини (становить 70-75% всієї фракції іму</w:t>
      </w:r>
      <w:r>
        <w:rPr>
          <w:rFonts w:ascii="Times New Roman" w:hAnsi="Times New Roman"/>
          <w:color w:val="000000" w:themeColor="text1"/>
          <w:sz w:val="28"/>
          <w:szCs w:val="28"/>
          <w:lang w:val="uk-UA"/>
        </w:rPr>
        <w:t>ноглобулінів), найбільш активним у вторинній</w:t>
      </w:r>
      <w:r w:rsidRPr="00C6592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імунній відповіді і антитоксичному</w:t>
      </w:r>
      <w:r w:rsidRPr="00C65924">
        <w:rPr>
          <w:rFonts w:ascii="Times New Roman" w:hAnsi="Times New Roman"/>
          <w:color w:val="000000" w:themeColor="text1"/>
          <w:sz w:val="28"/>
          <w:szCs w:val="28"/>
          <w:lang w:val="uk-UA"/>
        </w:rPr>
        <w:t xml:space="preserve"> імунітет</w:t>
      </w:r>
      <w:r>
        <w:rPr>
          <w:rFonts w:ascii="Times New Roman" w:hAnsi="Times New Roman"/>
          <w:color w:val="000000" w:themeColor="text1"/>
          <w:sz w:val="28"/>
          <w:szCs w:val="28"/>
          <w:lang w:val="uk-UA"/>
        </w:rPr>
        <w:t xml:space="preserve">і, підвищення його рівня у групах, де була застосована </w:t>
      </w:r>
      <w:r w:rsidR="00E269E5">
        <w:rPr>
          <w:rFonts w:ascii="Times New Roman" w:hAnsi="Times New Roman"/>
          <w:color w:val="000000" w:themeColor="text1"/>
          <w:sz w:val="28"/>
          <w:szCs w:val="28"/>
          <w:lang w:val="uk-UA"/>
        </w:rPr>
        <w:t>концептуально нова</w:t>
      </w:r>
      <w:r>
        <w:rPr>
          <w:rFonts w:ascii="Times New Roman" w:hAnsi="Times New Roman"/>
          <w:color w:val="000000" w:themeColor="text1"/>
          <w:sz w:val="28"/>
          <w:szCs w:val="28"/>
          <w:lang w:val="uk-UA"/>
        </w:rPr>
        <w:t xml:space="preserve"> програма лікування та профілактики хронічного гінгівіту</w:t>
      </w:r>
      <w:r w:rsidR="001B69E4">
        <w:rPr>
          <w:rFonts w:ascii="Times New Roman" w:hAnsi="Times New Roman"/>
          <w:color w:val="000000" w:themeColor="text1"/>
          <w:sz w:val="28"/>
          <w:szCs w:val="28"/>
          <w:lang w:val="uk-UA"/>
        </w:rPr>
        <w:t xml:space="preserve"> говорить про правильність обраної тактики лікування</w:t>
      </w:r>
      <w:r w:rsidRPr="00C65924">
        <w:rPr>
          <w:rFonts w:ascii="Times New Roman" w:hAnsi="Times New Roman"/>
          <w:color w:val="000000" w:themeColor="text1"/>
          <w:sz w:val="28"/>
          <w:szCs w:val="28"/>
          <w:lang w:val="uk-UA"/>
        </w:rPr>
        <w:t>.</w:t>
      </w:r>
      <w:r w:rsidR="001B69E4">
        <w:rPr>
          <w:rFonts w:ascii="Times New Roman" w:hAnsi="Times New Roman"/>
          <w:color w:val="000000" w:themeColor="text1"/>
          <w:sz w:val="28"/>
          <w:szCs w:val="28"/>
          <w:lang w:val="uk-UA"/>
        </w:rPr>
        <w:t xml:space="preserve"> Відмічені нами зміни у рівнях імуноглобулінів, які співпадають зі змінами, встановленими під час клінічного дослідження, дозволяють зробити висновок про можливість використання даного імуноглобуліну з діагностичною метою, а також як біомаркер успішності лікування.</w:t>
      </w:r>
    </w:p>
    <w:p w14:paraId="70F820A7" w14:textId="7EE9F7C4" w:rsidR="000D1888" w:rsidRDefault="00C65924"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Ще одним досліджуваним показником, який характеризує стан імунної системи пацієнтів на тлі атопічних захворювань, є рівень імуноглобуліну М.</w:t>
      </w:r>
      <w:r w:rsidR="00FC17AB" w:rsidRPr="00FC17AB">
        <w:rPr>
          <w:rFonts w:ascii="Times New Roman" w:hAnsi="Times New Roman"/>
          <w:color w:val="000000" w:themeColor="text1"/>
          <w:sz w:val="28"/>
          <w:szCs w:val="28"/>
          <w:lang w:val="uk-UA"/>
        </w:rPr>
        <w:t xml:space="preserve"> </w:t>
      </w:r>
      <w:r w:rsidR="00FC17AB">
        <w:rPr>
          <w:rFonts w:ascii="Times New Roman" w:hAnsi="Times New Roman"/>
          <w:color w:val="000000" w:themeColor="text1"/>
          <w:sz w:val="28"/>
          <w:szCs w:val="28"/>
          <w:lang w:val="uk-UA"/>
        </w:rPr>
        <w:t>Як відомо, даний вид імуноглобуліну є першою імунною відповіддю на дію антигену. Саме тому його використання у нашому дослідженні є надзвичайно важливим. Як видно з таблиці 5.4, до проведення дослідження рівень імуноглобуліну М вже був знижений у всіх групах, крім контрольної, незалежно від наявності чи вираженості клінічних проявів гінгівіту.</w:t>
      </w:r>
    </w:p>
    <w:p w14:paraId="51853909" w14:textId="536B27E9" w:rsidR="00FC17AB" w:rsidRPr="00FC17AB" w:rsidRDefault="00FB72F7" w:rsidP="00FC17AB">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Таблиця 5</w:t>
      </w:r>
      <w:r w:rsidR="008A2500">
        <w:rPr>
          <w:rFonts w:ascii="Times New Roman" w:hAnsi="Times New Roman"/>
          <w:color w:val="000000" w:themeColor="text1"/>
          <w:sz w:val="28"/>
          <w:szCs w:val="28"/>
          <w:lang w:val="uk-UA"/>
        </w:rPr>
        <w:t>.9</w:t>
      </w:r>
    </w:p>
    <w:p w14:paraId="136CAB6E" w14:textId="1069F52E" w:rsidR="00FC17AB" w:rsidRDefault="00FC17AB"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Динаміка рівню імуноглобуліну </w:t>
      </w:r>
      <w:r w:rsidRPr="00FC17AB">
        <w:rPr>
          <w:rFonts w:ascii="Times New Roman" w:eastAsia="Calibri" w:hAnsi="Times New Roman" w:cs="Times New Roman"/>
          <w:sz w:val="28"/>
          <w:szCs w:val="28"/>
          <w:lang w:val="uk-UA"/>
        </w:rPr>
        <w:t>М</w:t>
      </w:r>
      <w:r>
        <w:rPr>
          <w:rFonts w:ascii="Times New Roman" w:eastAsia="Calibri" w:hAnsi="Times New Roman" w:cs="Times New Roman"/>
          <w:sz w:val="28"/>
          <w:szCs w:val="28"/>
          <w:lang w:val="uk-UA"/>
        </w:rPr>
        <w:t xml:space="preserve">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FC17AB" w:rsidRPr="00C56137" w14:paraId="1B028A9B" w14:textId="77777777" w:rsidTr="00FD6B73">
        <w:trPr>
          <w:trHeight w:val="471"/>
          <w:jc w:val="center"/>
        </w:trPr>
        <w:tc>
          <w:tcPr>
            <w:tcW w:w="1838" w:type="dxa"/>
            <w:vMerge w:val="restart"/>
            <w:shd w:val="clear" w:color="auto" w:fill="auto"/>
          </w:tcPr>
          <w:p w14:paraId="4AF961C5" w14:textId="77777777" w:rsidR="00FC17AB" w:rsidRPr="00525BE7" w:rsidRDefault="00FC17AB" w:rsidP="00FD6B73">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7447" w:type="dxa"/>
            <w:gridSpan w:val="5"/>
            <w:shd w:val="clear" w:color="auto" w:fill="auto"/>
          </w:tcPr>
          <w:p w14:paraId="5C288EFE" w14:textId="424D52AE" w:rsidR="00FC17AB" w:rsidRPr="00525BE7" w:rsidRDefault="00FC17AB" w:rsidP="00FD6B73">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Імуноглобулін </w:t>
            </w:r>
            <w:r>
              <w:rPr>
                <w:rFonts w:ascii="Times New Roman" w:hAnsi="Times New Roman"/>
                <w:color w:val="000000" w:themeColor="text1"/>
                <w:sz w:val="28"/>
                <w:szCs w:val="28"/>
              </w:rPr>
              <w:t>М</w:t>
            </w:r>
            <w:r w:rsidRPr="00525BE7">
              <w:rPr>
                <w:rFonts w:ascii="Times New Roman" w:hAnsi="Times New Roman"/>
                <w:color w:val="000000" w:themeColor="text1"/>
                <w:sz w:val="28"/>
                <w:szCs w:val="28"/>
                <w:lang w:val="uk-UA"/>
              </w:rPr>
              <w:t>, г/л</w:t>
            </w:r>
          </w:p>
        </w:tc>
      </w:tr>
      <w:tr w:rsidR="00FC17AB" w:rsidRPr="00525BE7" w14:paraId="16C03406" w14:textId="77777777" w:rsidTr="00FD6B73">
        <w:trPr>
          <w:trHeight w:val="486"/>
          <w:jc w:val="center"/>
        </w:trPr>
        <w:tc>
          <w:tcPr>
            <w:tcW w:w="1838" w:type="dxa"/>
            <w:vMerge/>
            <w:shd w:val="clear" w:color="auto" w:fill="auto"/>
          </w:tcPr>
          <w:p w14:paraId="4B8C181A" w14:textId="77777777" w:rsidR="00FC17AB" w:rsidRPr="00525BE7" w:rsidRDefault="00FC17AB" w:rsidP="00FD6B73">
            <w:pPr>
              <w:spacing w:after="0" w:line="360" w:lineRule="auto"/>
              <w:ind w:hanging="5"/>
              <w:jc w:val="center"/>
              <w:rPr>
                <w:rFonts w:ascii="Times New Roman" w:hAnsi="Times New Roman"/>
                <w:color w:val="000000" w:themeColor="text1"/>
                <w:sz w:val="28"/>
                <w:szCs w:val="28"/>
                <w:lang w:val="uk-UA"/>
              </w:rPr>
            </w:pPr>
          </w:p>
        </w:tc>
        <w:tc>
          <w:tcPr>
            <w:tcW w:w="1418" w:type="dxa"/>
            <w:shd w:val="clear" w:color="auto" w:fill="auto"/>
          </w:tcPr>
          <w:p w14:paraId="58857556" w14:textId="77777777" w:rsidR="00FC17AB" w:rsidRPr="00525BE7" w:rsidRDefault="00FC17AB"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525BE7">
              <w:rPr>
                <w:rFonts w:ascii="Times New Roman" w:hAnsi="Times New Roman"/>
                <w:color w:val="000000" w:themeColor="text1"/>
                <w:sz w:val="28"/>
                <w:szCs w:val="28"/>
                <w:lang w:val="ru-RU"/>
              </w:rPr>
              <w:t>76</w:t>
            </w:r>
            <w:r w:rsidRPr="00525BE7">
              <w:rPr>
                <w:rFonts w:ascii="Times New Roman" w:hAnsi="Times New Roman"/>
                <w:color w:val="000000" w:themeColor="text1"/>
                <w:sz w:val="28"/>
                <w:szCs w:val="28"/>
                <w:lang w:val="uk-UA"/>
              </w:rPr>
              <w:t>)</w:t>
            </w:r>
          </w:p>
        </w:tc>
        <w:tc>
          <w:tcPr>
            <w:tcW w:w="1417" w:type="dxa"/>
            <w:shd w:val="clear" w:color="auto" w:fill="auto"/>
          </w:tcPr>
          <w:p w14:paraId="12F3408F" w14:textId="77777777" w:rsidR="00FC17AB" w:rsidRPr="00525BE7" w:rsidRDefault="00FC17AB"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19005909"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570" w:type="dxa"/>
            <w:shd w:val="clear" w:color="auto" w:fill="auto"/>
          </w:tcPr>
          <w:p w14:paraId="3D6472C1"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483" w:type="dxa"/>
            <w:shd w:val="clear" w:color="auto" w:fill="auto"/>
          </w:tcPr>
          <w:p w14:paraId="519330B3" w14:textId="77777777" w:rsidR="00FC17AB" w:rsidRPr="00525BE7" w:rsidRDefault="00FC17AB"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FC17AB" w:rsidRPr="00525BE7" w14:paraId="482DE21A" w14:textId="77777777" w:rsidTr="00FD6B73">
        <w:trPr>
          <w:trHeight w:val="429"/>
          <w:jc w:val="center"/>
        </w:trPr>
        <w:tc>
          <w:tcPr>
            <w:tcW w:w="1838" w:type="dxa"/>
            <w:shd w:val="clear" w:color="auto" w:fill="auto"/>
          </w:tcPr>
          <w:p w14:paraId="66987A5B"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418" w:type="dxa"/>
            <w:shd w:val="clear" w:color="auto" w:fill="auto"/>
          </w:tcPr>
          <w:p w14:paraId="029AED66" w14:textId="5D793640"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2.64</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0.95</w:t>
            </w:r>
          </w:p>
        </w:tc>
        <w:tc>
          <w:tcPr>
            <w:tcW w:w="1417" w:type="dxa"/>
            <w:shd w:val="clear" w:color="auto" w:fill="auto"/>
          </w:tcPr>
          <w:p w14:paraId="0C920A98" w14:textId="2FBEC646"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2.05</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0.52</w:t>
            </w:r>
          </w:p>
        </w:tc>
        <w:tc>
          <w:tcPr>
            <w:tcW w:w="1559" w:type="dxa"/>
            <w:shd w:val="clear" w:color="auto" w:fill="auto"/>
          </w:tcPr>
          <w:p w14:paraId="59AD26F6" w14:textId="0EBD8EB7"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2.20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0.46</w:t>
            </w:r>
          </w:p>
        </w:tc>
        <w:tc>
          <w:tcPr>
            <w:tcW w:w="1570" w:type="dxa"/>
            <w:shd w:val="clear" w:color="auto" w:fill="auto"/>
          </w:tcPr>
          <w:p w14:paraId="62BC8F9C" w14:textId="32618B03"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2.15</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0.55</w:t>
            </w:r>
          </w:p>
        </w:tc>
        <w:tc>
          <w:tcPr>
            <w:tcW w:w="1483" w:type="dxa"/>
            <w:shd w:val="clear" w:color="auto" w:fill="auto"/>
          </w:tcPr>
          <w:p w14:paraId="76DE45EF" w14:textId="5F9BFC65"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4.96</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0.91</w:t>
            </w:r>
          </w:p>
        </w:tc>
      </w:tr>
      <w:tr w:rsidR="00FC17AB" w:rsidRPr="00525BE7" w14:paraId="5C066DC6" w14:textId="77777777" w:rsidTr="00FD6B73">
        <w:trPr>
          <w:trHeight w:val="427"/>
          <w:jc w:val="center"/>
        </w:trPr>
        <w:tc>
          <w:tcPr>
            <w:tcW w:w="1838" w:type="dxa"/>
            <w:shd w:val="clear" w:color="auto" w:fill="auto"/>
          </w:tcPr>
          <w:p w14:paraId="2347D816"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418" w:type="dxa"/>
            <w:shd w:val="clear" w:color="auto" w:fill="auto"/>
          </w:tcPr>
          <w:p w14:paraId="16399943" w14:textId="352B7C43"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5.08</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0.70</w:t>
            </w:r>
            <w:r w:rsidR="00FC17AB"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3AB96DF1" w14:textId="75F266F2"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5.17</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0.71</w:t>
            </w:r>
            <w:r w:rsidR="00FC17AB"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76BB7EC7" w14:textId="62573D34"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0.66</w:t>
            </w:r>
          </w:p>
        </w:tc>
        <w:tc>
          <w:tcPr>
            <w:tcW w:w="1570" w:type="dxa"/>
            <w:shd w:val="clear" w:color="auto" w:fill="auto"/>
          </w:tcPr>
          <w:p w14:paraId="11FB9C65" w14:textId="2FB5F8CE"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2.10</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0.64</w:t>
            </w:r>
          </w:p>
        </w:tc>
        <w:tc>
          <w:tcPr>
            <w:tcW w:w="1483" w:type="dxa"/>
            <w:shd w:val="clear" w:color="auto" w:fill="auto"/>
          </w:tcPr>
          <w:p w14:paraId="7CAB8B28" w14:textId="5F1822F3"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5.16</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1.57</w:t>
            </w:r>
          </w:p>
        </w:tc>
      </w:tr>
      <w:tr w:rsidR="00FC17AB" w:rsidRPr="00525BE7" w14:paraId="70A5D040" w14:textId="77777777" w:rsidTr="00FD6B73">
        <w:trPr>
          <w:trHeight w:val="577"/>
          <w:jc w:val="center"/>
        </w:trPr>
        <w:tc>
          <w:tcPr>
            <w:tcW w:w="1838" w:type="dxa"/>
            <w:shd w:val="clear" w:color="auto" w:fill="auto"/>
          </w:tcPr>
          <w:p w14:paraId="7DAE22A9" w14:textId="77777777" w:rsidR="00FC17AB" w:rsidRPr="00525BE7" w:rsidRDefault="00FC17AB"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418" w:type="dxa"/>
            <w:shd w:val="clear" w:color="auto" w:fill="auto"/>
          </w:tcPr>
          <w:p w14:paraId="1C74B684" w14:textId="604AD67A" w:rsidR="00FC17AB" w:rsidRPr="00525BE7" w:rsidRDefault="007B35D6" w:rsidP="00FC17A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4.90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0.52</w:t>
            </w:r>
            <w:r w:rsidR="00FC17AB"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417" w:type="dxa"/>
            <w:shd w:val="clear" w:color="auto" w:fill="auto"/>
          </w:tcPr>
          <w:p w14:paraId="448AA904" w14:textId="6F6456AF"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4.70</w:t>
            </w:r>
            <w:r>
              <w:rPr>
                <w:rFonts w:ascii="Times New Roman" w:hAnsi="Times New Roman" w:cs="Times New Roman"/>
                <w:color w:val="000000" w:themeColor="text1"/>
                <w:sz w:val="28"/>
                <w:szCs w:val="28"/>
                <w:lang w:val="uk-UA"/>
              </w:rPr>
              <w:t>±</w:t>
            </w:r>
            <w:r w:rsidR="00FC17AB" w:rsidRPr="00FC17AB">
              <w:rPr>
                <w:rFonts w:ascii="Times New Roman" w:hAnsi="Times New Roman"/>
                <w:color w:val="000000" w:themeColor="text1"/>
                <w:sz w:val="28"/>
                <w:szCs w:val="28"/>
                <w:lang w:val="uk-UA"/>
              </w:rPr>
              <w:t>0.55</w:t>
            </w:r>
            <w:r w:rsidR="00FC17AB"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1682C7BC" w14:textId="24BBE2C5"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1.90</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0.35</w:t>
            </w:r>
          </w:p>
        </w:tc>
        <w:tc>
          <w:tcPr>
            <w:tcW w:w="1570" w:type="dxa"/>
            <w:shd w:val="clear" w:color="auto" w:fill="auto"/>
          </w:tcPr>
          <w:p w14:paraId="32354380" w14:textId="4DA0CAE6"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1.94</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0.33</w:t>
            </w:r>
          </w:p>
        </w:tc>
        <w:tc>
          <w:tcPr>
            <w:tcW w:w="1483" w:type="dxa"/>
            <w:shd w:val="clear" w:color="auto" w:fill="auto"/>
          </w:tcPr>
          <w:p w14:paraId="406B54ED" w14:textId="27381E42" w:rsidR="00FC17AB" w:rsidRPr="00525BE7" w:rsidRDefault="007B35D6" w:rsidP="007B35D6">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4.89</w:t>
            </w:r>
            <w:r>
              <w:rPr>
                <w:rFonts w:ascii="Times New Roman" w:hAnsi="Times New Roman" w:cs="Times New Roman"/>
                <w:color w:val="000000" w:themeColor="text1"/>
                <w:sz w:val="28"/>
                <w:szCs w:val="28"/>
                <w:lang w:val="uk-UA"/>
              </w:rPr>
              <w:t>±</w:t>
            </w:r>
            <w:r w:rsidRPr="007B35D6">
              <w:rPr>
                <w:rFonts w:ascii="Times New Roman" w:hAnsi="Times New Roman"/>
                <w:color w:val="000000" w:themeColor="text1"/>
                <w:sz w:val="28"/>
                <w:szCs w:val="28"/>
                <w:lang w:val="uk-UA"/>
              </w:rPr>
              <w:t>1.13</w:t>
            </w:r>
          </w:p>
        </w:tc>
      </w:tr>
    </w:tbl>
    <w:p w14:paraId="2ED66ED1" w14:textId="24332462" w:rsidR="0063390A" w:rsidRDefault="00FC17AB" w:rsidP="00936303">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6F80282B"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 xml:space="preserve">1 </w:t>
      </w:r>
      <w:r w:rsidRPr="00F42F7A">
        <w:rPr>
          <w:rFonts w:ascii="Times New Roman" w:hAnsi="Times New Roman"/>
          <w:sz w:val="28"/>
          <w:szCs w:val="28"/>
          <w:lang w:val="uk-UA"/>
        </w:rPr>
        <w:t>- статистично значима різниця у порівнянні з третьою групою пацієнтів, р˂0,05</w:t>
      </w:r>
    </w:p>
    <w:p w14:paraId="2291E78B" w14:textId="77777777"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39904A53" w14:textId="77777777" w:rsidR="00936303" w:rsidRPr="0063390A" w:rsidRDefault="00936303" w:rsidP="007B35D6">
      <w:pPr>
        <w:spacing w:line="360" w:lineRule="auto"/>
        <w:jc w:val="both"/>
        <w:rPr>
          <w:rFonts w:ascii="Times New Roman" w:hAnsi="Times New Roman"/>
          <w:sz w:val="28"/>
          <w:szCs w:val="28"/>
          <w:lang w:val="uk-UA"/>
        </w:rPr>
      </w:pPr>
    </w:p>
    <w:p w14:paraId="5402CF74" w14:textId="357AD522" w:rsidR="007774D2" w:rsidRDefault="007B35D6"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Згідно з отриманими даними, рівень імуноглобуліну М на початку дослідження у першій групі дорівнював </w:t>
      </w:r>
      <w:r>
        <w:rPr>
          <w:rFonts w:ascii="Times New Roman" w:hAnsi="Times New Roman"/>
          <w:color w:val="000000" w:themeColor="text1"/>
          <w:sz w:val="28"/>
          <w:szCs w:val="28"/>
          <w:lang w:val="uk-UA"/>
        </w:rPr>
        <w:t xml:space="preserve">2.64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0.95</w:t>
      </w:r>
      <w:r>
        <w:rPr>
          <w:rFonts w:ascii="Times New Roman" w:hAnsi="Times New Roman"/>
          <w:color w:val="000000" w:themeColor="text1"/>
          <w:sz w:val="28"/>
          <w:szCs w:val="28"/>
          <w:lang w:val="uk-UA"/>
        </w:rPr>
        <w:t xml:space="preserve"> г/л, у другій групі 2.05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у третій 2.20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0.46</w:t>
      </w:r>
      <w:r>
        <w:rPr>
          <w:rFonts w:ascii="Times New Roman" w:hAnsi="Times New Roman"/>
          <w:color w:val="000000" w:themeColor="text1"/>
          <w:sz w:val="28"/>
          <w:szCs w:val="28"/>
          <w:lang w:val="uk-UA"/>
        </w:rPr>
        <w:t xml:space="preserve"> г/л, у четвертій групі 2.15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Наведені дані свідчать про відсутність статистично значимої різниці між даними групами, що висвітлює проблему скомпрометованості імунної системи у дітей з атопічними захворюваннями, яка може проявлятися вираженим хронічним гінгівітом, а може й протікати латентно як стадія передхвороби хронічного гінгівіту. У </w:t>
      </w:r>
      <w:r w:rsidR="00B81ED5">
        <w:rPr>
          <w:rFonts w:ascii="Times New Roman" w:hAnsi="Times New Roman"/>
          <w:color w:val="000000" w:themeColor="text1"/>
          <w:sz w:val="28"/>
          <w:szCs w:val="28"/>
          <w:lang w:val="uk-UA"/>
        </w:rPr>
        <w:t>зв’язку</w:t>
      </w:r>
      <w:r>
        <w:rPr>
          <w:rFonts w:ascii="Times New Roman" w:hAnsi="Times New Roman"/>
          <w:color w:val="000000" w:themeColor="text1"/>
          <w:sz w:val="28"/>
          <w:szCs w:val="28"/>
          <w:lang w:val="uk-UA"/>
        </w:rPr>
        <w:t xml:space="preserve"> з цим очевидним є те, що інформативними для ранньої діагностики гінгівіту, його профілактики</w:t>
      </w:r>
      <w:r w:rsidR="00B81ED5">
        <w:rPr>
          <w:rFonts w:ascii="Times New Roman" w:hAnsi="Times New Roman"/>
          <w:color w:val="000000" w:themeColor="text1"/>
          <w:sz w:val="28"/>
          <w:szCs w:val="28"/>
          <w:lang w:val="uk-UA"/>
        </w:rPr>
        <w:t>, є визначення рівнів імуноглобулінів, у тому числі імуноглобуліну М.</w:t>
      </w:r>
    </w:p>
    <w:p w14:paraId="4403E80C" w14:textId="36345A39" w:rsidR="00B411CE" w:rsidRDefault="00B81ED5"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Динаміка змін рівню імуноглобуліну М у першій групі пацієнтів з атопічними захворюваннями та хронічним гінгівітом свідчить про покращення імунного статусу пацієнтів. Так, через шість місяців було зафіксоване збільшення рівня імуноглобуліну М до 5.08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0.70</w:t>
      </w:r>
      <w:r>
        <w:rPr>
          <w:rFonts w:ascii="Times New Roman" w:hAnsi="Times New Roman"/>
          <w:color w:val="000000" w:themeColor="text1"/>
          <w:sz w:val="28"/>
          <w:szCs w:val="28"/>
          <w:lang w:val="uk-UA"/>
        </w:rPr>
        <w:t xml:space="preserve"> г/л, через дванадцять місяців до 4.90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що становить достовірну різницю з початковими показниками. У той час у третій групі пацієнтів з аналогічними клінічними та лабораторними даними, але зі стандартним лікуванням, позитивної динаміки ми не спостерігали, порівняльн</w:t>
      </w:r>
      <w:r w:rsidR="00FB72F7">
        <w:rPr>
          <w:rFonts w:ascii="Times New Roman" w:hAnsi="Times New Roman"/>
          <w:color w:val="000000" w:themeColor="text1"/>
          <w:sz w:val="28"/>
          <w:szCs w:val="28"/>
          <w:lang w:val="uk-UA"/>
        </w:rPr>
        <w:t>ий аналіз наведено на діаграмі 5</w:t>
      </w:r>
      <w:r>
        <w:rPr>
          <w:rFonts w:ascii="Times New Roman" w:hAnsi="Times New Roman"/>
          <w:color w:val="000000" w:themeColor="text1"/>
          <w:sz w:val="28"/>
          <w:szCs w:val="28"/>
          <w:lang w:val="uk-UA"/>
        </w:rPr>
        <w:t>.6.</w:t>
      </w:r>
    </w:p>
    <w:p w14:paraId="5088501E" w14:textId="2C7DEE2E" w:rsidR="00936303" w:rsidRDefault="00936303" w:rsidP="00FB72F7">
      <w:pPr>
        <w:spacing w:line="360" w:lineRule="auto"/>
        <w:ind w:firstLine="709"/>
        <w:jc w:val="both"/>
        <w:rPr>
          <w:rFonts w:ascii="Times New Roman" w:hAnsi="Times New Roman"/>
          <w:color w:val="000000" w:themeColor="text1"/>
          <w:sz w:val="28"/>
          <w:szCs w:val="28"/>
          <w:lang w:val="uk-UA"/>
        </w:rPr>
      </w:pPr>
      <w:r w:rsidRPr="00BC696F">
        <w:rPr>
          <w:rFonts w:ascii="Times New Roman" w:hAnsi="Times New Roman"/>
          <w:color w:val="000000" w:themeColor="text1"/>
          <w:sz w:val="28"/>
          <w:szCs w:val="28"/>
          <w:lang w:val="uk-UA"/>
        </w:rPr>
        <w:t>Відповідно до за</w:t>
      </w:r>
      <w:r>
        <w:rPr>
          <w:rFonts w:ascii="Times New Roman" w:hAnsi="Times New Roman"/>
          <w:color w:val="000000" w:themeColor="text1"/>
          <w:sz w:val="28"/>
          <w:szCs w:val="28"/>
          <w:lang w:val="uk-UA"/>
        </w:rPr>
        <w:t xml:space="preserve">значених показників, збільшення рівню імуноглобуліну М, а отже позитивний результат від імунокорекції, ми спостерігали у дітей другої дослідної групи. Хоча клінічних ознак гінгівіту ми не спостерігали на початку лікування, згідно зі зниженням рівнів імуноглобулінів, очевидним було порушення імунного балансу в організмі даної групи дітей. Проте через шість та дванадцять місяців після проведеного лікування з урахуванням фенотипічних особливостей дітей з атопічними захворюваннями, ми зафіксували підвищення рівня імуноглобуліну М до 5.17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0.71</w:t>
      </w:r>
      <w:r>
        <w:rPr>
          <w:rFonts w:ascii="Times New Roman" w:hAnsi="Times New Roman"/>
          <w:color w:val="000000" w:themeColor="text1"/>
          <w:sz w:val="28"/>
          <w:szCs w:val="28"/>
          <w:lang w:val="uk-UA"/>
        </w:rPr>
        <w:t xml:space="preserve"> г/л та 4.70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відповідно.</w:t>
      </w:r>
    </w:p>
    <w:p w14:paraId="76271E4B" w14:textId="77777777" w:rsidR="00936303" w:rsidRDefault="00936303" w:rsidP="00FB72F7">
      <w:pPr>
        <w:spacing w:line="360" w:lineRule="auto"/>
        <w:ind w:firstLine="709"/>
        <w:jc w:val="both"/>
        <w:rPr>
          <w:rFonts w:ascii="Times New Roman" w:hAnsi="Times New Roman"/>
          <w:color w:val="000000" w:themeColor="text1"/>
          <w:sz w:val="28"/>
          <w:szCs w:val="28"/>
          <w:lang w:val="uk-UA"/>
        </w:rPr>
      </w:pPr>
    </w:p>
    <w:p w14:paraId="55C21D4E" w14:textId="77777777" w:rsidR="00936303" w:rsidRPr="00936303" w:rsidRDefault="00936303" w:rsidP="00FB72F7">
      <w:pPr>
        <w:spacing w:line="360" w:lineRule="auto"/>
        <w:ind w:firstLine="709"/>
        <w:jc w:val="both"/>
        <w:rPr>
          <w:rFonts w:ascii="Times New Roman" w:hAnsi="Times New Roman"/>
          <w:color w:val="000000" w:themeColor="text1"/>
          <w:sz w:val="28"/>
          <w:szCs w:val="28"/>
          <w:lang w:val="uk-UA"/>
        </w:rPr>
      </w:pPr>
    </w:p>
    <w:p w14:paraId="732CB0F0" w14:textId="797CD3D7" w:rsidR="00B81ED5" w:rsidRDefault="00FB72F7" w:rsidP="00B81ED5">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Діаграма 5</w:t>
      </w:r>
      <w:r w:rsidR="008A2500">
        <w:rPr>
          <w:rFonts w:ascii="Times New Roman" w:hAnsi="Times New Roman"/>
          <w:color w:val="000000" w:themeColor="text1"/>
          <w:sz w:val="28"/>
          <w:szCs w:val="28"/>
          <w:lang w:val="uk-UA"/>
        </w:rPr>
        <w:t>.6</w:t>
      </w:r>
    </w:p>
    <w:p w14:paraId="148CD735" w14:textId="3839A90C" w:rsidR="00B81ED5" w:rsidRDefault="00B81ED5" w:rsidP="000728CB">
      <w:pPr>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Порівняльний аналіз динаміки рівнів імуноглобуліну </w:t>
      </w:r>
      <w:r w:rsidRPr="00B81ED5">
        <w:rPr>
          <w:rFonts w:ascii="Times New Roman" w:hAnsi="Times New Roman"/>
          <w:color w:val="000000" w:themeColor="text1"/>
          <w:sz w:val="28"/>
          <w:szCs w:val="28"/>
          <w:lang w:val="uk-UA"/>
        </w:rPr>
        <w:t>М</w:t>
      </w:r>
      <w:r>
        <w:rPr>
          <w:rFonts w:ascii="Times New Roman" w:hAnsi="Times New Roman"/>
          <w:color w:val="000000" w:themeColor="text1"/>
          <w:sz w:val="28"/>
          <w:szCs w:val="28"/>
          <w:lang w:val="uk-UA"/>
        </w:rPr>
        <w:t xml:space="preserve"> у різних групах пацієнтів</w:t>
      </w:r>
    </w:p>
    <w:p w14:paraId="7A28D502" w14:textId="77777777" w:rsidR="00B81ED5" w:rsidRDefault="00B81ED5" w:rsidP="00B81ED5">
      <w:pPr>
        <w:spacing w:line="360" w:lineRule="auto"/>
        <w:ind w:firstLine="709"/>
        <w:jc w:val="both"/>
        <w:rPr>
          <w:rFonts w:ascii="Times New Roman" w:hAnsi="Times New Roman"/>
          <w:color w:val="000000" w:themeColor="text1"/>
          <w:sz w:val="28"/>
          <w:szCs w:val="28"/>
          <w:lang w:val="uk-UA"/>
        </w:rPr>
      </w:pPr>
      <w:r>
        <w:rPr>
          <w:rFonts w:ascii="Times New Roman" w:hAnsi="Times New Roman"/>
          <w:noProof/>
          <w:sz w:val="28"/>
          <w:szCs w:val="28"/>
        </w:rPr>
        <w:drawing>
          <wp:inline distT="0" distB="0" distL="0" distR="0" wp14:anchorId="0B8095E1" wp14:editId="34829567">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44F4674" w14:textId="1271A2C4" w:rsidR="00B81ED5" w:rsidRDefault="00B81ED5" w:rsidP="00331A41">
      <w:pPr>
        <w:spacing w:line="360" w:lineRule="auto"/>
        <w:ind w:firstLine="709"/>
        <w:jc w:val="both"/>
        <w:rPr>
          <w:rFonts w:ascii="Times New Roman" w:hAnsi="Times New Roman"/>
          <w:color w:val="000000" w:themeColor="text1"/>
          <w:sz w:val="28"/>
          <w:szCs w:val="28"/>
          <w:lang w:val="uk-UA"/>
        </w:rPr>
      </w:pPr>
    </w:p>
    <w:p w14:paraId="356F8870" w14:textId="5479CFF8" w:rsidR="008105E5" w:rsidRDefault="008105E5"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четвертій групі пацієнтів покращення імунного статусу згідно з рівнем імуноглобуліну М, а також рівнями інших імуноглобулінів, не відбулося. Достовірної різниці у показниках до здійснення профілактичних заходів та через шість та дванадцять місяців не спостерігалося, рівень імуноглобуліну М через шість місяців дорівнював 2.10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0.64</w:t>
      </w:r>
      <w:r>
        <w:rPr>
          <w:rFonts w:ascii="Times New Roman" w:hAnsi="Times New Roman"/>
          <w:color w:val="000000" w:themeColor="text1"/>
          <w:sz w:val="28"/>
          <w:szCs w:val="28"/>
          <w:lang w:val="uk-UA"/>
        </w:rPr>
        <w:t xml:space="preserve"> г/л, через дванадцять 1.94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0.33</w:t>
      </w:r>
      <w:r>
        <w:rPr>
          <w:rFonts w:ascii="Times New Roman" w:hAnsi="Times New Roman"/>
          <w:color w:val="000000" w:themeColor="text1"/>
          <w:sz w:val="28"/>
          <w:szCs w:val="28"/>
          <w:lang w:val="uk-UA"/>
        </w:rPr>
        <w:t xml:space="preserve"> г/л. При цьому, якщо порівняти показники другої та четвертої групи пацієнтів, є статистично значима різниця між показниками. </w:t>
      </w:r>
      <w:r w:rsidR="00552957">
        <w:rPr>
          <w:rFonts w:ascii="Times New Roman" w:hAnsi="Times New Roman"/>
          <w:color w:val="000000" w:themeColor="text1"/>
          <w:sz w:val="28"/>
          <w:szCs w:val="28"/>
          <w:lang w:val="uk-UA"/>
        </w:rPr>
        <w:t>Усе дані переконливо свідчать про необхідність імунокорекції пацієнтів з атопічними захворюваннями, незалежно від наявності клінічних ознак гінгівіту.</w:t>
      </w:r>
    </w:p>
    <w:p w14:paraId="38B009EE" w14:textId="66739252" w:rsidR="00552957" w:rsidRPr="00BC696F" w:rsidRDefault="00552957"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Таким чином, проведене комплексне дослідження змін імунного статусу у дітей з атопічними захворюваннями виявили послаблення імунного захисту даного контингенту дітей. Застосування </w:t>
      </w:r>
      <w:r w:rsidR="00E269E5">
        <w:rPr>
          <w:rFonts w:ascii="Times New Roman" w:hAnsi="Times New Roman"/>
          <w:color w:val="000000" w:themeColor="text1"/>
          <w:sz w:val="28"/>
          <w:szCs w:val="28"/>
          <w:lang w:val="uk-UA"/>
        </w:rPr>
        <w:t>концептуально нової</w:t>
      </w:r>
      <w:r>
        <w:rPr>
          <w:rFonts w:ascii="Times New Roman" w:hAnsi="Times New Roman"/>
          <w:color w:val="000000" w:themeColor="text1"/>
          <w:sz w:val="28"/>
          <w:szCs w:val="28"/>
          <w:lang w:val="uk-UA"/>
        </w:rPr>
        <w:t xml:space="preserve"> програми лікувально-профілактичних заходів у дітей з атопічними захворюваннями дало змогу ефективно вирішити проблему лікування та профілактики хронічного гінгівіту завдяки урахуванню виявлених змін імунного статусу. Також проведене дослідження довело можливість використання оцінювання рівнів імуноглобулінів у ротовій рідини як діагностичний інструмент при профілактиці та лікуванні хронічного гінгівіту у дітей з атопічними захворюваннями.</w:t>
      </w:r>
    </w:p>
    <w:p w14:paraId="56DD9F35" w14:textId="3F15584C" w:rsidR="000728CB" w:rsidRPr="00B411CE" w:rsidRDefault="007770D0" w:rsidP="00FB72F7">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Стан неспецифічного імунітету також визначали за ступенем активності лізоциму. </w:t>
      </w:r>
      <w:r w:rsidR="008C7075">
        <w:rPr>
          <w:rFonts w:ascii="Times New Roman" w:hAnsi="Times New Roman"/>
          <w:color w:val="000000" w:themeColor="text1"/>
          <w:sz w:val="28"/>
          <w:szCs w:val="28"/>
          <w:lang w:val="uk-UA"/>
        </w:rPr>
        <w:t>Як відомо, серед усіх біомаркерів ротової рідини лізоцим є одним з найбільш розповсюджених показників</w:t>
      </w:r>
      <w:r w:rsidR="00724A39">
        <w:rPr>
          <w:rFonts w:ascii="Times New Roman" w:hAnsi="Times New Roman"/>
          <w:color w:val="000000" w:themeColor="text1"/>
          <w:sz w:val="28"/>
          <w:szCs w:val="28"/>
          <w:lang w:val="uk-UA"/>
        </w:rPr>
        <w:t xml:space="preserve"> ступеню імунного захисту. Нашою метою було оцінити інформативність даного біомаркеру у дітей з атопічними захворюваннями та порівняти його з іншими маркерами, що характеризують імунний статус при дослідженні імунного статусу. От</w:t>
      </w:r>
      <w:r w:rsidR="00FB72F7">
        <w:rPr>
          <w:rFonts w:ascii="Times New Roman" w:hAnsi="Times New Roman"/>
          <w:color w:val="000000" w:themeColor="text1"/>
          <w:sz w:val="28"/>
          <w:szCs w:val="28"/>
          <w:lang w:val="uk-UA"/>
        </w:rPr>
        <w:t>римані дані наведені у таблиці 5</w:t>
      </w:r>
      <w:r w:rsidR="008A2500">
        <w:rPr>
          <w:rFonts w:ascii="Times New Roman" w:hAnsi="Times New Roman"/>
          <w:color w:val="000000" w:themeColor="text1"/>
          <w:sz w:val="28"/>
          <w:szCs w:val="28"/>
          <w:lang w:val="uk-UA"/>
        </w:rPr>
        <w:t>.10</w:t>
      </w:r>
      <w:r w:rsidR="00724A39">
        <w:rPr>
          <w:rFonts w:ascii="Times New Roman" w:hAnsi="Times New Roman"/>
          <w:color w:val="000000" w:themeColor="text1"/>
          <w:sz w:val="28"/>
          <w:szCs w:val="28"/>
          <w:lang w:val="uk-UA"/>
        </w:rPr>
        <w:t>.</w:t>
      </w:r>
    </w:p>
    <w:p w14:paraId="60F48A59" w14:textId="7EDF40FF" w:rsidR="00724A39" w:rsidRPr="00FC17AB" w:rsidRDefault="00FB72F7" w:rsidP="00724A39">
      <w:pPr>
        <w:spacing w:line="360" w:lineRule="auto"/>
        <w:ind w:firstLine="709"/>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Таблиця 5</w:t>
      </w:r>
      <w:r w:rsidR="008A2500">
        <w:rPr>
          <w:rFonts w:ascii="Times New Roman" w:hAnsi="Times New Roman"/>
          <w:color w:val="000000" w:themeColor="text1"/>
          <w:sz w:val="28"/>
          <w:szCs w:val="28"/>
          <w:lang w:val="uk-UA"/>
        </w:rPr>
        <w:t>.10</w:t>
      </w:r>
    </w:p>
    <w:p w14:paraId="206C7038" w14:textId="47945B57" w:rsidR="00724A39" w:rsidRDefault="00724A39" w:rsidP="000728C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 змін рівню лізоциму у ротовій рідині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71"/>
        <w:gridCol w:w="1559"/>
        <w:gridCol w:w="1560"/>
        <w:gridCol w:w="1559"/>
        <w:gridCol w:w="1701"/>
        <w:gridCol w:w="1635"/>
      </w:tblGrid>
      <w:tr w:rsidR="00724A39" w:rsidRPr="00724A39" w14:paraId="0D4AD7EC" w14:textId="77777777" w:rsidTr="00C70D7A">
        <w:trPr>
          <w:trHeight w:val="471"/>
          <w:jc w:val="center"/>
        </w:trPr>
        <w:tc>
          <w:tcPr>
            <w:tcW w:w="1271" w:type="dxa"/>
            <w:vMerge w:val="restart"/>
            <w:shd w:val="clear" w:color="auto" w:fill="auto"/>
          </w:tcPr>
          <w:p w14:paraId="7B19DFCB" w14:textId="77777777" w:rsidR="00724A39" w:rsidRPr="00525BE7" w:rsidRDefault="00724A39" w:rsidP="00FD6B73">
            <w:pPr>
              <w:spacing w:after="0" w:line="360" w:lineRule="auto"/>
              <w:ind w:hanging="5"/>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Строк спостереження</w:t>
            </w:r>
          </w:p>
        </w:tc>
        <w:tc>
          <w:tcPr>
            <w:tcW w:w="8014" w:type="dxa"/>
            <w:gridSpan w:val="5"/>
            <w:shd w:val="clear" w:color="auto" w:fill="auto"/>
          </w:tcPr>
          <w:p w14:paraId="2AAB6B94" w14:textId="486FB697" w:rsidR="00724A39" w:rsidRPr="00525BE7" w:rsidRDefault="00724A39" w:rsidP="00FD6B73">
            <w:pPr>
              <w:spacing w:after="0" w:line="360" w:lineRule="auto"/>
              <w:ind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Лізоцим, у.о.</w:t>
            </w:r>
            <w:r w:rsidRPr="00525BE7">
              <w:rPr>
                <w:rFonts w:ascii="Times New Roman" w:hAnsi="Times New Roman"/>
                <w:color w:val="000000" w:themeColor="text1"/>
                <w:sz w:val="28"/>
                <w:szCs w:val="28"/>
                <w:lang w:val="uk-UA"/>
              </w:rPr>
              <w:t>/л</w:t>
            </w:r>
          </w:p>
        </w:tc>
      </w:tr>
      <w:tr w:rsidR="00724A39" w:rsidRPr="00724A39" w14:paraId="2504F216" w14:textId="77777777" w:rsidTr="00C70D7A">
        <w:trPr>
          <w:trHeight w:val="486"/>
          <w:jc w:val="center"/>
        </w:trPr>
        <w:tc>
          <w:tcPr>
            <w:tcW w:w="1271" w:type="dxa"/>
            <w:vMerge/>
            <w:shd w:val="clear" w:color="auto" w:fill="auto"/>
          </w:tcPr>
          <w:p w14:paraId="0B4A3355" w14:textId="77777777" w:rsidR="00724A39" w:rsidRPr="00525BE7" w:rsidRDefault="00724A39" w:rsidP="00FD6B73">
            <w:pPr>
              <w:spacing w:after="0" w:line="360" w:lineRule="auto"/>
              <w:ind w:hanging="5"/>
              <w:jc w:val="center"/>
              <w:rPr>
                <w:rFonts w:ascii="Times New Roman" w:hAnsi="Times New Roman"/>
                <w:color w:val="000000" w:themeColor="text1"/>
                <w:sz w:val="28"/>
                <w:szCs w:val="28"/>
                <w:lang w:val="uk-UA"/>
              </w:rPr>
            </w:pPr>
          </w:p>
        </w:tc>
        <w:tc>
          <w:tcPr>
            <w:tcW w:w="1559" w:type="dxa"/>
            <w:shd w:val="clear" w:color="auto" w:fill="auto"/>
          </w:tcPr>
          <w:p w14:paraId="389FF901" w14:textId="77777777" w:rsidR="00724A39" w:rsidRPr="00525BE7" w:rsidRDefault="00724A39"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1 (</w:t>
            </w:r>
            <w:r w:rsidRPr="00525BE7">
              <w:rPr>
                <w:rFonts w:ascii="Times New Roman" w:hAnsi="Times New Roman"/>
                <w:color w:val="000000" w:themeColor="text1"/>
                <w:sz w:val="28"/>
                <w:szCs w:val="28"/>
              </w:rPr>
              <w:t>n</w:t>
            </w:r>
            <w:r w:rsidRPr="00724A39">
              <w:rPr>
                <w:rFonts w:ascii="Times New Roman" w:hAnsi="Times New Roman"/>
                <w:color w:val="000000" w:themeColor="text1"/>
                <w:sz w:val="28"/>
                <w:szCs w:val="28"/>
                <w:lang w:val="uk-UA"/>
              </w:rPr>
              <w:t>=76</w:t>
            </w:r>
            <w:r w:rsidRPr="00525BE7">
              <w:rPr>
                <w:rFonts w:ascii="Times New Roman" w:hAnsi="Times New Roman"/>
                <w:color w:val="000000" w:themeColor="text1"/>
                <w:sz w:val="28"/>
                <w:szCs w:val="28"/>
                <w:lang w:val="uk-UA"/>
              </w:rPr>
              <w:t>)</w:t>
            </w:r>
          </w:p>
        </w:tc>
        <w:tc>
          <w:tcPr>
            <w:tcW w:w="1560" w:type="dxa"/>
            <w:shd w:val="clear" w:color="auto" w:fill="auto"/>
          </w:tcPr>
          <w:p w14:paraId="6C206CE2" w14:textId="77777777" w:rsidR="00724A39" w:rsidRPr="00525BE7" w:rsidRDefault="00724A39" w:rsidP="00FD6B73">
            <w:pPr>
              <w:spacing w:after="0" w:line="360" w:lineRule="auto"/>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2 (n=50)</w:t>
            </w:r>
          </w:p>
        </w:tc>
        <w:tc>
          <w:tcPr>
            <w:tcW w:w="1559" w:type="dxa"/>
            <w:shd w:val="clear" w:color="auto" w:fill="auto"/>
          </w:tcPr>
          <w:p w14:paraId="32FE0BEB"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3 (n=30)</w:t>
            </w:r>
          </w:p>
        </w:tc>
        <w:tc>
          <w:tcPr>
            <w:tcW w:w="1701" w:type="dxa"/>
            <w:shd w:val="clear" w:color="auto" w:fill="auto"/>
          </w:tcPr>
          <w:p w14:paraId="571C0CEA"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Група 4</w:t>
            </w:r>
            <w:r w:rsidRPr="00525BE7">
              <w:rPr>
                <w:rFonts w:ascii="Times New Roman" w:hAnsi="Times New Roman"/>
                <w:color w:val="000000" w:themeColor="text1"/>
                <w:sz w:val="28"/>
                <w:szCs w:val="28"/>
                <w:lang w:val="uk-UA"/>
              </w:rPr>
              <w:br/>
              <w:t>(n=30)</w:t>
            </w:r>
          </w:p>
        </w:tc>
        <w:tc>
          <w:tcPr>
            <w:tcW w:w="1635" w:type="dxa"/>
            <w:shd w:val="clear" w:color="auto" w:fill="auto"/>
          </w:tcPr>
          <w:p w14:paraId="6A283EFA" w14:textId="77777777" w:rsidR="00724A39" w:rsidRPr="00525BE7" w:rsidRDefault="00724A39" w:rsidP="00FD6B73">
            <w:pPr>
              <w:spacing w:after="0" w:line="360" w:lineRule="auto"/>
              <w:jc w:val="center"/>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Група 5 </w:t>
            </w:r>
            <w:r w:rsidRPr="00525BE7">
              <w:rPr>
                <w:rFonts w:ascii="Times New Roman" w:hAnsi="Times New Roman"/>
                <w:color w:val="000000" w:themeColor="text1"/>
                <w:sz w:val="28"/>
                <w:szCs w:val="28"/>
                <w:lang w:val="uk-UA"/>
              </w:rPr>
              <w:br/>
              <w:t>(n=35)</w:t>
            </w:r>
          </w:p>
        </w:tc>
      </w:tr>
      <w:tr w:rsidR="00724A39" w:rsidRPr="00525BE7" w14:paraId="177D2A21" w14:textId="77777777" w:rsidTr="00C70D7A">
        <w:trPr>
          <w:trHeight w:val="429"/>
          <w:jc w:val="center"/>
        </w:trPr>
        <w:tc>
          <w:tcPr>
            <w:tcW w:w="1271" w:type="dxa"/>
            <w:shd w:val="clear" w:color="auto" w:fill="auto"/>
          </w:tcPr>
          <w:p w14:paraId="49C7F3BC"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До лікування</w:t>
            </w:r>
          </w:p>
        </w:tc>
        <w:tc>
          <w:tcPr>
            <w:tcW w:w="1559" w:type="dxa"/>
            <w:shd w:val="clear" w:color="auto" w:fill="auto"/>
          </w:tcPr>
          <w:p w14:paraId="16DE408D" w14:textId="23BFCF0E"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192.77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23.12</w:t>
            </w:r>
          </w:p>
        </w:tc>
        <w:tc>
          <w:tcPr>
            <w:tcW w:w="1560" w:type="dxa"/>
            <w:shd w:val="clear" w:color="auto" w:fill="auto"/>
          </w:tcPr>
          <w:p w14:paraId="675F1F1D" w14:textId="0C5C8FCD"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193.80</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20.30</w:t>
            </w:r>
          </w:p>
        </w:tc>
        <w:tc>
          <w:tcPr>
            <w:tcW w:w="1559" w:type="dxa"/>
            <w:shd w:val="clear" w:color="auto" w:fill="auto"/>
          </w:tcPr>
          <w:p w14:paraId="473976B9" w14:textId="6346A96D"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184.48</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26.52</w:t>
            </w:r>
          </w:p>
        </w:tc>
        <w:tc>
          <w:tcPr>
            <w:tcW w:w="1701" w:type="dxa"/>
            <w:shd w:val="clear" w:color="auto" w:fill="auto"/>
          </w:tcPr>
          <w:p w14:paraId="028C7339" w14:textId="5F59E90B"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189.06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25.30</w:t>
            </w:r>
          </w:p>
        </w:tc>
        <w:tc>
          <w:tcPr>
            <w:tcW w:w="1635" w:type="dxa"/>
            <w:shd w:val="clear" w:color="auto" w:fill="auto"/>
          </w:tcPr>
          <w:p w14:paraId="612D0747" w14:textId="0603D158"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316.56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15.87</w:t>
            </w:r>
          </w:p>
        </w:tc>
      </w:tr>
      <w:tr w:rsidR="00724A39" w:rsidRPr="00525BE7" w14:paraId="4A1D40BD" w14:textId="77777777" w:rsidTr="00C70D7A">
        <w:trPr>
          <w:trHeight w:val="427"/>
          <w:jc w:val="center"/>
        </w:trPr>
        <w:tc>
          <w:tcPr>
            <w:tcW w:w="1271" w:type="dxa"/>
            <w:shd w:val="clear" w:color="auto" w:fill="auto"/>
          </w:tcPr>
          <w:p w14:paraId="37C5FDB8"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 xml:space="preserve">Через 6 місяців </w:t>
            </w:r>
          </w:p>
        </w:tc>
        <w:tc>
          <w:tcPr>
            <w:tcW w:w="1559" w:type="dxa"/>
            <w:shd w:val="clear" w:color="auto" w:fill="auto"/>
          </w:tcPr>
          <w:p w14:paraId="41A34B7E" w14:textId="0491CAA9"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331.55</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22.22</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560" w:type="dxa"/>
            <w:shd w:val="clear" w:color="auto" w:fill="auto"/>
          </w:tcPr>
          <w:p w14:paraId="3093FDD6" w14:textId="775E72AE"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335.46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28.14</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387DC526" w14:textId="00E55C5A"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203.97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19.37</w:t>
            </w:r>
          </w:p>
        </w:tc>
        <w:tc>
          <w:tcPr>
            <w:tcW w:w="1701" w:type="dxa"/>
            <w:shd w:val="clear" w:color="auto" w:fill="auto"/>
          </w:tcPr>
          <w:p w14:paraId="4C010471" w14:textId="2BC29919"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202.89</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18.09</w:t>
            </w:r>
          </w:p>
        </w:tc>
        <w:tc>
          <w:tcPr>
            <w:tcW w:w="1635" w:type="dxa"/>
            <w:shd w:val="clear" w:color="auto" w:fill="auto"/>
          </w:tcPr>
          <w:p w14:paraId="5E144162" w14:textId="41EB74F6"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317.57</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21.51</w:t>
            </w:r>
          </w:p>
        </w:tc>
      </w:tr>
      <w:tr w:rsidR="00724A39" w:rsidRPr="00525BE7" w14:paraId="292F4BB0" w14:textId="77777777" w:rsidTr="00C70D7A">
        <w:trPr>
          <w:trHeight w:val="577"/>
          <w:jc w:val="center"/>
        </w:trPr>
        <w:tc>
          <w:tcPr>
            <w:tcW w:w="1271" w:type="dxa"/>
            <w:shd w:val="clear" w:color="auto" w:fill="auto"/>
          </w:tcPr>
          <w:p w14:paraId="5F498154" w14:textId="77777777" w:rsidR="00724A39" w:rsidRPr="00525BE7" w:rsidRDefault="00724A39" w:rsidP="00FD6B73">
            <w:pPr>
              <w:spacing w:after="0"/>
              <w:ind w:hanging="5"/>
              <w:rPr>
                <w:rFonts w:ascii="Times New Roman" w:hAnsi="Times New Roman"/>
                <w:color w:val="000000" w:themeColor="text1"/>
                <w:sz w:val="28"/>
                <w:szCs w:val="28"/>
                <w:lang w:val="uk-UA"/>
              </w:rPr>
            </w:pPr>
            <w:r w:rsidRPr="00525BE7">
              <w:rPr>
                <w:rFonts w:ascii="Times New Roman" w:hAnsi="Times New Roman"/>
                <w:color w:val="000000" w:themeColor="text1"/>
                <w:sz w:val="28"/>
                <w:szCs w:val="28"/>
                <w:lang w:val="uk-UA"/>
              </w:rPr>
              <w:t>Через 12 місяців</w:t>
            </w:r>
          </w:p>
        </w:tc>
        <w:tc>
          <w:tcPr>
            <w:tcW w:w="1559" w:type="dxa"/>
            <w:shd w:val="clear" w:color="auto" w:fill="auto"/>
          </w:tcPr>
          <w:p w14:paraId="21F35839" w14:textId="68185563" w:rsidR="00724A39" w:rsidRPr="00525BE7" w:rsidRDefault="00724A39" w:rsidP="00724A39">
            <w:pPr>
              <w:spacing w:after="0" w:line="360" w:lineRule="auto"/>
              <w:rPr>
                <w:rFonts w:ascii="Times New Roman" w:hAnsi="Times New Roman"/>
                <w:color w:val="000000" w:themeColor="text1"/>
                <w:sz w:val="28"/>
                <w:szCs w:val="28"/>
                <w:lang w:val="uk-UA"/>
              </w:rPr>
            </w:pPr>
            <w:r w:rsidRPr="00724A39">
              <w:rPr>
                <w:rFonts w:ascii="Times New Roman" w:hAnsi="Times New Roman"/>
                <w:color w:val="000000" w:themeColor="text1"/>
                <w:sz w:val="28"/>
                <w:szCs w:val="28"/>
                <w:lang w:val="uk-UA"/>
              </w:rPr>
              <w:t>329.46</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22.99</w:t>
            </w:r>
            <w:r w:rsidRPr="00525BE7">
              <w:rPr>
                <w:rFonts w:ascii="Times New Roman" w:hAnsi="Times New Roman"/>
                <w:color w:val="000000" w:themeColor="text1"/>
                <w:sz w:val="28"/>
                <w:szCs w:val="28"/>
                <w:lang w:val="uk-UA"/>
              </w:rPr>
              <w:t>*</w:t>
            </w:r>
            <w:r w:rsidR="00D55B8C" w:rsidRPr="00D55B8C">
              <w:rPr>
                <w:rFonts w:ascii="Times New Roman" w:hAnsi="Times New Roman"/>
                <w:sz w:val="28"/>
                <w:szCs w:val="28"/>
                <w:vertAlign w:val="superscript"/>
                <w:lang w:val="uk-UA"/>
              </w:rPr>
              <w:t>1</w:t>
            </w:r>
          </w:p>
        </w:tc>
        <w:tc>
          <w:tcPr>
            <w:tcW w:w="1560" w:type="dxa"/>
            <w:shd w:val="clear" w:color="auto" w:fill="auto"/>
          </w:tcPr>
          <w:p w14:paraId="0F8C3AFB" w14:textId="7D6267D5"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330.38</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20.63</w:t>
            </w:r>
            <w:r w:rsidRPr="00525BE7">
              <w:rPr>
                <w:rFonts w:ascii="Times New Roman" w:hAnsi="Times New Roman"/>
                <w:color w:val="000000" w:themeColor="text1"/>
                <w:sz w:val="28"/>
                <w:szCs w:val="28"/>
                <w:lang w:val="uk-UA"/>
              </w:rPr>
              <w:t>*</w:t>
            </w:r>
            <w:r w:rsidR="00D55B8C" w:rsidRPr="00F42F7A">
              <w:rPr>
                <w:rFonts w:ascii="Times New Roman" w:hAnsi="Times New Roman"/>
                <w:sz w:val="28"/>
                <w:szCs w:val="28"/>
                <w:vertAlign w:val="superscript"/>
                <w:lang w:val="uk-UA"/>
              </w:rPr>
              <w:t>2</w:t>
            </w:r>
          </w:p>
        </w:tc>
        <w:tc>
          <w:tcPr>
            <w:tcW w:w="1559" w:type="dxa"/>
            <w:shd w:val="clear" w:color="auto" w:fill="auto"/>
          </w:tcPr>
          <w:p w14:paraId="11BF7279" w14:textId="23230D99"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284.50</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38.57</w:t>
            </w:r>
            <w:r w:rsidR="00C70D7A">
              <w:rPr>
                <w:rFonts w:ascii="Times New Roman" w:hAnsi="Times New Roman"/>
                <w:color w:val="000000" w:themeColor="text1"/>
                <w:sz w:val="28"/>
                <w:szCs w:val="28"/>
                <w:lang w:val="uk-UA"/>
              </w:rPr>
              <w:t>*</w:t>
            </w:r>
          </w:p>
        </w:tc>
        <w:tc>
          <w:tcPr>
            <w:tcW w:w="1701" w:type="dxa"/>
            <w:shd w:val="clear" w:color="auto" w:fill="auto"/>
          </w:tcPr>
          <w:p w14:paraId="789743C7" w14:textId="68E7E402"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289.39</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38.66</w:t>
            </w:r>
            <w:r w:rsidR="00C70D7A">
              <w:rPr>
                <w:rFonts w:ascii="Times New Roman" w:hAnsi="Times New Roman"/>
                <w:color w:val="000000" w:themeColor="text1"/>
                <w:sz w:val="28"/>
                <w:szCs w:val="28"/>
                <w:lang w:val="uk-UA"/>
              </w:rPr>
              <w:t>*</w:t>
            </w:r>
          </w:p>
        </w:tc>
        <w:tc>
          <w:tcPr>
            <w:tcW w:w="1635" w:type="dxa"/>
            <w:shd w:val="clear" w:color="auto" w:fill="auto"/>
          </w:tcPr>
          <w:p w14:paraId="5E100F7E" w14:textId="7EADFEFC" w:rsidR="00724A39" w:rsidRPr="00525BE7" w:rsidRDefault="00724A39" w:rsidP="00724A39">
            <w:pPr>
              <w:spacing w:after="0"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315.14</w:t>
            </w:r>
            <w:r>
              <w:rPr>
                <w:rFonts w:ascii="Times New Roman" w:hAnsi="Times New Roman" w:cs="Times New Roman"/>
                <w:color w:val="000000" w:themeColor="text1"/>
                <w:sz w:val="28"/>
                <w:szCs w:val="28"/>
                <w:lang w:val="uk-UA"/>
              </w:rPr>
              <w:t>±</w:t>
            </w:r>
            <w:r w:rsidRPr="00724A39">
              <w:rPr>
                <w:rFonts w:ascii="Times New Roman" w:hAnsi="Times New Roman"/>
                <w:color w:val="000000" w:themeColor="text1"/>
                <w:sz w:val="28"/>
                <w:szCs w:val="28"/>
                <w:lang w:val="uk-UA"/>
              </w:rPr>
              <w:t>32.24</w:t>
            </w:r>
          </w:p>
        </w:tc>
      </w:tr>
    </w:tbl>
    <w:p w14:paraId="16775C88" w14:textId="77777777" w:rsidR="00724A39" w:rsidRDefault="00724A39" w:rsidP="00936303">
      <w:pPr>
        <w:spacing w:after="0" w:line="360" w:lineRule="auto"/>
        <w:jc w:val="both"/>
        <w:rPr>
          <w:rFonts w:ascii="Times New Roman" w:hAnsi="Times New Roman"/>
          <w:sz w:val="28"/>
          <w:szCs w:val="28"/>
          <w:lang w:val="uk-UA"/>
        </w:rPr>
      </w:pPr>
      <w:r w:rsidRPr="002804DE">
        <w:rPr>
          <w:rFonts w:ascii="Times New Roman" w:hAnsi="Times New Roman"/>
          <w:sz w:val="28"/>
          <w:szCs w:val="28"/>
          <w:lang w:val="uk-UA"/>
        </w:rPr>
        <w:t xml:space="preserve">Примітка: * - </w:t>
      </w:r>
      <w:r>
        <w:rPr>
          <w:rFonts w:ascii="Times New Roman" w:hAnsi="Times New Roman"/>
          <w:sz w:val="28"/>
          <w:szCs w:val="28"/>
          <w:lang w:val="uk-UA"/>
        </w:rPr>
        <w:t xml:space="preserve">статистично значима різниця </w:t>
      </w:r>
      <w:r w:rsidRPr="002804DE">
        <w:rPr>
          <w:rFonts w:ascii="Times New Roman" w:hAnsi="Times New Roman"/>
          <w:sz w:val="28"/>
          <w:szCs w:val="28"/>
          <w:lang w:val="uk-UA"/>
        </w:rPr>
        <w:t>відносно початкового рівня, р˂0,05</w:t>
      </w:r>
    </w:p>
    <w:p w14:paraId="7528A382" w14:textId="77777777" w:rsidR="00936303" w:rsidRPr="00F42F7A" w:rsidRDefault="00936303" w:rsidP="00936303">
      <w:pPr>
        <w:spacing w:after="0" w:line="360" w:lineRule="auto"/>
        <w:jc w:val="both"/>
        <w:rPr>
          <w:rFonts w:ascii="Times New Roman" w:hAnsi="Times New Roman"/>
          <w:sz w:val="28"/>
          <w:szCs w:val="28"/>
          <w:lang w:val="uk-UA"/>
        </w:rPr>
      </w:pPr>
      <w:r w:rsidRPr="00D55B8C">
        <w:rPr>
          <w:rFonts w:ascii="Times New Roman" w:hAnsi="Times New Roman"/>
          <w:sz w:val="28"/>
          <w:szCs w:val="28"/>
          <w:vertAlign w:val="superscript"/>
          <w:lang w:val="uk-UA"/>
        </w:rPr>
        <w:t>1</w:t>
      </w:r>
      <w:r w:rsidRPr="00F42F7A">
        <w:rPr>
          <w:rFonts w:ascii="Times New Roman" w:hAnsi="Times New Roman"/>
          <w:sz w:val="28"/>
          <w:szCs w:val="28"/>
          <w:lang w:val="uk-UA"/>
        </w:rPr>
        <w:t xml:space="preserve"> - статистично значима різниця у порівнянні з третьою групою пацієнтів, р˂0,05</w:t>
      </w:r>
    </w:p>
    <w:p w14:paraId="3315A4B8" w14:textId="77777777" w:rsidR="00936303" w:rsidRDefault="00936303" w:rsidP="00936303">
      <w:pPr>
        <w:spacing w:after="0" w:line="360" w:lineRule="auto"/>
        <w:jc w:val="both"/>
        <w:rPr>
          <w:rFonts w:ascii="Times New Roman" w:eastAsia="Calibri" w:hAnsi="Times New Roman" w:cs="Times New Roman"/>
          <w:sz w:val="28"/>
          <w:szCs w:val="28"/>
          <w:lang w:val="uk-UA"/>
        </w:rPr>
      </w:pPr>
      <w:r w:rsidRPr="00F42F7A">
        <w:rPr>
          <w:rFonts w:ascii="Times New Roman" w:hAnsi="Times New Roman"/>
          <w:sz w:val="28"/>
          <w:szCs w:val="28"/>
          <w:vertAlign w:val="superscript"/>
          <w:lang w:val="uk-UA"/>
        </w:rPr>
        <w:t>2</w:t>
      </w:r>
      <w:r w:rsidRPr="00F42F7A">
        <w:rPr>
          <w:rFonts w:ascii="Times New Roman" w:hAnsi="Times New Roman"/>
          <w:sz w:val="28"/>
          <w:szCs w:val="28"/>
          <w:lang w:val="uk-UA"/>
        </w:rPr>
        <w:t xml:space="preserve"> - статистично значима різниця у порівнянні з четвертою групою пацієнтів, р˂0,05</w:t>
      </w:r>
    </w:p>
    <w:p w14:paraId="13BDD888" w14:textId="77777777" w:rsidR="00936303" w:rsidRPr="0063390A" w:rsidRDefault="00936303" w:rsidP="00724A39">
      <w:pPr>
        <w:spacing w:line="360" w:lineRule="auto"/>
        <w:jc w:val="both"/>
        <w:rPr>
          <w:rFonts w:ascii="Times New Roman" w:hAnsi="Times New Roman"/>
          <w:sz w:val="28"/>
          <w:szCs w:val="28"/>
          <w:lang w:val="uk-UA"/>
        </w:rPr>
      </w:pPr>
    </w:p>
    <w:p w14:paraId="2899FAA2" w14:textId="39A93755" w:rsidR="00724A39" w:rsidRDefault="00FD6B73"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При аналізі отриманих даних </w:t>
      </w:r>
      <w:r w:rsidR="00E56366">
        <w:rPr>
          <w:rFonts w:ascii="Times New Roman" w:hAnsi="Times New Roman"/>
          <w:color w:val="000000" w:themeColor="text1"/>
          <w:sz w:val="28"/>
          <w:szCs w:val="28"/>
          <w:lang w:val="uk-UA"/>
        </w:rPr>
        <w:t>наявна достовірна різниця між контрольною п’ятою групою та іншими групами. Так, у першій групі</w:t>
      </w:r>
      <w:r w:rsidR="003F1848">
        <w:rPr>
          <w:rFonts w:ascii="Times New Roman" w:hAnsi="Times New Roman"/>
          <w:color w:val="000000" w:themeColor="text1"/>
          <w:sz w:val="28"/>
          <w:szCs w:val="28"/>
          <w:lang w:val="uk-UA"/>
        </w:rPr>
        <w:t xml:space="preserve"> рівень лізоциму дорівнював </w:t>
      </w:r>
      <w:r w:rsidR="003F1848" w:rsidRPr="00724A39">
        <w:rPr>
          <w:rFonts w:ascii="Times New Roman" w:hAnsi="Times New Roman"/>
          <w:color w:val="000000" w:themeColor="text1"/>
          <w:sz w:val="28"/>
          <w:szCs w:val="28"/>
          <w:lang w:val="uk-UA"/>
        </w:rPr>
        <w:t>192.77</w:t>
      </w:r>
      <w:r w:rsidR="003F1848">
        <w:rPr>
          <w:rFonts w:ascii="Times New Roman" w:hAnsi="Times New Roman"/>
          <w:color w:val="000000" w:themeColor="text1"/>
          <w:sz w:val="28"/>
          <w:szCs w:val="28"/>
          <w:lang w:val="uk-UA"/>
        </w:rPr>
        <w:t xml:space="preserve">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23.12</w:t>
      </w:r>
      <w:r w:rsidR="003F1848">
        <w:rPr>
          <w:rFonts w:ascii="Times New Roman" w:hAnsi="Times New Roman"/>
          <w:color w:val="000000" w:themeColor="text1"/>
          <w:sz w:val="28"/>
          <w:szCs w:val="28"/>
          <w:lang w:val="uk-UA"/>
        </w:rPr>
        <w:t xml:space="preserve"> у.о./л., у другій групі 193.80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20.30</w:t>
      </w:r>
      <w:r w:rsidR="003F1848">
        <w:rPr>
          <w:rFonts w:ascii="Times New Roman" w:hAnsi="Times New Roman"/>
          <w:color w:val="000000" w:themeColor="text1"/>
          <w:sz w:val="28"/>
          <w:szCs w:val="28"/>
          <w:lang w:val="uk-UA"/>
        </w:rPr>
        <w:t xml:space="preserve"> у.о./л., у третій групі 184.48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26.52</w:t>
      </w:r>
      <w:r w:rsidR="003F1848">
        <w:rPr>
          <w:rFonts w:ascii="Times New Roman" w:hAnsi="Times New Roman"/>
          <w:color w:val="000000" w:themeColor="text1"/>
          <w:sz w:val="28"/>
          <w:szCs w:val="28"/>
          <w:lang w:val="uk-UA"/>
        </w:rPr>
        <w:t xml:space="preserve"> у.о./л., у четвертій групі 189.06 </w:t>
      </w:r>
      <w:r w:rsidR="003F1848">
        <w:rPr>
          <w:rFonts w:ascii="Times New Roman" w:hAnsi="Times New Roman" w:cs="Times New Roman"/>
          <w:color w:val="000000" w:themeColor="text1"/>
          <w:sz w:val="28"/>
          <w:szCs w:val="28"/>
          <w:lang w:val="uk-UA"/>
        </w:rPr>
        <w:t xml:space="preserve">± </w:t>
      </w:r>
      <w:r w:rsidR="003F1848" w:rsidRPr="00724A39">
        <w:rPr>
          <w:rFonts w:ascii="Times New Roman" w:hAnsi="Times New Roman"/>
          <w:color w:val="000000" w:themeColor="text1"/>
          <w:sz w:val="28"/>
          <w:szCs w:val="28"/>
          <w:lang w:val="uk-UA"/>
        </w:rPr>
        <w:t>25.30</w:t>
      </w:r>
      <w:r w:rsidR="003F1848">
        <w:rPr>
          <w:rFonts w:ascii="Times New Roman" w:hAnsi="Times New Roman"/>
          <w:color w:val="000000" w:themeColor="text1"/>
          <w:sz w:val="28"/>
          <w:szCs w:val="28"/>
          <w:lang w:val="uk-UA"/>
        </w:rPr>
        <w:t xml:space="preserve"> у.о./л. </w:t>
      </w:r>
      <w:r w:rsidR="00AF50DF">
        <w:rPr>
          <w:rFonts w:ascii="Times New Roman" w:hAnsi="Times New Roman"/>
          <w:color w:val="000000" w:themeColor="text1"/>
          <w:sz w:val="28"/>
          <w:szCs w:val="28"/>
          <w:lang w:val="uk-UA"/>
        </w:rPr>
        <w:t xml:space="preserve">Згідно з наведеними даними очевидним є зниження ступеню неспецифічного захисту порожнини рота у дітей з атопічними захворюваннями, що є фактором ризику для розвитку патологічних процесів твердих та м’яких тканин ротової порожнини. Оскільки загальновідомим є той факт, що функція лізоциму у перешкоджанні розвитку інфекційних процесів, особливо небезпечним є пригнічення даної функції у дітей з скомпрометованим мукозальним імунітетом та </w:t>
      </w:r>
      <w:r w:rsidR="00D04FC6">
        <w:rPr>
          <w:rFonts w:ascii="Times New Roman" w:hAnsi="Times New Roman"/>
          <w:color w:val="000000" w:themeColor="text1"/>
          <w:sz w:val="28"/>
          <w:szCs w:val="28"/>
          <w:lang w:val="uk-UA"/>
        </w:rPr>
        <w:t>порушеннями балансу імунного статусу.</w:t>
      </w:r>
    </w:p>
    <w:p w14:paraId="48AD4782" w14:textId="71AF83B3" w:rsidR="00AB7040" w:rsidRDefault="00D04FC6"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Через шість місяців після проведення лікування, у першій та другій групах рівень лізоциму зріс до рівня </w:t>
      </w:r>
      <w:r w:rsidRPr="00724A39">
        <w:rPr>
          <w:rFonts w:ascii="Times New Roman" w:hAnsi="Times New Roman"/>
          <w:color w:val="000000" w:themeColor="text1"/>
          <w:sz w:val="28"/>
          <w:szCs w:val="28"/>
          <w:lang w:val="uk-UA"/>
        </w:rPr>
        <w:t>331.55</w:t>
      </w:r>
      <w:r>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22.22</w:t>
      </w:r>
      <w:r>
        <w:rPr>
          <w:rFonts w:ascii="Times New Roman" w:hAnsi="Times New Roman"/>
          <w:color w:val="000000" w:themeColor="text1"/>
          <w:sz w:val="28"/>
          <w:szCs w:val="28"/>
          <w:lang w:val="uk-UA"/>
        </w:rPr>
        <w:t xml:space="preserve"> у.о./л та 335.46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28.14</w:t>
      </w:r>
      <w:r>
        <w:rPr>
          <w:rFonts w:ascii="Times New Roman" w:hAnsi="Times New Roman"/>
          <w:color w:val="000000" w:themeColor="text1"/>
          <w:sz w:val="28"/>
          <w:szCs w:val="28"/>
          <w:lang w:val="uk-UA"/>
        </w:rPr>
        <w:t xml:space="preserve"> у.о./л. Зростання рівню лізоциму, а отже й зміцніння імунної системи дітей з атопічними захворюваннями, обумовлені, з нашої точки зору, патогенетичним підходом до обраного лікування, яке включало </w:t>
      </w:r>
      <w:r w:rsidR="00AB7040">
        <w:rPr>
          <w:rFonts w:ascii="Times New Roman" w:hAnsi="Times New Roman"/>
          <w:color w:val="000000" w:themeColor="text1"/>
          <w:sz w:val="28"/>
          <w:szCs w:val="28"/>
          <w:lang w:val="uk-UA"/>
        </w:rPr>
        <w:t xml:space="preserve">прийом імуностимулюючих та антиоксидантних препаратів. Позитивна динаміка спостерігалася так само через дванадцять місяців, рівень лізоциму дорівнював </w:t>
      </w:r>
      <w:r w:rsidR="00AB7040" w:rsidRPr="00724A39">
        <w:rPr>
          <w:rFonts w:ascii="Times New Roman" w:hAnsi="Times New Roman"/>
          <w:color w:val="000000" w:themeColor="text1"/>
          <w:sz w:val="28"/>
          <w:szCs w:val="28"/>
          <w:lang w:val="uk-UA"/>
        </w:rPr>
        <w:t>329.46</w:t>
      </w:r>
      <w:r w:rsidR="00AB7040">
        <w:rPr>
          <w:rFonts w:ascii="Times New Roman" w:hAnsi="Times New Roman"/>
          <w:color w:val="000000" w:themeColor="text1"/>
          <w:sz w:val="28"/>
          <w:szCs w:val="28"/>
          <w:lang w:val="uk-UA"/>
        </w:rPr>
        <w:t xml:space="preserve"> </w:t>
      </w:r>
      <w:r w:rsidR="00AB7040">
        <w:rPr>
          <w:rFonts w:ascii="Times New Roman" w:hAnsi="Times New Roman" w:cs="Times New Roman"/>
          <w:color w:val="000000" w:themeColor="text1"/>
          <w:sz w:val="28"/>
          <w:szCs w:val="28"/>
          <w:lang w:val="uk-UA"/>
        </w:rPr>
        <w:t xml:space="preserve">± </w:t>
      </w:r>
      <w:r w:rsidR="00AB7040" w:rsidRPr="00724A39">
        <w:rPr>
          <w:rFonts w:ascii="Times New Roman" w:hAnsi="Times New Roman"/>
          <w:color w:val="000000" w:themeColor="text1"/>
          <w:sz w:val="28"/>
          <w:szCs w:val="28"/>
          <w:lang w:val="uk-UA"/>
        </w:rPr>
        <w:t>22.99</w:t>
      </w:r>
      <w:r w:rsidR="00AB7040">
        <w:rPr>
          <w:rFonts w:ascii="Times New Roman" w:hAnsi="Times New Roman"/>
          <w:color w:val="000000" w:themeColor="text1"/>
          <w:sz w:val="28"/>
          <w:szCs w:val="28"/>
          <w:lang w:val="uk-UA"/>
        </w:rPr>
        <w:t xml:space="preserve"> у.о./л та 330.38 </w:t>
      </w:r>
      <w:r w:rsidR="00AB7040">
        <w:rPr>
          <w:rFonts w:ascii="Times New Roman" w:hAnsi="Times New Roman" w:cs="Times New Roman"/>
          <w:color w:val="000000" w:themeColor="text1"/>
          <w:sz w:val="28"/>
          <w:szCs w:val="28"/>
          <w:lang w:val="uk-UA"/>
        </w:rPr>
        <w:t xml:space="preserve">± </w:t>
      </w:r>
      <w:r w:rsidR="00AB7040" w:rsidRPr="00724A39">
        <w:rPr>
          <w:rFonts w:ascii="Times New Roman" w:hAnsi="Times New Roman"/>
          <w:color w:val="000000" w:themeColor="text1"/>
          <w:sz w:val="28"/>
          <w:szCs w:val="28"/>
          <w:lang w:val="uk-UA"/>
        </w:rPr>
        <w:t>20.63</w:t>
      </w:r>
      <w:r w:rsidR="00AB7040">
        <w:rPr>
          <w:rFonts w:ascii="Times New Roman" w:hAnsi="Times New Roman"/>
          <w:color w:val="000000" w:themeColor="text1"/>
          <w:sz w:val="28"/>
          <w:szCs w:val="28"/>
          <w:lang w:val="uk-UA"/>
        </w:rPr>
        <w:t xml:space="preserve"> у.о./л у першій та другій групах відповідно, складає достовірну різницю з початковими показниками та що доводить ефективність корекції імунної ланки патогенезу захворювань пародонту при формуванні плану лікувальних та профілактичних заходів.</w:t>
      </w:r>
    </w:p>
    <w:p w14:paraId="3D4921FA" w14:textId="25FAF9DF" w:rsidR="00D04FC6" w:rsidRDefault="00AB7040"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 той же час у третій та четвертій групах пацієнтів з атопічними захворюваннями через шість місяців достовірних змін ми не констатували, оскільки рівень лізоциму дорівнював 203.97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19.37</w:t>
      </w:r>
      <w:r>
        <w:rPr>
          <w:rFonts w:ascii="Times New Roman" w:hAnsi="Times New Roman"/>
          <w:color w:val="000000" w:themeColor="text1"/>
          <w:sz w:val="28"/>
          <w:szCs w:val="28"/>
          <w:lang w:val="uk-UA"/>
        </w:rPr>
        <w:t xml:space="preserve"> у.о./л та 202.89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18.09</w:t>
      </w:r>
      <w:r>
        <w:rPr>
          <w:rFonts w:ascii="Times New Roman" w:hAnsi="Times New Roman"/>
          <w:color w:val="000000" w:themeColor="text1"/>
          <w:sz w:val="28"/>
          <w:szCs w:val="28"/>
          <w:lang w:val="uk-UA"/>
        </w:rPr>
        <w:t xml:space="preserve"> у.о./л відповідно. Наведені дані співпадають з попередньо отриманими даними рівнів імуноглобулінів, які свідчили про необхідність імунокорекції при лікуванні та профілактиці хронічного гінгівіту у дітей з атопічними захворюваннями. Цікавим виявився той факт, що через дванадцять місяців показники рівня лізоциму підвищилися до 284.50 </w:t>
      </w:r>
      <w:r>
        <w:rPr>
          <w:rFonts w:ascii="Times New Roman" w:hAnsi="Times New Roman" w:cs="Times New Roman"/>
          <w:color w:val="000000" w:themeColor="text1"/>
          <w:sz w:val="28"/>
          <w:szCs w:val="28"/>
          <w:lang w:val="uk-UA"/>
        </w:rPr>
        <w:t xml:space="preserve">± </w:t>
      </w:r>
      <w:r w:rsidRPr="00724A39">
        <w:rPr>
          <w:rFonts w:ascii="Times New Roman" w:hAnsi="Times New Roman"/>
          <w:color w:val="000000" w:themeColor="text1"/>
          <w:sz w:val="28"/>
          <w:szCs w:val="28"/>
          <w:lang w:val="uk-UA"/>
        </w:rPr>
        <w:t>38.57</w:t>
      </w:r>
      <w:r>
        <w:rPr>
          <w:rFonts w:ascii="Times New Roman" w:hAnsi="Times New Roman"/>
          <w:color w:val="000000" w:themeColor="text1"/>
          <w:sz w:val="28"/>
          <w:szCs w:val="28"/>
          <w:lang w:val="uk-UA"/>
        </w:rPr>
        <w:t xml:space="preserve"> у.о./л та </w:t>
      </w:r>
      <w:r w:rsidR="009A33E8">
        <w:rPr>
          <w:rFonts w:ascii="Times New Roman" w:hAnsi="Times New Roman"/>
          <w:color w:val="000000" w:themeColor="text1"/>
          <w:sz w:val="28"/>
          <w:szCs w:val="28"/>
          <w:lang w:val="uk-UA"/>
        </w:rPr>
        <w:t xml:space="preserve">289.39 </w:t>
      </w:r>
      <w:r w:rsidR="009A33E8">
        <w:rPr>
          <w:rFonts w:ascii="Times New Roman" w:hAnsi="Times New Roman" w:cs="Times New Roman"/>
          <w:color w:val="000000" w:themeColor="text1"/>
          <w:sz w:val="28"/>
          <w:szCs w:val="28"/>
          <w:lang w:val="uk-UA"/>
        </w:rPr>
        <w:t xml:space="preserve">± </w:t>
      </w:r>
      <w:r w:rsidR="009A33E8" w:rsidRPr="00724A39">
        <w:rPr>
          <w:rFonts w:ascii="Times New Roman" w:hAnsi="Times New Roman"/>
          <w:color w:val="000000" w:themeColor="text1"/>
          <w:sz w:val="28"/>
          <w:szCs w:val="28"/>
          <w:lang w:val="uk-UA"/>
        </w:rPr>
        <w:t>38.66</w:t>
      </w:r>
      <w:r w:rsidR="009A33E8">
        <w:rPr>
          <w:rFonts w:ascii="Times New Roman" w:hAnsi="Times New Roman"/>
          <w:color w:val="000000" w:themeColor="text1"/>
          <w:sz w:val="28"/>
          <w:szCs w:val="28"/>
          <w:lang w:val="uk-UA"/>
        </w:rPr>
        <w:t xml:space="preserve"> у.о./л, що складає достовірну різницю з початковим рівнем лізоциму. Таке зростання рівню зазначеного ферменту може пояснюватися його антимікробною активністю, яка через певний проміжок часу змінюється. Це таким чином пояснює провідну роль саме імунних порушень у патогенезі захворювань пародонту у дітей з атопічними захворюваннями, на відміну від пріоритетного значення, яке зазвичай надається мікробному фактору у патогенезі хронічного гінгівіту у соматично здорових дітей. </w:t>
      </w:r>
    </w:p>
    <w:p w14:paraId="28509404" w14:textId="25155ED1" w:rsidR="009A33E8" w:rsidRDefault="008F5C62"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Таким чином, результати дослідження рівню лізоциму показали зниження неспецифічного захисту у дітей з атопічними захворюваннями порівняно з пацієнтами контрольної групи. Проте варіабельність показників протягом строку спостереження, яка не співпадає з лабораторними та клінічними дослідженнями, говорить про неможливість використання рівню лізоциму у якості специфічного біомаркеру запалення тканин пародонту у дітей з атопічними захворюваннями.</w:t>
      </w:r>
    </w:p>
    <w:p w14:paraId="453F0673" w14:textId="5565480F" w:rsidR="00B64E58" w:rsidRDefault="00B64E58" w:rsidP="00331A41">
      <w:pPr>
        <w:spacing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Узагальнюючи проведені дослідження імунометаболічного статусу дітей з атопічними захворюваннями та дітей, необтяжених атопією, закономірними є виявлені нами зміни. </w:t>
      </w:r>
      <w:r w:rsidR="00617F46">
        <w:rPr>
          <w:rFonts w:ascii="Times New Roman" w:hAnsi="Times New Roman"/>
          <w:color w:val="000000" w:themeColor="text1"/>
          <w:sz w:val="28"/>
          <w:szCs w:val="28"/>
          <w:lang w:val="uk-UA"/>
        </w:rPr>
        <w:t>У результаті дослідження встановлено, що серед дітей з атопічними захворюваннями незалежно від вираженості клінічних проявів гінгівіту спостерігається послаблення імунного захисту, що проявляється зниженими рівнями імуноглобулінів класу А,</w:t>
      </w:r>
      <w:r w:rsidR="00617F46" w:rsidRPr="00617F46">
        <w:rPr>
          <w:rFonts w:ascii="Times New Roman" w:hAnsi="Times New Roman"/>
          <w:color w:val="000000" w:themeColor="text1"/>
          <w:sz w:val="28"/>
          <w:szCs w:val="28"/>
          <w:lang w:val="uk-UA"/>
        </w:rPr>
        <w:t xml:space="preserve"> </w:t>
      </w:r>
      <w:r w:rsidR="00617F46">
        <w:rPr>
          <w:rFonts w:ascii="Times New Roman" w:hAnsi="Times New Roman"/>
          <w:color w:val="000000" w:themeColor="text1"/>
          <w:sz w:val="28"/>
          <w:szCs w:val="28"/>
        </w:rPr>
        <w:t>G</w:t>
      </w:r>
      <w:r w:rsidR="00617F46">
        <w:rPr>
          <w:rFonts w:ascii="Times New Roman" w:hAnsi="Times New Roman"/>
          <w:color w:val="000000" w:themeColor="text1"/>
          <w:sz w:val="28"/>
          <w:szCs w:val="28"/>
          <w:lang w:val="uk-UA"/>
        </w:rPr>
        <w:t>, М, лізоциму. На тлі імунної недостатності нами виявлений антиоксидантний дисбаланс за такими показниками, як рівень малонового диальдегіду, супероксиддисмутази, каталази, відновленого глутатіону, уреази. Варто зазначити, що традиційні лікувально-профілактичні заходи, які були застосовані у третій та четвертій групах, згідно з клініко-лабораторними показниками мали короткотривалий ефект, у той час як концептуально новий підхід до лікування та профілактики гінгівіту був ефективним впродовж усього строку спостережень. З цього зрозумілим є те, що призначення імуномоделюючих препаратів та вітамінно-антиоксидантних комплексів поряд з індивідуалізованою гігієною порожнини рота, яка була рекомендована пацієнтам першої та другої груп, є необхідною умовою для ефективного лікування та профілактики гінгівіту на тлі атопічних захворювань.</w:t>
      </w:r>
    </w:p>
    <w:p w14:paraId="41319D6C" w14:textId="27711CDD"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15F54119" w14:textId="77777777" w:rsidR="00974C00" w:rsidRPr="00974C00" w:rsidRDefault="00974C00" w:rsidP="00974C00">
      <w:pPr>
        <w:pStyle w:val="ListParagraph"/>
        <w:numPr>
          <w:ilvl w:val="0"/>
          <w:numId w:val="12"/>
        </w:numPr>
        <w:spacing w:after="0" w:line="360" w:lineRule="auto"/>
        <w:rPr>
          <w:rFonts w:ascii="Times New Roman" w:hAnsi="Times New Roman"/>
          <w:color w:val="000000" w:themeColor="text1"/>
          <w:sz w:val="28"/>
          <w:szCs w:val="28"/>
          <w:lang w:val="ru-RU"/>
        </w:rPr>
      </w:pPr>
      <w:r w:rsidRPr="00974C00">
        <w:rPr>
          <w:rFonts w:ascii="Times New Roman" w:hAnsi="Times New Roman"/>
          <w:color w:val="000000" w:themeColor="text1"/>
          <w:sz w:val="28"/>
          <w:szCs w:val="28"/>
          <w:lang w:val="ru-RU"/>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 – 2017. – № 2. – С.57-61.</w:t>
      </w:r>
    </w:p>
    <w:p w14:paraId="06617472" w14:textId="77777777" w:rsidR="00974C00" w:rsidRPr="00974C00" w:rsidRDefault="00974C00" w:rsidP="00974C00">
      <w:pPr>
        <w:pStyle w:val="ListParagraph"/>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261425B" w14:textId="3051B146" w:rsidR="00974C00" w:rsidRPr="00974C00" w:rsidRDefault="00974C00" w:rsidP="00974C00">
      <w:pPr>
        <w:pStyle w:val="ListParagraph"/>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Динаміка біомаркерів ротової рідини при лікуванні хронічного гінгівіту у дітей з атопічними захворюванням / Л. С. Кривенко // Український журнал медицини, біології та спорту. – 2017. – №3(5). – С.145-149.</w:t>
      </w:r>
    </w:p>
    <w:p w14:paraId="07C3F424" w14:textId="474AC0AE" w:rsidR="00974C00" w:rsidRPr="00974C00" w:rsidRDefault="00974C00" w:rsidP="00974C00">
      <w:pPr>
        <w:pStyle w:val="ListParagraph"/>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Изменение иммунологических показателей при лечении хронического гингивита детей на фоне атопических заболеваний / Л. С. Кривенко // Стоматолог (Беларусь). – 2017. – № 4(27). – С.26-30.</w:t>
      </w:r>
    </w:p>
    <w:p w14:paraId="396D21F4" w14:textId="0379C0D4" w:rsidR="00974C00" w:rsidRDefault="00974C00" w:rsidP="00974C00">
      <w:pPr>
        <w:pStyle w:val="ListParagraph"/>
        <w:numPr>
          <w:ilvl w:val="0"/>
          <w:numId w:val="12"/>
        </w:numPr>
        <w:spacing w:after="0"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Kryvenko L. S. Salivary lipid peroxidation and periodontal status detection in Ukrainian atopic children with Convolutional Neural Networks / L. S. Kryvenko, V. N. Bezruk, S. A. Krivenko // 2017 4th International Scientific-Practical Conference “Problems of Infocommunications. Science and Technology”. – 2017. – P.122-125.</w:t>
      </w:r>
    </w:p>
    <w:p w14:paraId="0E2CDD1C" w14:textId="77777777" w:rsidR="00974C00" w:rsidRPr="00974C00" w:rsidRDefault="00974C00" w:rsidP="00974C00">
      <w:pPr>
        <w:pStyle w:val="ListParagraph"/>
        <w:numPr>
          <w:ilvl w:val="0"/>
          <w:numId w:val="12"/>
        </w:numPr>
        <w:spacing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2EC4A222" w14:textId="77777777" w:rsidR="00974C00" w:rsidRPr="00974C00" w:rsidRDefault="00974C00" w:rsidP="00974C00">
      <w:pPr>
        <w:pStyle w:val="ListParagraph"/>
        <w:numPr>
          <w:ilvl w:val="0"/>
          <w:numId w:val="12"/>
        </w:numPr>
        <w:spacing w:after="0" w:line="360" w:lineRule="auto"/>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Kryvenko L. S. Salivary oxidative analysis and periodontal status in Ukrainian children with atopy / L. S. Kryvenko, R. S. Nazaryan // Interventional Medicine &amp; Applied Science. – 2017. – Vol. 9, №4. – P. 199-203. https://doi.org/10.1556/1646.9.2017.32</w:t>
      </w:r>
    </w:p>
    <w:p w14:paraId="53B823CC" w14:textId="77777777" w:rsidR="00974C00" w:rsidRPr="00974C00" w:rsidRDefault="00974C00" w:rsidP="00974C00">
      <w:pPr>
        <w:pStyle w:val="ListParagraph"/>
        <w:numPr>
          <w:ilvl w:val="0"/>
          <w:numId w:val="12"/>
        </w:numPr>
        <w:spacing w:line="360" w:lineRule="auto"/>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Характеристика антиоксидантної системи дітей з гінгівітом на тлі атопічних захворювань / Л. С. Кривенко // Вісник проблем біології і медицини. - №1 (135). -2017. – с. 326-327.</w:t>
      </w:r>
    </w:p>
    <w:p w14:paraId="3A0A994B" w14:textId="77777777" w:rsidR="00974C00" w:rsidRPr="00974C00" w:rsidRDefault="00974C00" w:rsidP="00974C00">
      <w:pPr>
        <w:pStyle w:val="ListParagraph"/>
        <w:spacing w:after="0" w:line="360" w:lineRule="auto"/>
        <w:ind w:left="1069"/>
        <w:jc w:val="both"/>
        <w:rPr>
          <w:rFonts w:ascii="Times New Roman" w:hAnsi="Times New Roman"/>
          <w:color w:val="000000" w:themeColor="text1"/>
          <w:sz w:val="28"/>
          <w:szCs w:val="28"/>
          <w:lang w:val="uk-UA"/>
        </w:rPr>
      </w:pPr>
    </w:p>
    <w:p w14:paraId="26ED3C36" w14:textId="762BA7E0" w:rsidR="00E6538B" w:rsidRDefault="00E6538B">
      <w:pP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br w:type="page"/>
      </w:r>
    </w:p>
    <w:p w14:paraId="54A1EEC3" w14:textId="7B79E46E" w:rsidR="00936303" w:rsidRPr="00936303" w:rsidRDefault="00936303" w:rsidP="00936303">
      <w:pPr>
        <w:pStyle w:val="Heading1"/>
        <w:spacing w:before="0" w:line="360" w:lineRule="auto"/>
        <w:jc w:val="center"/>
        <w:rPr>
          <w:rFonts w:ascii="Times New Roman" w:hAnsi="Times New Roman" w:cs="Times New Roman"/>
          <w:color w:val="auto"/>
          <w:sz w:val="28"/>
          <w:szCs w:val="28"/>
          <w:lang w:val="uk-UA"/>
        </w:rPr>
      </w:pPr>
      <w:bookmarkStart w:id="25" w:name="_Toc507575318"/>
      <w:r w:rsidRPr="00936303">
        <w:rPr>
          <w:rFonts w:ascii="Times New Roman" w:hAnsi="Times New Roman" w:cs="Times New Roman"/>
          <w:color w:val="auto"/>
          <w:sz w:val="28"/>
          <w:szCs w:val="28"/>
          <w:lang w:val="uk-UA"/>
        </w:rPr>
        <w:t>РОЗДІЛ 6</w:t>
      </w:r>
      <w:bookmarkEnd w:id="25"/>
    </w:p>
    <w:p w14:paraId="01492ED8" w14:textId="77777777" w:rsidR="00936303" w:rsidRPr="00936303" w:rsidRDefault="00936303" w:rsidP="00936303">
      <w:pPr>
        <w:jc w:val="center"/>
        <w:rPr>
          <w:lang w:val="uk-UA"/>
        </w:rPr>
      </w:pPr>
    </w:p>
    <w:p w14:paraId="069D8E8F" w14:textId="7C09FFB6" w:rsidR="002C3D20" w:rsidRPr="00936303" w:rsidRDefault="00936303" w:rsidP="00936303">
      <w:pPr>
        <w:pStyle w:val="Heading1"/>
        <w:spacing w:before="0" w:line="360" w:lineRule="auto"/>
        <w:jc w:val="center"/>
        <w:rPr>
          <w:rFonts w:ascii="Times New Roman" w:hAnsi="Times New Roman" w:cs="Times New Roman"/>
          <w:color w:val="auto"/>
          <w:sz w:val="28"/>
          <w:szCs w:val="28"/>
          <w:lang w:val="uk-UA"/>
        </w:rPr>
      </w:pPr>
      <w:bookmarkStart w:id="26" w:name="_Toc507575319"/>
      <w:r w:rsidRPr="00936303">
        <w:rPr>
          <w:rFonts w:ascii="Times New Roman" w:hAnsi="Times New Roman" w:cs="Times New Roman"/>
          <w:color w:val="auto"/>
          <w:sz w:val="28"/>
          <w:szCs w:val="28"/>
          <w:lang w:val="uk-UA"/>
        </w:rPr>
        <w:t>РЕЗУЛЬТАТИ АНАЛІЗУ ЗАСТОСУВАННЯ ПРЕДИКТИВНИХ МЕТОДІВ У ДІАГНОСТИЦІ ГІНГІВІТУ СЕРЕД ДІТЕЙ З АТОПІЧНИМИ ЗАХВОРЮВАННЯМИ</w:t>
      </w:r>
      <w:bookmarkEnd w:id="26"/>
    </w:p>
    <w:p w14:paraId="49DE4DEB" w14:textId="77777777" w:rsidR="00936303" w:rsidRPr="00936303" w:rsidRDefault="00936303" w:rsidP="00936303">
      <w:pPr>
        <w:rPr>
          <w:lang w:val="uk-UA"/>
        </w:rPr>
      </w:pPr>
    </w:p>
    <w:p w14:paraId="754338D3" w14:textId="0E27DDB3" w:rsidR="008A2500" w:rsidRPr="0098325E" w:rsidRDefault="00FB72F7" w:rsidP="00936303">
      <w:pPr>
        <w:pStyle w:val="Heading3"/>
        <w:spacing w:before="0" w:line="360" w:lineRule="auto"/>
        <w:ind w:firstLine="709"/>
        <w:rPr>
          <w:rFonts w:ascii="Times New Roman" w:hAnsi="Times New Roman" w:cs="Times New Roman"/>
          <w:color w:val="auto"/>
          <w:sz w:val="28"/>
          <w:szCs w:val="28"/>
          <w:lang w:val="uk-UA"/>
        </w:rPr>
      </w:pPr>
      <w:bookmarkStart w:id="27" w:name="_Toc507575320"/>
      <w:r w:rsidRPr="00936303">
        <w:rPr>
          <w:rFonts w:ascii="Times New Roman" w:hAnsi="Times New Roman" w:cs="Times New Roman"/>
          <w:color w:val="auto"/>
          <w:sz w:val="28"/>
          <w:szCs w:val="28"/>
          <w:lang w:val="uk-UA"/>
        </w:rPr>
        <w:t>6</w:t>
      </w:r>
      <w:r w:rsidR="00FB3A3B" w:rsidRPr="00936303">
        <w:rPr>
          <w:rFonts w:ascii="Times New Roman" w:hAnsi="Times New Roman" w:cs="Times New Roman"/>
          <w:color w:val="auto"/>
          <w:sz w:val="28"/>
          <w:szCs w:val="28"/>
          <w:lang w:val="uk-UA"/>
        </w:rPr>
        <w:t xml:space="preserve">.1 Результати </w:t>
      </w:r>
      <w:r w:rsidR="008A2500" w:rsidRPr="00936303">
        <w:rPr>
          <w:rFonts w:ascii="Times New Roman" w:hAnsi="Times New Roman" w:cs="Times New Roman"/>
          <w:color w:val="auto"/>
          <w:sz w:val="28"/>
          <w:szCs w:val="28"/>
          <w:lang w:val="uk-UA"/>
        </w:rPr>
        <w:t>цито</w:t>
      </w:r>
      <w:r w:rsidR="00FB3A3B" w:rsidRPr="00936303">
        <w:rPr>
          <w:rFonts w:ascii="Times New Roman" w:hAnsi="Times New Roman" w:cs="Times New Roman"/>
          <w:color w:val="auto"/>
          <w:sz w:val="28"/>
          <w:szCs w:val="28"/>
          <w:lang w:val="uk-UA"/>
        </w:rPr>
        <w:t>морфо</w:t>
      </w:r>
      <w:r w:rsidR="008A2500" w:rsidRPr="00936303">
        <w:rPr>
          <w:rFonts w:ascii="Times New Roman" w:hAnsi="Times New Roman" w:cs="Times New Roman"/>
          <w:color w:val="auto"/>
          <w:sz w:val="28"/>
          <w:szCs w:val="28"/>
          <w:lang w:val="uk-UA"/>
        </w:rPr>
        <w:t xml:space="preserve">логічного дослідження </w:t>
      </w:r>
      <w:r w:rsidR="00FB3A3B" w:rsidRPr="00936303">
        <w:rPr>
          <w:rFonts w:ascii="Times New Roman" w:hAnsi="Times New Roman" w:cs="Times New Roman"/>
          <w:color w:val="auto"/>
          <w:sz w:val="28"/>
          <w:szCs w:val="28"/>
          <w:lang w:val="uk-UA"/>
        </w:rPr>
        <w:t>клітин букального епітелію</w:t>
      </w:r>
      <w:r w:rsidR="009141C4" w:rsidRPr="009141C4">
        <w:rPr>
          <w:rFonts w:ascii="Times New Roman" w:hAnsi="Times New Roman" w:cs="Times New Roman"/>
          <w:color w:val="auto"/>
          <w:sz w:val="28"/>
          <w:szCs w:val="28"/>
          <w:lang w:val="ru-RU"/>
        </w:rPr>
        <w:t xml:space="preserve"> </w:t>
      </w:r>
      <w:r w:rsidR="0098325E">
        <w:rPr>
          <w:rFonts w:ascii="Times New Roman" w:hAnsi="Times New Roman" w:cs="Times New Roman"/>
          <w:color w:val="auto"/>
          <w:sz w:val="28"/>
          <w:szCs w:val="28"/>
          <w:lang w:val="uk-UA"/>
        </w:rPr>
        <w:t>у дітей на тлі атопічних захворювань</w:t>
      </w:r>
      <w:bookmarkEnd w:id="27"/>
    </w:p>
    <w:p w14:paraId="01204E8D" w14:textId="2EE7FE46" w:rsidR="00AA4D48" w:rsidRPr="00AA4D48" w:rsidRDefault="00AA4D48" w:rsidP="00936303">
      <w:pPr>
        <w:spacing w:after="0" w:line="360" w:lineRule="auto"/>
        <w:ind w:firstLine="709"/>
        <w:jc w:val="both"/>
        <w:rPr>
          <w:rFonts w:ascii="Times New Roman" w:hAnsi="Times New Roman"/>
          <w:sz w:val="28"/>
          <w:szCs w:val="28"/>
          <w:lang w:val="uk-UA"/>
        </w:rPr>
      </w:pPr>
      <w:r w:rsidRPr="00936303">
        <w:rPr>
          <w:rFonts w:ascii="Times New Roman" w:hAnsi="Times New Roman" w:cs="Times New Roman"/>
          <w:sz w:val="28"/>
          <w:szCs w:val="28"/>
          <w:lang w:val="uk-UA"/>
        </w:rPr>
        <w:t>У числі сучасних методів, які можуть слугувати неінвазивними експрес-</w:t>
      </w:r>
      <w:r>
        <w:rPr>
          <w:rFonts w:ascii="Times New Roman" w:hAnsi="Times New Roman"/>
          <w:sz w:val="28"/>
          <w:szCs w:val="28"/>
          <w:lang w:val="uk-UA"/>
        </w:rPr>
        <w:t>методами діагностики загальносоматичного стану та біомаркерами, які характеризують ефективність лікування</w:t>
      </w:r>
      <w:r w:rsidRPr="00AA4D48">
        <w:rPr>
          <w:rFonts w:ascii="Times New Roman" w:hAnsi="Times New Roman"/>
          <w:sz w:val="28"/>
          <w:szCs w:val="28"/>
          <w:lang w:val="uk-UA"/>
        </w:rPr>
        <w:t xml:space="preserve">, є цитологічне дослідження хроматину у клітинах буккального епітелію. </w:t>
      </w:r>
      <w:r>
        <w:rPr>
          <w:rFonts w:ascii="Times New Roman" w:hAnsi="Times New Roman"/>
          <w:sz w:val="28"/>
          <w:szCs w:val="28"/>
          <w:lang w:val="uk-UA"/>
        </w:rPr>
        <w:t>Ефективність методів цитологічної діагностики</w:t>
      </w:r>
      <w:r w:rsidRPr="00AA4D48">
        <w:rPr>
          <w:rFonts w:ascii="Times New Roman" w:hAnsi="Times New Roman"/>
          <w:sz w:val="28"/>
          <w:szCs w:val="28"/>
          <w:lang w:val="uk-UA"/>
        </w:rPr>
        <w:t xml:space="preserve">, що включають ідентифікацію та реєстрацію хроматину клітин, пояснюється тим, що зміни у кількості хроматину часто зустрічаються при різних захворюваннях, і в результаті зміни умов існування організму. </w:t>
      </w:r>
    </w:p>
    <w:p w14:paraId="4F721A53" w14:textId="765C90B7"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Реєстрація клітин, що мають в своєму складі різну кількість хроматину, є практично значущим і високо інформативним діагностичним показником багатьох захворювань, що дозволяють з достатньою ймов</w:t>
      </w:r>
      <w:r w:rsidR="007245B4">
        <w:rPr>
          <w:rFonts w:ascii="Times New Roman" w:hAnsi="Times New Roman"/>
          <w:sz w:val="28"/>
          <w:szCs w:val="28"/>
          <w:lang w:val="uk-UA"/>
        </w:rPr>
        <w:t>ірністю прогнозувати їх перебіг</w:t>
      </w:r>
      <w:r w:rsidRPr="00AA4D48">
        <w:rPr>
          <w:rFonts w:ascii="Times New Roman" w:hAnsi="Times New Roman"/>
          <w:sz w:val="28"/>
          <w:szCs w:val="28"/>
          <w:lang w:val="uk-UA"/>
        </w:rPr>
        <w:t xml:space="preserve"> і дає </w:t>
      </w:r>
      <w:r w:rsidR="007245B4">
        <w:rPr>
          <w:rFonts w:ascii="Times New Roman" w:hAnsi="Times New Roman"/>
          <w:sz w:val="28"/>
          <w:szCs w:val="28"/>
          <w:lang w:val="uk-UA"/>
        </w:rPr>
        <w:t>можливості</w:t>
      </w:r>
      <w:r w:rsidRPr="00AA4D48">
        <w:rPr>
          <w:rFonts w:ascii="Times New Roman" w:hAnsi="Times New Roman"/>
          <w:sz w:val="28"/>
          <w:szCs w:val="28"/>
          <w:lang w:val="uk-UA"/>
        </w:rPr>
        <w:t xml:space="preserve"> здійснювати контроль їх корекції. </w:t>
      </w:r>
    </w:p>
    <w:p w14:paraId="6768D2F5" w14:textId="77777777"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Конденсація хроматину у клітинах букального епітелію є показником наявності стрес-реакції клітин, а отже може слугувати експрес-методом діагностики при діагностиці та лікуванні захворювань порожнини рота.</w:t>
      </w:r>
    </w:p>
    <w:p w14:paraId="1B63B0F1" w14:textId="295E7A88"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Таким чином, до переваг даного тесту можна віднести можливість проводити прижиттєвий неінвазивний скринінг для визначення динаміки зміни даного показника в часі та, в порівнянні з іншими тестами, даний тест більш короткостроковий, доступний і дешевший, то</w:t>
      </w:r>
      <w:r>
        <w:rPr>
          <w:rFonts w:ascii="Times New Roman" w:hAnsi="Times New Roman"/>
          <w:sz w:val="28"/>
          <w:szCs w:val="28"/>
          <w:lang w:val="uk-UA"/>
        </w:rPr>
        <w:t xml:space="preserve">бто економічно більш вигідний. </w:t>
      </w:r>
    </w:p>
    <w:p w14:paraId="5A87DBED" w14:textId="7AC97B82" w:rsidR="00AA4D48" w:rsidRP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Основним об'єктом для проведення ц</w:t>
      </w:r>
      <w:r w:rsidR="003A3E83">
        <w:rPr>
          <w:rFonts w:ascii="Times New Roman" w:hAnsi="Times New Roman"/>
          <w:sz w:val="28"/>
          <w:szCs w:val="28"/>
          <w:lang w:val="uk-UA"/>
        </w:rPr>
        <w:t>итолог</w:t>
      </w:r>
      <w:r w:rsidRPr="00AA4D48">
        <w:rPr>
          <w:rFonts w:ascii="Times New Roman" w:hAnsi="Times New Roman"/>
          <w:sz w:val="28"/>
          <w:szCs w:val="28"/>
          <w:lang w:val="uk-UA"/>
        </w:rPr>
        <w:t xml:space="preserve">ічного дослідження на щільність хроматину у дітей є мукозальний епітелій. Це пов'язано з визнанням його координуючої позиції в реакціях, як ікерують механізмами вродженого неспецифічного та специфічного імунітету, в ініціації і стабілізації запальних процесів, які займають центральне місце в патології алергічних захворювань. Виявилося, що мукозальні епітеліоцити мають значний еффекторний потенціал у реакціях запалення і імунітету, реалізуючи його у відповідь на стимулюючі фактори екзогенної (мікроорганізми, алергени, поллютанти) і ендогенної (цитокіни та ін.) природи. Мукозальні епітеліоцити конститутивно експресують, а при активації підсилюють секрецію цитокінів (прозапальних цитокінів, хемокінів, ростових і гемопоетичних факторів), ейкозаноїдів, оксиду азоту, ендотеліну та інших пептидних медіаторів, дифенсинів, інгібіторів протизапальних агентів, цитокінових рецепторів, молекул головного комплексу гістосумісності і міжклітинних взаємодій. Завдяки цьому мукозальні епітеліоціти знаходять здатність вступати в кооперацію з індуктурами і ефекторами запалення і імунітету, такими як нейтрофіли, еозинофіли, тучні клітини, дендритні клітини, макрофаги, Т- і В лімфоцити. Це перетворює їх в активних учасників каскадних взаємодій, що визначають розвиток і регуляцію природної резистентності організму. Зміни дифференціювання епітелію, що реєструються морфологічно (розмір клітин, характер гранул, ознаки цитолізу, наявність та кількість хроматину) і електрокінетично (електрорухомість ядер), запропоновано враховувати для скринінгової оцінки стану здоров'я, стрес-впливів шкідливих факторів зовнішнього середовища, соматичної патології, біологічного віку людини. </w:t>
      </w:r>
    </w:p>
    <w:p w14:paraId="32EEB828" w14:textId="34ED7345" w:rsidR="00AA4D48" w:rsidRDefault="00AA4D48" w:rsidP="00AA4D48">
      <w:pPr>
        <w:spacing w:after="0" w:line="360" w:lineRule="auto"/>
        <w:ind w:firstLine="709"/>
        <w:jc w:val="both"/>
        <w:rPr>
          <w:rFonts w:ascii="Times New Roman" w:hAnsi="Times New Roman"/>
          <w:sz w:val="28"/>
          <w:szCs w:val="28"/>
          <w:lang w:val="uk-UA"/>
        </w:rPr>
      </w:pPr>
      <w:r w:rsidRPr="00AA4D48">
        <w:rPr>
          <w:rFonts w:ascii="Times New Roman" w:hAnsi="Times New Roman"/>
          <w:sz w:val="28"/>
          <w:szCs w:val="28"/>
          <w:lang w:val="uk-UA"/>
        </w:rPr>
        <w:t>Буккальні епітеліоцити можуть бути індикатором порушень орального, в тому числі саліварного гомеостазу. Володіючи чутливістю до різних екзогенних і ендогенних впливів, буккальні епітеліоцити піддаються функциональним змінам при різних порушеннях локального і системного гомеостаза. Про це можна судити по ряду морфофункціональних, фізіко-хім</w:t>
      </w:r>
      <w:r>
        <w:rPr>
          <w:rFonts w:ascii="Times New Roman" w:hAnsi="Times New Roman"/>
          <w:sz w:val="28"/>
          <w:szCs w:val="28"/>
          <w:lang w:val="uk-UA"/>
        </w:rPr>
        <w:t>ічних і біохімічних показників.</w:t>
      </w:r>
    </w:p>
    <w:p w14:paraId="690D50E6" w14:textId="2754599F" w:rsidR="002C3D20" w:rsidRPr="008A2500" w:rsidRDefault="00FB3A3B" w:rsidP="002C3D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Усього було досліджено 60 зразків, 30 з яких склали основну групу (група дітей з атопічними захворюваннями), 30 зразків склали контрольну групу (група дітей без атопії). </w:t>
      </w:r>
      <w:r w:rsidR="002C3D20" w:rsidRPr="003D70F3">
        <w:rPr>
          <w:rFonts w:ascii="Times New Roman" w:hAnsi="Times New Roman"/>
          <w:sz w:val="28"/>
          <w:szCs w:val="28"/>
          <w:lang w:val="uk-UA"/>
        </w:rPr>
        <w:t xml:space="preserve">За результатами цитоморфологічного дослідження букального епітелію </w:t>
      </w:r>
      <w:r w:rsidR="002C3D20" w:rsidRPr="008A2500">
        <w:rPr>
          <w:rFonts w:ascii="Times New Roman" w:hAnsi="Times New Roman"/>
          <w:sz w:val="28"/>
          <w:szCs w:val="28"/>
          <w:lang w:val="uk-UA"/>
        </w:rPr>
        <w:t xml:space="preserve">встановлено основні відмінності у структурі клітин контрольної та дослідної груп (табл. </w:t>
      </w:r>
      <w:r w:rsidR="00E6538B">
        <w:rPr>
          <w:rFonts w:ascii="Times New Roman" w:hAnsi="Times New Roman"/>
          <w:sz w:val="28"/>
          <w:szCs w:val="28"/>
          <w:lang w:val="uk-UA"/>
        </w:rPr>
        <w:t>6</w:t>
      </w:r>
      <w:r w:rsidR="008A2500" w:rsidRPr="008A2500">
        <w:rPr>
          <w:rFonts w:ascii="Times New Roman" w:hAnsi="Times New Roman"/>
          <w:sz w:val="28"/>
          <w:szCs w:val="28"/>
          <w:lang w:val="uk-UA"/>
        </w:rPr>
        <w:t>.</w:t>
      </w:r>
      <w:r w:rsidR="002C3D20" w:rsidRPr="008A2500">
        <w:rPr>
          <w:rFonts w:ascii="Times New Roman" w:hAnsi="Times New Roman"/>
          <w:sz w:val="28"/>
          <w:szCs w:val="28"/>
          <w:lang w:val="uk-UA"/>
        </w:rPr>
        <w:t>1). Згідно з отриманими даними, у дітей, хворих на атопічні захворювання, спостерігали статистично значиму різницю у показниках, які характеризують дегенеративні зміни буккальних клітин (вакуольна дистрофія, багатоядерні клітини, різноманітні включення до цитоплазми).</w:t>
      </w:r>
    </w:p>
    <w:p w14:paraId="3EE572A1" w14:textId="64E93E63" w:rsidR="002C3D20" w:rsidRPr="008A2500" w:rsidRDefault="002C3D20" w:rsidP="002C3D20">
      <w:pPr>
        <w:spacing w:after="0" w:line="360" w:lineRule="auto"/>
        <w:jc w:val="right"/>
        <w:rPr>
          <w:rFonts w:ascii="Times New Roman" w:hAnsi="Times New Roman"/>
          <w:sz w:val="28"/>
          <w:szCs w:val="28"/>
          <w:lang w:val="uk-UA"/>
        </w:rPr>
      </w:pPr>
      <w:r w:rsidRPr="008A2500">
        <w:rPr>
          <w:rFonts w:ascii="Times New Roman" w:hAnsi="Times New Roman"/>
          <w:sz w:val="28"/>
          <w:szCs w:val="28"/>
          <w:lang w:val="uk-UA"/>
        </w:rPr>
        <w:t xml:space="preserve">Таблиця </w:t>
      </w:r>
      <w:r w:rsidR="00D0270E">
        <w:rPr>
          <w:rFonts w:ascii="Times New Roman" w:hAnsi="Times New Roman"/>
          <w:sz w:val="28"/>
          <w:szCs w:val="28"/>
          <w:lang w:val="uk-UA"/>
        </w:rPr>
        <w:t>6</w:t>
      </w:r>
      <w:r w:rsidR="008A2500" w:rsidRPr="008A2500">
        <w:rPr>
          <w:rFonts w:ascii="Times New Roman" w:hAnsi="Times New Roman"/>
          <w:sz w:val="28"/>
          <w:szCs w:val="28"/>
          <w:lang w:val="uk-UA"/>
        </w:rPr>
        <w:t xml:space="preserve">. </w:t>
      </w:r>
      <w:r w:rsidRPr="008A2500">
        <w:rPr>
          <w:rFonts w:ascii="Times New Roman" w:hAnsi="Times New Roman"/>
          <w:sz w:val="28"/>
          <w:szCs w:val="28"/>
          <w:lang w:val="uk-UA"/>
        </w:rPr>
        <w:t>1</w:t>
      </w:r>
    </w:p>
    <w:p w14:paraId="036B539F" w14:textId="77777777" w:rsidR="002C3D20" w:rsidRPr="008A2500" w:rsidRDefault="002C3D20" w:rsidP="002C3D20">
      <w:pPr>
        <w:spacing w:after="0" w:line="360" w:lineRule="auto"/>
        <w:jc w:val="center"/>
        <w:rPr>
          <w:rFonts w:ascii="Times New Roman" w:hAnsi="Times New Roman"/>
          <w:sz w:val="28"/>
          <w:szCs w:val="28"/>
          <w:lang w:val="uk-UA"/>
        </w:rPr>
      </w:pPr>
      <w:r w:rsidRPr="008A2500">
        <w:rPr>
          <w:rFonts w:ascii="Times New Roman" w:hAnsi="Times New Roman"/>
          <w:sz w:val="28"/>
          <w:szCs w:val="28"/>
          <w:lang w:val="uk-UA"/>
        </w:rPr>
        <w:t>Цитоморфологічні показники клітин букального епітелію у обстежених пацієнтів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9"/>
        <w:gridCol w:w="2609"/>
        <w:gridCol w:w="2279"/>
      </w:tblGrid>
      <w:tr w:rsidR="002C3D20" w:rsidRPr="008A2500" w14:paraId="6EC367FD" w14:textId="77777777" w:rsidTr="00272D39">
        <w:tc>
          <w:tcPr>
            <w:tcW w:w="4968" w:type="dxa"/>
          </w:tcPr>
          <w:p w14:paraId="4773B907"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Досліджувані показники</w:t>
            </w:r>
          </w:p>
        </w:tc>
        <w:tc>
          <w:tcPr>
            <w:tcW w:w="2700" w:type="dxa"/>
          </w:tcPr>
          <w:p w14:paraId="3D8E1936"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Контрольна група</w:t>
            </w:r>
          </w:p>
        </w:tc>
        <w:tc>
          <w:tcPr>
            <w:tcW w:w="2340" w:type="dxa"/>
          </w:tcPr>
          <w:p w14:paraId="0F69F407"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Дослідна група</w:t>
            </w:r>
          </w:p>
        </w:tc>
      </w:tr>
      <w:tr w:rsidR="002C3D20" w:rsidRPr="008A2500" w14:paraId="73C9FA39" w14:textId="77777777" w:rsidTr="00272D39">
        <w:tc>
          <w:tcPr>
            <w:tcW w:w="4968" w:type="dxa"/>
          </w:tcPr>
          <w:p w14:paraId="59793EA2"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Високий ступінь конденсації хроматину</w:t>
            </w:r>
          </w:p>
        </w:tc>
        <w:tc>
          <w:tcPr>
            <w:tcW w:w="2700" w:type="dxa"/>
          </w:tcPr>
          <w:p w14:paraId="1B64B21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21,67±0,25</w:t>
            </w:r>
          </w:p>
        </w:tc>
        <w:tc>
          <w:tcPr>
            <w:tcW w:w="2340" w:type="dxa"/>
          </w:tcPr>
          <w:p w14:paraId="01109252"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83,25±0,95*</w:t>
            </w:r>
          </w:p>
        </w:tc>
      </w:tr>
      <w:tr w:rsidR="002C3D20" w:rsidRPr="008A2500" w14:paraId="30B9EA2C" w14:textId="77777777" w:rsidTr="00272D39">
        <w:tc>
          <w:tcPr>
            <w:tcW w:w="4968" w:type="dxa"/>
          </w:tcPr>
          <w:p w14:paraId="269163E1"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Багатоядерні клітини</w:t>
            </w:r>
          </w:p>
        </w:tc>
        <w:tc>
          <w:tcPr>
            <w:tcW w:w="2700" w:type="dxa"/>
          </w:tcPr>
          <w:p w14:paraId="32B187D4"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0,51±0,15</w:t>
            </w:r>
          </w:p>
        </w:tc>
        <w:tc>
          <w:tcPr>
            <w:tcW w:w="2340" w:type="dxa"/>
          </w:tcPr>
          <w:p w14:paraId="5FB4A8BB"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2,29±0,32*</w:t>
            </w:r>
          </w:p>
        </w:tc>
      </w:tr>
      <w:tr w:rsidR="002C3D20" w:rsidRPr="008A2500" w14:paraId="74361D27" w14:textId="77777777" w:rsidTr="00272D39">
        <w:tc>
          <w:tcPr>
            <w:tcW w:w="4968" w:type="dxa"/>
          </w:tcPr>
          <w:p w14:paraId="67596476"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Мілкокрапельні включення в цитоплазмі</w:t>
            </w:r>
          </w:p>
        </w:tc>
        <w:tc>
          <w:tcPr>
            <w:tcW w:w="2700" w:type="dxa"/>
          </w:tcPr>
          <w:p w14:paraId="6B6FF1D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1,42±0,35</w:t>
            </w:r>
          </w:p>
        </w:tc>
        <w:tc>
          <w:tcPr>
            <w:tcW w:w="2340" w:type="dxa"/>
          </w:tcPr>
          <w:p w14:paraId="409D78F5"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2,95±0,41</w:t>
            </w:r>
          </w:p>
        </w:tc>
      </w:tr>
      <w:tr w:rsidR="002C3D20" w:rsidRPr="008A2500" w14:paraId="64842542" w14:textId="77777777" w:rsidTr="00272D39">
        <w:tc>
          <w:tcPr>
            <w:tcW w:w="4968" w:type="dxa"/>
          </w:tcPr>
          <w:p w14:paraId="5B094C50" w14:textId="77ABD1D9" w:rsidR="002C3D20" w:rsidRPr="008A2500" w:rsidRDefault="00CD0C56" w:rsidP="002C3D20">
            <w:pPr>
              <w:spacing w:after="0" w:line="360" w:lineRule="auto"/>
              <w:jc w:val="both"/>
              <w:rPr>
                <w:rFonts w:ascii="Times New Roman" w:hAnsi="Times New Roman"/>
                <w:sz w:val="28"/>
                <w:szCs w:val="28"/>
                <w:lang w:val="uk-UA"/>
              </w:rPr>
            </w:pPr>
            <w:r>
              <w:rPr>
                <w:rFonts w:ascii="Times New Roman" w:hAnsi="Times New Roman"/>
                <w:sz w:val="28"/>
                <w:szCs w:val="28"/>
                <w:lang w:val="uk-UA"/>
              </w:rPr>
              <w:t>Крупнокрапельні включенн</w:t>
            </w:r>
            <w:r w:rsidR="002C3D20" w:rsidRPr="008A2500">
              <w:rPr>
                <w:rFonts w:ascii="Times New Roman" w:hAnsi="Times New Roman"/>
                <w:sz w:val="28"/>
                <w:szCs w:val="28"/>
                <w:lang w:val="uk-UA"/>
              </w:rPr>
              <w:t>я в цитоплазмі</w:t>
            </w:r>
          </w:p>
        </w:tc>
        <w:tc>
          <w:tcPr>
            <w:tcW w:w="2700" w:type="dxa"/>
          </w:tcPr>
          <w:p w14:paraId="0EC18FAD"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2,27±0,22</w:t>
            </w:r>
          </w:p>
        </w:tc>
        <w:tc>
          <w:tcPr>
            <w:tcW w:w="2340" w:type="dxa"/>
          </w:tcPr>
          <w:p w14:paraId="32B1A7EE" w14:textId="77777777" w:rsidR="002C3D20" w:rsidRPr="008A2500"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7,26±0,86*</w:t>
            </w:r>
          </w:p>
        </w:tc>
      </w:tr>
    </w:tbl>
    <w:p w14:paraId="6B211BFB" w14:textId="7046B703" w:rsidR="002C3D20" w:rsidRPr="008A2500" w:rsidRDefault="002C3D20" w:rsidP="00A448F8">
      <w:pPr>
        <w:spacing w:after="0" w:line="360" w:lineRule="auto"/>
        <w:jc w:val="both"/>
        <w:rPr>
          <w:rFonts w:ascii="Times New Roman" w:hAnsi="Times New Roman"/>
          <w:sz w:val="28"/>
          <w:szCs w:val="28"/>
          <w:lang w:val="uk-UA"/>
        </w:rPr>
      </w:pPr>
      <w:r w:rsidRPr="008A2500">
        <w:rPr>
          <w:rFonts w:ascii="Times New Roman" w:hAnsi="Times New Roman"/>
          <w:sz w:val="28"/>
          <w:szCs w:val="28"/>
          <w:lang w:val="uk-UA"/>
        </w:rPr>
        <w:t>Примітка: * - різниця статистично значима у по</w:t>
      </w:r>
      <w:r w:rsidR="00A448F8">
        <w:rPr>
          <w:rFonts w:ascii="Times New Roman" w:hAnsi="Times New Roman"/>
          <w:sz w:val="28"/>
          <w:szCs w:val="28"/>
          <w:lang w:val="uk-UA"/>
        </w:rPr>
        <w:t xml:space="preserve">рівнянні з контролем p&lt;0,05 </w:t>
      </w:r>
    </w:p>
    <w:p w14:paraId="2F362C44" w14:textId="1E57C0D0" w:rsidR="002C3D20" w:rsidRPr="008A2500" w:rsidRDefault="002C3D20" w:rsidP="00D0270E">
      <w:pPr>
        <w:spacing w:after="0" w:line="360" w:lineRule="auto"/>
        <w:ind w:firstLine="709"/>
        <w:jc w:val="both"/>
        <w:rPr>
          <w:rFonts w:ascii="Times New Roman" w:hAnsi="Times New Roman"/>
          <w:sz w:val="28"/>
          <w:szCs w:val="28"/>
          <w:lang w:val="uk-UA"/>
        </w:rPr>
      </w:pPr>
      <w:r w:rsidRPr="008A2500">
        <w:rPr>
          <w:rFonts w:ascii="Times New Roman" w:hAnsi="Times New Roman"/>
          <w:sz w:val="28"/>
          <w:szCs w:val="28"/>
          <w:lang w:val="uk-UA"/>
        </w:rPr>
        <w:t xml:space="preserve">Найбільш значущою при порівнянні контрольної та дослідної групи є різниця у ступеню конденсації хроматину (83,25±0,95 у дослідній групі) та кількість гетерохромних ядер, а також наявність апоптозних клітин (рис. 1). В той же час у соматично здорових дітей переважали клітини з незміненою структурою хроматину та незначною кількістю гетерохромних ядер, що характерно для нормального функціонування клітин (рис. </w:t>
      </w:r>
      <w:r w:rsidR="00D0270E">
        <w:rPr>
          <w:rFonts w:ascii="Times New Roman" w:hAnsi="Times New Roman"/>
          <w:sz w:val="28"/>
          <w:szCs w:val="28"/>
          <w:lang w:val="uk-UA"/>
        </w:rPr>
        <w:t>6</w:t>
      </w:r>
      <w:r w:rsidR="008A2500">
        <w:rPr>
          <w:rFonts w:ascii="Times New Roman" w:hAnsi="Times New Roman"/>
          <w:sz w:val="28"/>
          <w:szCs w:val="28"/>
          <w:lang w:val="uk-UA"/>
        </w:rPr>
        <w:t xml:space="preserve">. </w:t>
      </w:r>
      <w:r w:rsidR="00D0270E">
        <w:rPr>
          <w:rFonts w:ascii="Times New Roman" w:hAnsi="Times New Roman"/>
          <w:sz w:val="28"/>
          <w:szCs w:val="28"/>
          <w:lang w:val="uk-UA"/>
        </w:rPr>
        <w:t xml:space="preserve">2). </w:t>
      </w:r>
    </w:p>
    <w:p w14:paraId="4C4D05A5" w14:textId="2A1D13D9" w:rsidR="002C3D20" w:rsidRPr="003D70F3" w:rsidRDefault="002C3D20" w:rsidP="002C3D20">
      <w:pPr>
        <w:spacing w:after="0" w:line="360" w:lineRule="auto"/>
        <w:rPr>
          <w:rFonts w:ascii="Times New Roman" w:hAnsi="Times New Roman"/>
          <w:sz w:val="28"/>
          <w:szCs w:val="28"/>
          <w:lang w:val="ru-RU"/>
        </w:rPr>
      </w:pPr>
      <w:r w:rsidRPr="003D70F3">
        <w:rPr>
          <w:rFonts w:ascii="Times New Roman" w:hAnsi="Times New Roman"/>
          <w:noProof/>
          <w:sz w:val="28"/>
          <w:szCs w:val="28"/>
        </w:rPr>
        <w:drawing>
          <wp:inline distT="0" distB="0" distL="0" distR="0" wp14:anchorId="2ADDEDA7" wp14:editId="4EBB09A0">
            <wp:extent cx="4231294" cy="3171825"/>
            <wp:effectExtent l="0" t="0" r="0" b="0"/>
            <wp:docPr id="18" name="Picture 18" descr="D:\D2\Pervichka\Microscope\20160219_133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2\Pervichka\Microscope\20160219_133349.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36300" cy="3175578"/>
                    </a:xfrm>
                    <a:prstGeom prst="rect">
                      <a:avLst/>
                    </a:prstGeom>
                    <a:noFill/>
                    <a:ln>
                      <a:noFill/>
                    </a:ln>
                  </pic:spPr>
                </pic:pic>
              </a:graphicData>
            </a:graphic>
          </wp:inline>
        </w:drawing>
      </w:r>
    </w:p>
    <w:p w14:paraId="41DE55B8" w14:textId="58791768" w:rsidR="002C3D20" w:rsidRPr="00A067B5" w:rsidRDefault="002C3D20" w:rsidP="002C3D20">
      <w:pPr>
        <w:spacing w:after="0" w:line="360" w:lineRule="auto"/>
        <w:jc w:val="both"/>
        <w:rPr>
          <w:rFonts w:ascii="Times New Roman" w:hAnsi="Times New Roman"/>
          <w:sz w:val="28"/>
          <w:szCs w:val="28"/>
          <w:lang w:val="uk-UA"/>
        </w:rPr>
      </w:pPr>
      <w:r w:rsidRPr="008A2500">
        <w:rPr>
          <w:rFonts w:ascii="Times New Roman" w:hAnsi="Times New Roman"/>
          <w:sz w:val="28"/>
          <w:szCs w:val="28"/>
          <w:lang w:val="ru-RU"/>
        </w:rPr>
        <w:t xml:space="preserve">Рис. </w:t>
      </w:r>
      <w:r w:rsidR="00D0270E">
        <w:rPr>
          <w:rFonts w:ascii="Times New Roman" w:hAnsi="Times New Roman"/>
          <w:sz w:val="28"/>
          <w:szCs w:val="28"/>
          <w:lang w:val="ru-RU"/>
        </w:rPr>
        <w:t>6</w:t>
      </w:r>
      <w:r w:rsidR="008A2500" w:rsidRPr="008A2500">
        <w:rPr>
          <w:rFonts w:ascii="Times New Roman" w:hAnsi="Times New Roman"/>
          <w:sz w:val="28"/>
          <w:szCs w:val="28"/>
          <w:lang w:val="ru-RU"/>
        </w:rPr>
        <w:t xml:space="preserve">. </w:t>
      </w:r>
      <w:r w:rsidRPr="008A2500">
        <w:rPr>
          <w:rFonts w:ascii="Times New Roman" w:hAnsi="Times New Roman"/>
          <w:sz w:val="28"/>
          <w:szCs w:val="28"/>
          <w:lang w:val="ru-RU"/>
        </w:rPr>
        <w:t>1. Зра</w:t>
      </w:r>
      <w:r w:rsidRPr="003D70F3">
        <w:rPr>
          <w:rFonts w:ascii="Times New Roman" w:hAnsi="Times New Roman"/>
          <w:sz w:val="28"/>
          <w:szCs w:val="28"/>
          <w:lang w:val="ru-RU"/>
        </w:rPr>
        <w:t xml:space="preserve">зки контрольної групи. </w:t>
      </w:r>
      <w:r>
        <w:rPr>
          <w:rFonts w:ascii="Times New Roman" w:hAnsi="Times New Roman"/>
          <w:sz w:val="28"/>
          <w:szCs w:val="28"/>
          <w:lang w:val="ru-RU"/>
        </w:rPr>
        <w:t xml:space="preserve">Збільшення 1000 р. Забарвлення </w:t>
      </w:r>
      <w:r w:rsidRPr="003D70F3">
        <w:rPr>
          <w:rFonts w:ascii="Times New Roman" w:hAnsi="Times New Roman"/>
          <w:sz w:val="28"/>
          <w:szCs w:val="28"/>
          <w:lang w:val="uk-UA"/>
        </w:rPr>
        <w:t>1% розчином ацетоорсеїну</w:t>
      </w:r>
      <w:r>
        <w:rPr>
          <w:rFonts w:ascii="Times New Roman" w:hAnsi="Times New Roman"/>
          <w:sz w:val="28"/>
          <w:szCs w:val="28"/>
          <w:lang w:val="uk-UA"/>
        </w:rPr>
        <w:t>.</w:t>
      </w:r>
      <w:r w:rsidRPr="003D70F3">
        <w:rPr>
          <w:rFonts w:ascii="Times New Roman" w:hAnsi="Times New Roman"/>
          <w:sz w:val="28"/>
          <w:szCs w:val="28"/>
          <w:lang w:val="uk-UA"/>
        </w:rPr>
        <w:t xml:space="preserve"> </w:t>
      </w:r>
      <w:r w:rsidRPr="00A067B5">
        <w:rPr>
          <w:rFonts w:ascii="Times New Roman" w:hAnsi="Times New Roman"/>
          <w:sz w:val="28"/>
          <w:szCs w:val="28"/>
          <w:lang w:val="uk-UA"/>
        </w:rPr>
        <w:t>Букальний епітелій має незначну кількість гетерохроматинізованих ядер, незначну кількість мілкокрапельних включень. Ці зміни характерні для нормального функціонування клітин.</w:t>
      </w:r>
    </w:p>
    <w:p w14:paraId="098B5854" w14:textId="77777777" w:rsidR="002C3D20" w:rsidRPr="00A067B5" w:rsidRDefault="002C3D20" w:rsidP="002C3D20">
      <w:pPr>
        <w:spacing w:after="0" w:line="360" w:lineRule="auto"/>
        <w:rPr>
          <w:rFonts w:ascii="Times New Roman" w:hAnsi="Times New Roman"/>
          <w:sz w:val="28"/>
          <w:szCs w:val="28"/>
          <w:lang w:val="uk-UA"/>
        </w:rPr>
      </w:pPr>
    </w:p>
    <w:p w14:paraId="41C831E2" w14:textId="78E6A37C" w:rsidR="002C3D20" w:rsidRPr="003D70F3" w:rsidRDefault="002C3D20" w:rsidP="002C3D20">
      <w:pPr>
        <w:spacing w:after="0" w:line="360" w:lineRule="auto"/>
        <w:rPr>
          <w:rFonts w:ascii="Times New Roman" w:hAnsi="Times New Roman"/>
          <w:sz w:val="28"/>
          <w:szCs w:val="28"/>
          <w:lang w:val="ru-RU"/>
        </w:rPr>
      </w:pPr>
      <w:r w:rsidRPr="003D70F3">
        <w:rPr>
          <w:rFonts w:ascii="Times New Roman" w:hAnsi="Times New Roman"/>
          <w:noProof/>
          <w:sz w:val="28"/>
          <w:szCs w:val="28"/>
        </w:rPr>
        <w:drawing>
          <wp:inline distT="0" distB="0" distL="0" distR="0" wp14:anchorId="1EF2F0D1" wp14:editId="20691513">
            <wp:extent cx="4256718" cy="3238500"/>
            <wp:effectExtent l="0" t="0" r="0" b="0"/>
            <wp:docPr id="17" name="Picture 17" descr="D:\D2\Pervichka\Microscope\20160219_132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2\Pervichka\Microscope\20160219_132525.jpg"/>
                    <pic:cNvPicPr>
                      <a:picLocks noChangeAspect="1" noChangeArrowheads="1"/>
                    </pic:cNvPicPr>
                  </pic:nvPicPr>
                  <pic:blipFill>
                    <a:blip r:embed="rId41" cstate="print">
                      <a:extLst>
                        <a:ext uri="{28A0092B-C50C-407E-A947-70E740481C1C}">
                          <a14:useLocalDpi xmlns:a14="http://schemas.microsoft.com/office/drawing/2010/main" val="0"/>
                        </a:ext>
                      </a:extLst>
                    </a:blip>
                    <a:srcRect r="1952" b="2548"/>
                    <a:stretch>
                      <a:fillRect/>
                    </a:stretch>
                  </pic:blipFill>
                  <pic:spPr bwMode="auto">
                    <a:xfrm>
                      <a:off x="0" y="0"/>
                      <a:ext cx="4264167" cy="3244167"/>
                    </a:xfrm>
                    <a:prstGeom prst="rect">
                      <a:avLst/>
                    </a:prstGeom>
                    <a:noFill/>
                    <a:ln>
                      <a:noFill/>
                    </a:ln>
                  </pic:spPr>
                </pic:pic>
              </a:graphicData>
            </a:graphic>
          </wp:inline>
        </w:drawing>
      </w:r>
    </w:p>
    <w:p w14:paraId="6A27F4CF" w14:textId="63E7DDCE" w:rsidR="002C3D20" w:rsidRPr="00A448F8" w:rsidRDefault="002C3D20" w:rsidP="00A448F8">
      <w:pPr>
        <w:spacing w:after="0" w:line="360" w:lineRule="auto"/>
        <w:jc w:val="both"/>
        <w:rPr>
          <w:rFonts w:ascii="Times New Roman" w:hAnsi="Times New Roman"/>
          <w:sz w:val="28"/>
          <w:szCs w:val="28"/>
          <w:lang w:val="ru-RU"/>
        </w:rPr>
      </w:pPr>
      <w:r w:rsidRPr="008A2500">
        <w:rPr>
          <w:rFonts w:ascii="Times New Roman" w:hAnsi="Times New Roman"/>
          <w:sz w:val="28"/>
          <w:szCs w:val="28"/>
          <w:lang w:val="ru-RU"/>
        </w:rPr>
        <w:t xml:space="preserve">Рис. </w:t>
      </w:r>
      <w:r w:rsidR="00D0270E">
        <w:rPr>
          <w:rFonts w:ascii="Times New Roman" w:hAnsi="Times New Roman"/>
          <w:sz w:val="28"/>
          <w:szCs w:val="28"/>
          <w:lang w:val="ru-RU"/>
        </w:rPr>
        <w:t>6</w:t>
      </w:r>
      <w:r w:rsidR="008A2500" w:rsidRPr="008A2500">
        <w:rPr>
          <w:rFonts w:ascii="Times New Roman" w:hAnsi="Times New Roman"/>
          <w:sz w:val="28"/>
          <w:szCs w:val="28"/>
          <w:lang w:val="ru-RU"/>
        </w:rPr>
        <w:t xml:space="preserve">. </w:t>
      </w:r>
      <w:r w:rsidRPr="008A2500">
        <w:rPr>
          <w:rFonts w:ascii="Times New Roman" w:hAnsi="Times New Roman"/>
          <w:sz w:val="28"/>
          <w:szCs w:val="28"/>
          <w:lang w:val="ru-RU"/>
        </w:rPr>
        <w:t>2. Дослідна</w:t>
      </w:r>
      <w:r w:rsidRPr="003D70F3">
        <w:rPr>
          <w:rFonts w:ascii="Times New Roman" w:hAnsi="Times New Roman"/>
          <w:sz w:val="28"/>
          <w:szCs w:val="28"/>
          <w:lang w:val="ru-RU"/>
        </w:rPr>
        <w:t xml:space="preserve"> група. </w:t>
      </w:r>
      <w:r>
        <w:rPr>
          <w:rFonts w:ascii="Times New Roman" w:hAnsi="Times New Roman"/>
          <w:sz w:val="28"/>
          <w:szCs w:val="28"/>
          <w:lang w:val="ru-RU"/>
        </w:rPr>
        <w:t xml:space="preserve">Збільшення 400 р. Забарвлення </w:t>
      </w:r>
      <w:r w:rsidRPr="003D70F3">
        <w:rPr>
          <w:rFonts w:ascii="Times New Roman" w:hAnsi="Times New Roman"/>
          <w:sz w:val="28"/>
          <w:szCs w:val="28"/>
          <w:lang w:val="uk-UA"/>
        </w:rPr>
        <w:t>1% розчином ацетоорсеїну</w:t>
      </w:r>
      <w:r>
        <w:rPr>
          <w:rFonts w:ascii="Times New Roman" w:hAnsi="Times New Roman"/>
          <w:sz w:val="28"/>
          <w:szCs w:val="28"/>
          <w:lang w:val="uk-UA"/>
        </w:rPr>
        <w:t>.</w:t>
      </w:r>
      <w:r w:rsidRPr="003D70F3">
        <w:rPr>
          <w:rFonts w:ascii="Times New Roman" w:hAnsi="Times New Roman"/>
          <w:sz w:val="28"/>
          <w:szCs w:val="28"/>
          <w:lang w:val="uk-UA"/>
        </w:rPr>
        <w:t xml:space="preserve"> </w:t>
      </w:r>
      <w:r w:rsidRPr="003D70F3">
        <w:rPr>
          <w:rFonts w:ascii="Times New Roman" w:hAnsi="Times New Roman"/>
          <w:sz w:val="28"/>
          <w:szCs w:val="28"/>
          <w:lang w:val="ru-RU"/>
        </w:rPr>
        <w:t>Характерні грубозерниста структура хроматину, гетерохроматинізовані ядра, зустрічаються також двоядерні та апоптозні клітини.</w:t>
      </w:r>
    </w:p>
    <w:p w14:paraId="19E799F8" w14:textId="54560894" w:rsidR="002C3D20" w:rsidRPr="003D70F3" w:rsidRDefault="002C3D20" w:rsidP="002C3D20">
      <w:pPr>
        <w:spacing w:after="0" w:line="360" w:lineRule="auto"/>
        <w:ind w:firstLine="709"/>
        <w:jc w:val="both"/>
        <w:rPr>
          <w:rFonts w:ascii="Times New Roman" w:hAnsi="Times New Roman"/>
          <w:sz w:val="28"/>
          <w:szCs w:val="28"/>
          <w:lang w:val="uk-UA"/>
        </w:rPr>
      </w:pPr>
      <w:r w:rsidRPr="003D70F3">
        <w:rPr>
          <w:rFonts w:ascii="Times New Roman" w:hAnsi="Times New Roman"/>
          <w:sz w:val="28"/>
          <w:szCs w:val="28"/>
          <w:lang w:val="uk-UA"/>
        </w:rPr>
        <w:t>Цитологічні зміни, виявлені у дослідній групі, свідчать про сформовані порушення функціонального стану генома внаслідок впливу факторів як екзогенного, так і ендогенного походження, що можуть призвести до загибелі клітин. Найбільш вагомим з таких факторів може бути наявність атопічного захворювання, яке є хронічним та має рекурентну природу, що не може не впливати на імунологічну резистентність організму та на окис</w:t>
      </w:r>
      <w:r w:rsidR="00A448F8">
        <w:rPr>
          <w:rFonts w:ascii="Times New Roman" w:hAnsi="Times New Roman"/>
          <w:sz w:val="28"/>
          <w:szCs w:val="28"/>
          <w:lang w:val="uk-UA"/>
        </w:rPr>
        <w:t>лювально-відновні процеси</w:t>
      </w:r>
      <w:r w:rsidRPr="003D70F3">
        <w:rPr>
          <w:rFonts w:ascii="Times New Roman" w:hAnsi="Times New Roman"/>
          <w:sz w:val="28"/>
          <w:szCs w:val="28"/>
          <w:lang w:val="uk-UA"/>
        </w:rPr>
        <w:t>. При цьому виявлені зміни стоматологічного статусу, а саме, наявність гінгівіту свідчить про зміни мукозального місцевого імунітету, яке, скоріш за все, є наслідком впливу основного захворювання.</w:t>
      </w:r>
    </w:p>
    <w:p w14:paraId="7B6CB3DB" w14:textId="7B4F310E" w:rsidR="002C3D20" w:rsidRDefault="002C3D20" w:rsidP="002C3D20">
      <w:pPr>
        <w:spacing w:line="360" w:lineRule="auto"/>
        <w:ind w:firstLine="709"/>
        <w:jc w:val="both"/>
        <w:rPr>
          <w:rFonts w:ascii="Times New Roman" w:hAnsi="Times New Roman"/>
          <w:sz w:val="28"/>
          <w:szCs w:val="28"/>
          <w:lang w:val="uk-UA"/>
        </w:rPr>
      </w:pPr>
      <w:r w:rsidRPr="003D70F3">
        <w:rPr>
          <w:rFonts w:ascii="Times New Roman" w:hAnsi="Times New Roman"/>
          <w:sz w:val="28"/>
          <w:szCs w:val="28"/>
          <w:lang w:val="uk-UA"/>
        </w:rPr>
        <w:t>Проведене дослідження демонструє наявність цитологічних змін клітин букального епітелію у дітей з атопічними захворюваннями у порівнянні з соматично здоровими дітьми</w:t>
      </w:r>
      <w:r w:rsidR="00B54C47">
        <w:rPr>
          <w:rFonts w:ascii="Times New Roman" w:hAnsi="Times New Roman"/>
          <w:sz w:val="28"/>
          <w:szCs w:val="28"/>
          <w:lang w:val="uk-UA"/>
        </w:rPr>
        <w:t xml:space="preserve"> </w:t>
      </w:r>
      <w:r w:rsidR="00B54C47" w:rsidRPr="00B54C47">
        <w:rPr>
          <w:rFonts w:ascii="Times New Roman" w:hAnsi="Times New Roman"/>
          <w:sz w:val="28"/>
          <w:szCs w:val="28"/>
          <w:lang w:val="uk-UA"/>
        </w:rPr>
        <w:t>[265]</w:t>
      </w:r>
      <w:r w:rsidRPr="003D70F3">
        <w:rPr>
          <w:rFonts w:ascii="Times New Roman" w:hAnsi="Times New Roman"/>
          <w:sz w:val="28"/>
          <w:szCs w:val="28"/>
          <w:lang w:val="uk-UA"/>
        </w:rPr>
        <w:t xml:space="preserve">. У той же час, стоматологічний статус дітей з атопічними захворюваннями проявляється запаленням тканин пародонту, а саме гінгівіту. Комплексний аналіз цитологічних та стоматологічних показників дозволяє зробити висновок про наявність ризику для розвитку захворювань тканин пародонту у дітей з атопічними захворюваннями. Проведене дослідження демонструє можливість використання клітин букального епітелію для проведення скринінгових неінвазивних досліджень функціонального стану </w:t>
      </w:r>
      <w:r w:rsidR="000671EB">
        <w:rPr>
          <w:rFonts w:ascii="Times New Roman" w:hAnsi="Times New Roman"/>
          <w:sz w:val="28"/>
          <w:szCs w:val="28"/>
          <w:lang w:val="uk-UA"/>
        </w:rPr>
        <w:t>організму дітей. П</w:t>
      </w:r>
      <w:r w:rsidRPr="003D70F3">
        <w:rPr>
          <w:rFonts w:ascii="Times New Roman" w:hAnsi="Times New Roman"/>
          <w:sz w:val="28"/>
          <w:szCs w:val="28"/>
          <w:lang w:val="uk-UA"/>
        </w:rPr>
        <w:t>ри поєднанні даного виду дослідження з іншими можливе покращення ранньої діагности</w:t>
      </w:r>
      <w:r w:rsidR="000671EB">
        <w:rPr>
          <w:rFonts w:ascii="Times New Roman" w:hAnsi="Times New Roman"/>
          <w:sz w:val="28"/>
          <w:szCs w:val="28"/>
          <w:lang w:val="uk-UA"/>
        </w:rPr>
        <w:t>ки захворювань тканин пародонту.</w:t>
      </w:r>
    </w:p>
    <w:p w14:paraId="01DD0EDC" w14:textId="77777777" w:rsidR="000671EB" w:rsidRPr="00936303" w:rsidRDefault="000671EB" w:rsidP="00936303">
      <w:pPr>
        <w:spacing w:line="360" w:lineRule="auto"/>
        <w:ind w:firstLine="709"/>
        <w:jc w:val="both"/>
        <w:rPr>
          <w:rFonts w:ascii="Times New Roman" w:hAnsi="Times New Roman" w:cs="Times New Roman"/>
          <w:sz w:val="28"/>
          <w:szCs w:val="28"/>
          <w:lang w:val="uk-UA"/>
        </w:rPr>
      </w:pPr>
    </w:p>
    <w:p w14:paraId="02112F14" w14:textId="029B0793" w:rsidR="0004727D" w:rsidRPr="00936303" w:rsidRDefault="00D0270E" w:rsidP="00936303">
      <w:pPr>
        <w:pStyle w:val="Heading3"/>
        <w:spacing w:line="360" w:lineRule="auto"/>
        <w:ind w:firstLine="709"/>
        <w:rPr>
          <w:rFonts w:ascii="Times New Roman" w:hAnsi="Times New Roman" w:cs="Times New Roman"/>
          <w:color w:val="auto"/>
          <w:sz w:val="28"/>
          <w:szCs w:val="28"/>
          <w:lang w:val="uk-UA"/>
        </w:rPr>
      </w:pPr>
      <w:bookmarkStart w:id="28" w:name="_Toc507575321"/>
      <w:r w:rsidRPr="00936303">
        <w:rPr>
          <w:rFonts w:ascii="Times New Roman" w:hAnsi="Times New Roman" w:cs="Times New Roman"/>
          <w:color w:val="auto"/>
          <w:sz w:val="28"/>
          <w:szCs w:val="28"/>
          <w:lang w:val="uk-UA"/>
        </w:rPr>
        <w:t>6</w:t>
      </w:r>
      <w:r w:rsidR="008A2500" w:rsidRPr="00936303">
        <w:rPr>
          <w:rFonts w:ascii="Times New Roman" w:hAnsi="Times New Roman" w:cs="Times New Roman"/>
          <w:color w:val="auto"/>
          <w:sz w:val="28"/>
          <w:szCs w:val="28"/>
          <w:lang w:val="uk-UA"/>
        </w:rPr>
        <w:t xml:space="preserve">.2 </w:t>
      </w:r>
      <w:r w:rsidR="007F5F67" w:rsidRPr="00936303">
        <w:rPr>
          <w:rFonts w:ascii="Times New Roman" w:hAnsi="Times New Roman" w:cs="Times New Roman"/>
          <w:color w:val="auto"/>
          <w:sz w:val="28"/>
          <w:szCs w:val="28"/>
          <w:lang w:val="uk-UA"/>
        </w:rPr>
        <w:t xml:space="preserve">Результати </w:t>
      </w:r>
      <w:r w:rsidR="008A2500" w:rsidRPr="00936303">
        <w:rPr>
          <w:rFonts w:ascii="Times New Roman" w:hAnsi="Times New Roman" w:cs="Times New Roman"/>
          <w:color w:val="auto"/>
          <w:sz w:val="28"/>
          <w:szCs w:val="28"/>
          <w:lang w:val="uk-UA"/>
        </w:rPr>
        <w:t>досліджень предикторів</w:t>
      </w:r>
      <w:r w:rsidR="003C06E2" w:rsidRPr="00936303">
        <w:rPr>
          <w:rFonts w:ascii="Times New Roman" w:hAnsi="Times New Roman" w:cs="Times New Roman"/>
          <w:color w:val="auto"/>
          <w:sz w:val="28"/>
          <w:szCs w:val="28"/>
          <w:lang w:val="ru-RU"/>
        </w:rPr>
        <w:t xml:space="preserve"> </w:t>
      </w:r>
      <w:r w:rsidR="003C06E2" w:rsidRPr="00936303">
        <w:rPr>
          <w:rFonts w:ascii="Times New Roman" w:hAnsi="Times New Roman" w:cs="Times New Roman"/>
          <w:color w:val="auto"/>
          <w:sz w:val="28"/>
          <w:szCs w:val="28"/>
          <w:lang w:val="uk-UA"/>
        </w:rPr>
        <w:t>схильності до</w:t>
      </w:r>
      <w:r w:rsidR="008A2500" w:rsidRPr="00936303">
        <w:rPr>
          <w:rFonts w:ascii="Times New Roman" w:hAnsi="Times New Roman" w:cs="Times New Roman"/>
          <w:color w:val="auto"/>
          <w:sz w:val="28"/>
          <w:szCs w:val="28"/>
          <w:lang w:val="uk-UA"/>
        </w:rPr>
        <w:t xml:space="preserve"> розвитку стоматологічної патології</w:t>
      </w:r>
      <w:r w:rsidR="0098325E">
        <w:rPr>
          <w:rFonts w:ascii="Times New Roman" w:hAnsi="Times New Roman" w:cs="Times New Roman"/>
          <w:color w:val="auto"/>
          <w:sz w:val="28"/>
          <w:szCs w:val="28"/>
          <w:lang w:val="uk-UA"/>
        </w:rPr>
        <w:t xml:space="preserve"> у дітей на тлі атопічних захворювань</w:t>
      </w:r>
      <w:bookmarkEnd w:id="28"/>
    </w:p>
    <w:p w14:paraId="4F27F76E" w14:textId="506EC654" w:rsidR="008A2500" w:rsidRDefault="008A2500" w:rsidP="00936303">
      <w:pPr>
        <w:autoSpaceDE w:val="0"/>
        <w:spacing w:after="0" w:line="360" w:lineRule="auto"/>
        <w:ind w:firstLine="709"/>
        <w:jc w:val="both"/>
        <w:rPr>
          <w:rFonts w:ascii="Times New Roman" w:hAnsi="Times New Roman" w:cs="Times New Roman"/>
          <w:sz w:val="28"/>
          <w:szCs w:val="28"/>
          <w:lang w:val="uk-UA"/>
        </w:rPr>
      </w:pPr>
      <w:r w:rsidRPr="00936303">
        <w:rPr>
          <w:rFonts w:ascii="Times New Roman" w:hAnsi="Times New Roman" w:cs="Times New Roman"/>
          <w:sz w:val="28"/>
          <w:szCs w:val="28"/>
          <w:lang w:val="uk-UA"/>
        </w:rPr>
        <w:t>Для виявлення можливості про</w:t>
      </w:r>
      <w:r w:rsidR="003C06E2" w:rsidRPr="00936303">
        <w:rPr>
          <w:rFonts w:ascii="Times New Roman" w:hAnsi="Times New Roman" w:cs="Times New Roman"/>
          <w:sz w:val="28"/>
          <w:szCs w:val="28"/>
          <w:lang w:val="uk-UA"/>
        </w:rPr>
        <w:t xml:space="preserve">гнозування </w:t>
      </w:r>
      <w:r w:rsidR="003C06E2">
        <w:rPr>
          <w:rFonts w:ascii="Times New Roman" w:hAnsi="Times New Roman" w:cs="Times New Roman"/>
          <w:sz w:val="28"/>
          <w:szCs w:val="28"/>
          <w:lang w:val="uk-UA"/>
        </w:rPr>
        <w:t>стоматологічних захв</w:t>
      </w:r>
      <w:r>
        <w:rPr>
          <w:rFonts w:ascii="Times New Roman" w:hAnsi="Times New Roman" w:cs="Times New Roman"/>
          <w:sz w:val="28"/>
          <w:szCs w:val="28"/>
          <w:lang w:val="uk-UA"/>
        </w:rPr>
        <w:t>орювань, а саме схильності до хронічного гінгівіту</w:t>
      </w:r>
      <w:r w:rsidR="000B2BF1">
        <w:rPr>
          <w:rFonts w:ascii="Times New Roman" w:hAnsi="Times New Roman" w:cs="Times New Roman"/>
          <w:sz w:val="28"/>
          <w:szCs w:val="28"/>
          <w:lang w:val="uk-UA"/>
        </w:rPr>
        <w:t>, нами були проведені дослідження генетичних предикторів.</w:t>
      </w:r>
    </w:p>
    <w:p w14:paraId="39459620" w14:textId="1CBE10ED" w:rsidR="0004727D" w:rsidRPr="008A2500" w:rsidRDefault="008A2500" w:rsidP="008A2500">
      <w:pPr>
        <w:autoSpaceDE w:val="0"/>
        <w:spacing w:after="0" w:line="360" w:lineRule="auto"/>
        <w:ind w:firstLine="709"/>
        <w:jc w:val="both"/>
        <w:rPr>
          <w:rFonts w:ascii="Times New Roman" w:hAnsi="Times New Roman" w:cs="Times New Roman"/>
          <w:b/>
          <w:sz w:val="28"/>
          <w:szCs w:val="28"/>
          <w:lang w:val="uk-UA"/>
        </w:rPr>
      </w:pPr>
      <w:r w:rsidRPr="008A2500">
        <w:rPr>
          <w:rFonts w:ascii="Times New Roman" w:hAnsi="Times New Roman" w:cs="Times New Roman"/>
          <w:sz w:val="28"/>
          <w:szCs w:val="28"/>
          <w:lang w:val="uk-UA"/>
        </w:rPr>
        <w:t>В</w:t>
      </w:r>
      <w:r w:rsidR="0004727D" w:rsidRPr="009C46D3">
        <w:rPr>
          <w:rFonts w:ascii="Times New Roman" w:hAnsi="Times New Roman" w:cs="Times New Roman"/>
          <w:sz w:val="28"/>
          <w:szCs w:val="28"/>
          <w:lang w:val="uk-UA"/>
        </w:rPr>
        <w:t xml:space="preserve">становлено, що більшість (75%) осіб </w:t>
      </w:r>
      <w:r w:rsidR="000B2BF1">
        <w:rPr>
          <w:rFonts w:ascii="Times New Roman" w:hAnsi="Times New Roman" w:cs="Times New Roman"/>
          <w:sz w:val="28"/>
          <w:szCs w:val="28"/>
          <w:lang w:val="uk-UA"/>
        </w:rPr>
        <w:t>без соматичної патології</w:t>
      </w:r>
      <w:r w:rsidR="0004727D" w:rsidRPr="009C46D3">
        <w:rPr>
          <w:rFonts w:ascii="Times New Roman" w:hAnsi="Times New Roman" w:cs="Times New Roman"/>
          <w:sz w:val="28"/>
          <w:szCs w:val="28"/>
          <w:lang w:val="uk-UA"/>
        </w:rPr>
        <w:t xml:space="preserve"> є носіями «короткого» варіанту (2 повтори) інтрона 36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ru-RU"/>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При цьому серед них є як гомозиготи за цим алелем, так і гетерозиготи. Майже відсутній (94%) цей алель в осіб дослідної групи  (</w:t>
      </w:r>
      <w:r w:rsidR="0004727D" w:rsidRPr="009C46D3">
        <w:rPr>
          <w:rFonts w:ascii="Times New Roman" w:hAnsi="Times New Roman" w:cs="Times New Roman"/>
          <w:color w:val="000000"/>
          <w:sz w:val="28"/>
          <w:szCs w:val="28"/>
        </w:rPr>
        <w:t>H</w:t>
      </w:r>
      <w:r w:rsidR="0004727D" w:rsidRPr="009C46D3">
        <w:rPr>
          <w:rFonts w:ascii="Times New Roman" w:hAnsi="Times New Roman" w:cs="Times New Roman"/>
          <w:color w:val="000000"/>
          <w:sz w:val="28"/>
          <w:szCs w:val="28"/>
          <w:lang w:val="uk-UA"/>
        </w:rPr>
        <w:t xml:space="preserve">=26,48; </w:t>
      </w:r>
      <w:r w:rsidR="0004727D" w:rsidRPr="009C46D3">
        <w:rPr>
          <w:rFonts w:ascii="Times New Roman" w:hAnsi="Times New Roman" w:cs="Times New Roman"/>
          <w:color w:val="000000"/>
          <w:sz w:val="28"/>
          <w:szCs w:val="28"/>
        </w:rPr>
        <w:t>p</w:t>
      </w:r>
      <w:r w:rsidR="0004727D" w:rsidRPr="009C46D3">
        <w:rPr>
          <w:rFonts w:ascii="Times New Roman" w:hAnsi="Times New Roman" w:cs="Times New Roman"/>
          <w:color w:val="000000"/>
          <w:sz w:val="28"/>
          <w:szCs w:val="28"/>
          <w:lang w:val="uk-UA"/>
        </w:rPr>
        <w:t>&lt;0,001)</w:t>
      </w:r>
      <w:r w:rsidR="0004727D" w:rsidRPr="009C46D3">
        <w:rPr>
          <w:rFonts w:ascii="Times New Roman" w:hAnsi="Times New Roman" w:cs="Times New Roman"/>
          <w:sz w:val="28"/>
          <w:szCs w:val="28"/>
          <w:lang w:val="uk-UA"/>
        </w:rPr>
        <w:t xml:space="preserve">. Цей алель можна запропонувати як протективний. Для представників дослідної групи характерними були «довгі» алелі з 7-ма, 8-ма або 9-ма повторами в інтроні 36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ru-RU"/>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xml:space="preserve"> (поширені у 79% випадків), водночас як серед представників контрольної групи ці алелі спостерігали значно рідше (42%, р=0,02). «Довгі» алелі можна запропонувати, як маркери групи ризику щодо гінгівіту на тлі атопічних захворювань, або, як додатковий діагностичний тест для цієї групи захворювань. Алелі гена MUC5B з 3-ма, 4-ма або 5-ма повторами епізодично зустрічаються в генотипах представників контрольної та дослідної груп, а отже, не становлять діагностичної цінності. Встановлено, що контрольна та дослідна групи суттєво відрізняються за рівнями імуноглобулінів: </w:t>
      </w:r>
      <w:r w:rsidR="0004727D" w:rsidRPr="009C46D3">
        <w:rPr>
          <w:rFonts w:ascii="Times New Roman" w:hAnsi="Times New Roman" w:cs="Times New Roman"/>
          <w:sz w:val="28"/>
          <w:szCs w:val="28"/>
        </w:rPr>
        <w:t>IgA</w:t>
      </w:r>
      <w:r w:rsidR="0004727D" w:rsidRPr="009C46D3">
        <w:rPr>
          <w:rFonts w:ascii="Times New Roman" w:hAnsi="Times New Roman" w:cs="Times New Roman"/>
          <w:sz w:val="28"/>
          <w:szCs w:val="28"/>
          <w:lang w:val="uk-UA"/>
        </w:rPr>
        <w:t xml:space="preserve">, </w:t>
      </w:r>
      <w:r w:rsidR="0004727D" w:rsidRPr="009C46D3">
        <w:rPr>
          <w:rFonts w:ascii="Times New Roman" w:hAnsi="Times New Roman" w:cs="Times New Roman"/>
          <w:sz w:val="28"/>
          <w:szCs w:val="28"/>
        </w:rPr>
        <w:t>IgG</w:t>
      </w:r>
      <w:r w:rsidR="0004727D" w:rsidRPr="009C46D3">
        <w:rPr>
          <w:rFonts w:ascii="Times New Roman" w:hAnsi="Times New Roman" w:cs="Times New Roman"/>
          <w:sz w:val="28"/>
          <w:szCs w:val="28"/>
          <w:lang w:val="uk-UA"/>
        </w:rPr>
        <w:t xml:space="preserve"> та </w:t>
      </w:r>
      <w:r w:rsidR="0004727D" w:rsidRPr="009C46D3">
        <w:rPr>
          <w:rFonts w:ascii="Times New Roman" w:hAnsi="Times New Roman" w:cs="Times New Roman"/>
          <w:sz w:val="28"/>
          <w:szCs w:val="28"/>
        </w:rPr>
        <w:t>SBI</w:t>
      </w:r>
      <w:r w:rsidR="0004727D" w:rsidRPr="009C46D3">
        <w:rPr>
          <w:rFonts w:ascii="Times New Roman" w:hAnsi="Times New Roman" w:cs="Times New Roman"/>
          <w:sz w:val="28"/>
          <w:szCs w:val="28"/>
          <w:lang w:val="uk-UA"/>
        </w:rPr>
        <w:t xml:space="preserve"> вищі в осіб з атопічними захворюваннями, а </w:t>
      </w:r>
      <w:r w:rsidR="0004727D" w:rsidRPr="009C46D3">
        <w:rPr>
          <w:rFonts w:ascii="Times New Roman" w:hAnsi="Times New Roman" w:cs="Times New Roman"/>
          <w:sz w:val="28"/>
          <w:szCs w:val="28"/>
        </w:rPr>
        <w:t>sIgA</w:t>
      </w:r>
      <w:r w:rsidR="0004727D" w:rsidRPr="009C46D3">
        <w:rPr>
          <w:rFonts w:ascii="Times New Roman" w:hAnsi="Times New Roman" w:cs="Times New Roman"/>
          <w:sz w:val="28"/>
          <w:szCs w:val="28"/>
          <w:lang w:val="uk-UA"/>
        </w:rPr>
        <w:t xml:space="preserve">, навпаки, знижений. При цьому носії алелі гена </w:t>
      </w:r>
      <w:r w:rsidR="0004727D" w:rsidRPr="009C46D3">
        <w:rPr>
          <w:rFonts w:ascii="Times New Roman" w:hAnsi="Times New Roman" w:cs="Times New Roman"/>
          <w:sz w:val="28"/>
          <w:szCs w:val="28"/>
        </w:rPr>
        <w:t>MUC</w:t>
      </w:r>
      <w:r w:rsidR="0004727D" w:rsidRPr="009C46D3">
        <w:rPr>
          <w:rFonts w:ascii="Times New Roman" w:hAnsi="Times New Roman" w:cs="Times New Roman"/>
          <w:sz w:val="28"/>
          <w:szCs w:val="28"/>
          <w:lang w:val="uk-UA"/>
        </w:rPr>
        <w:t>5</w:t>
      </w:r>
      <w:r w:rsidR="0004727D" w:rsidRPr="009C46D3">
        <w:rPr>
          <w:rFonts w:ascii="Times New Roman" w:hAnsi="Times New Roman" w:cs="Times New Roman"/>
          <w:sz w:val="28"/>
          <w:szCs w:val="28"/>
        </w:rPr>
        <w:t>B</w:t>
      </w:r>
      <w:r w:rsidR="0004727D" w:rsidRPr="009C46D3">
        <w:rPr>
          <w:rFonts w:ascii="Times New Roman" w:hAnsi="Times New Roman" w:cs="Times New Roman"/>
          <w:sz w:val="28"/>
          <w:szCs w:val="28"/>
          <w:lang w:val="uk-UA"/>
        </w:rPr>
        <w:t xml:space="preserve"> з 2-ма повторами контрольної групи є менш варіабельними за кількісними показниками рівнів імуноглобулінів, порівняно з такими в осіб дослідної групи.</w:t>
      </w:r>
    </w:p>
    <w:p w14:paraId="784EADE2" w14:textId="5678D983" w:rsidR="00346B70" w:rsidRPr="00346B70" w:rsidRDefault="00346B70" w:rsidP="00D72A07">
      <w:pPr>
        <w:spacing w:after="200" w:line="360" w:lineRule="auto"/>
        <w:ind w:firstLine="709"/>
        <w:jc w:val="both"/>
        <w:rPr>
          <w:rFonts w:ascii="Times New Roman" w:eastAsia="Calibri" w:hAnsi="Times New Roman" w:cs="Times New Roman"/>
          <w:sz w:val="28"/>
          <w:szCs w:val="28"/>
          <w:lang w:val="uk-UA"/>
        </w:rPr>
      </w:pPr>
      <w:r w:rsidRPr="00346B70">
        <w:rPr>
          <w:rFonts w:ascii="Times New Roman" w:eastAsia="Calibri" w:hAnsi="Times New Roman" w:cs="Times New Roman"/>
          <w:sz w:val="28"/>
          <w:szCs w:val="28"/>
          <w:lang w:val="uk-UA"/>
        </w:rPr>
        <w:t>За результатами проведених досліджень було встановлено, що група контролю суттєво відрізняється від дослідної за рівнями продукції</w:t>
      </w:r>
      <w:r w:rsidR="000B2BF1">
        <w:rPr>
          <w:rFonts w:ascii="Times New Roman" w:eastAsia="Calibri" w:hAnsi="Times New Roman" w:cs="Times New Roman"/>
          <w:sz w:val="28"/>
          <w:szCs w:val="28"/>
          <w:lang w:val="uk-UA"/>
        </w:rPr>
        <w:t xml:space="preserve"> різни</w:t>
      </w:r>
      <w:r w:rsidR="003C06E2">
        <w:rPr>
          <w:rFonts w:ascii="Times New Roman" w:eastAsia="Calibri" w:hAnsi="Times New Roman" w:cs="Times New Roman"/>
          <w:sz w:val="28"/>
          <w:szCs w:val="28"/>
          <w:lang w:val="uk-UA"/>
        </w:rPr>
        <w:t>х типів імуноглобулінів (табл. 6</w:t>
      </w:r>
      <w:r w:rsidR="000B2BF1">
        <w:rPr>
          <w:rFonts w:ascii="Times New Roman" w:eastAsia="Calibri" w:hAnsi="Times New Roman" w:cs="Times New Roman"/>
          <w:sz w:val="28"/>
          <w:szCs w:val="28"/>
          <w:lang w:val="uk-UA"/>
        </w:rPr>
        <w:t>.2</w:t>
      </w:r>
      <w:r w:rsidRPr="00346B70">
        <w:rPr>
          <w:rFonts w:ascii="Times New Roman" w:eastAsia="Calibri" w:hAnsi="Times New Roman" w:cs="Times New Roman"/>
          <w:sz w:val="28"/>
          <w:szCs w:val="28"/>
          <w:lang w:val="uk-UA"/>
        </w:rPr>
        <w:t>). Слід відзначити достатньо сильний вплив (</w:t>
      </w:r>
      <w:r w:rsidRPr="00346B70">
        <w:rPr>
          <w:rFonts w:ascii="Times New Roman" w:eastAsia="Times New Roman" w:hAnsi="Times New Roman" w:cs="Times New Roman"/>
          <w:bCs/>
          <w:color w:val="000000"/>
          <w:sz w:val="28"/>
          <w:szCs w:val="28"/>
          <w:lang w:val="ru-RU" w:eastAsia="ru-RU"/>
        </w:rPr>
        <w:t>η</w:t>
      </w:r>
      <w:r w:rsidRPr="00346B70">
        <w:rPr>
          <w:rFonts w:ascii="Times New Roman" w:eastAsia="Times New Roman" w:hAnsi="Times New Roman" w:cs="Times New Roman"/>
          <w:bCs/>
          <w:color w:val="000000"/>
          <w:sz w:val="28"/>
          <w:szCs w:val="28"/>
          <w:vertAlign w:val="superscript"/>
          <w:lang w:val="uk-UA" w:eastAsia="ru-RU"/>
        </w:rPr>
        <w:t>2</w:t>
      </w:r>
      <w:r w:rsidR="00D0270E">
        <w:rPr>
          <w:rFonts w:ascii="Times New Roman" w:eastAsia="Times New Roman" w:hAnsi="Times New Roman" w:cs="Times New Roman"/>
          <w:bCs/>
          <w:color w:val="000000"/>
          <w:sz w:val="28"/>
          <w:szCs w:val="28"/>
          <w:lang w:val="uk-UA" w:eastAsia="ru-RU"/>
        </w:rPr>
        <w:t xml:space="preserve"> у табл. 6</w:t>
      </w:r>
      <w:r w:rsidR="00A511D5">
        <w:rPr>
          <w:rFonts w:ascii="Times New Roman" w:eastAsia="Times New Roman" w:hAnsi="Times New Roman" w:cs="Times New Roman"/>
          <w:bCs/>
          <w:color w:val="000000"/>
          <w:sz w:val="28"/>
          <w:szCs w:val="28"/>
          <w:lang w:val="uk-UA" w:eastAsia="ru-RU"/>
        </w:rPr>
        <w:t>.2</w:t>
      </w:r>
      <w:r w:rsidRPr="00346B70">
        <w:rPr>
          <w:rFonts w:ascii="Times New Roman" w:eastAsia="Calibri" w:hAnsi="Times New Roman" w:cs="Times New Roman"/>
          <w:sz w:val="28"/>
          <w:szCs w:val="28"/>
          <w:lang w:val="uk-UA"/>
        </w:rPr>
        <w:t>) наявності д</w:t>
      </w:r>
      <w:r w:rsidR="00A448F8">
        <w:rPr>
          <w:rFonts w:ascii="Times New Roman" w:eastAsia="Calibri" w:hAnsi="Times New Roman" w:cs="Times New Roman"/>
          <w:sz w:val="28"/>
          <w:szCs w:val="28"/>
          <w:lang w:val="uk-UA"/>
        </w:rPr>
        <w:t>іагнозу (атопічне захворювання та</w:t>
      </w:r>
      <w:r w:rsidRPr="00346B70">
        <w:rPr>
          <w:rFonts w:ascii="Times New Roman" w:eastAsia="Calibri" w:hAnsi="Times New Roman" w:cs="Times New Roman"/>
          <w:sz w:val="28"/>
          <w:szCs w:val="28"/>
          <w:lang w:val="uk-UA"/>
        </w:rPr>
        <w:t xml:space="preserve"> гінгівіт) на рівень певних імуноглобулінів</w:t>
      </w:r>
      <w:r w:rsidR="00AE1539" w:rsidRPr="00AE1539">
        <w:rPr>
          <w:rFonts w:ascii="Times New Roman" w:eastAsia="Calibri" w:hAnsi="Times New Roman" w:cs="Times New Roman"/>
          <w:sz w:val="28"/>
          <w:szCs w:val="28"/>
          <w:lang w:val="uk-UA"/>
        </w:rPr>
        <w:t xml:space="preserve"> [266, 267]</w:t>
      </w:r>
      <w:r w:rsidRPr="00346B70">
        <w:rPr>
          <w:rFonts w:ascii="Times New Roman" w:eastAsia="Calibri" w:hAnsi="Times New Roman" w:cs="Times New Roman"/>
          <w:sz w:val="28"/>
          <w:szCs w:val="28"/>
          <w:lang w:val="uk-UA"/>
        </w:rPr>
        <w:t>.</w:t>
      </w:r>
    </w:p>
    <w:p w14:paraId="383776FB" w14:textId="77777777" w:rsidR="00936303" w:rsidRPr="00346B70" w:rsidRDefault="00936303" w:rsidP="00936303">
      <w:pPr>
        <w:spacing w:after="200" w:line="360" w:lineRule="auto"/>
        <w:ind w:firstLine="709"/>
        <w:jc w:val="both"/>
        <w:rPr>
          <w:rFonts w:ascii="Times New Roman" w:eastAsia="Times New Roman" w:hAnsi="Times New Roman" w:cs="Times New Roman"/>
          <w:b/>
          <w:bCs/>
          <w:color w:val="FF0000"/>
          <w:sz w:val="28"/>
          <w:szCs w:val="28"/>
          <w:lang w:val="uk-UA" w:eastAsia="ru-RU"/>
        </w:rPr>
      </w:pPr>
      <w:r w:rsidRPr="00A511D5">
        <w:rPr>
          <w:rFonts w:ascii="Times New Roman" w:eastAsia="Calibri" w:hAnsi="Times New Roman" w:cs="Times New Roman"/>
          <w:sz w:val="28"/>
          <w:szCs w:val="28"/>
          <w:lang w:val="uk-UA"/>
        </w:rPr>
        <w:t xml:space="preserve">При цьому, рівень </w:t>
      </w:r>
      <w:r w:rsidRPr="00A511D5">
        <w:rPr>
          <w:rFonts w:ascii="Times New Roman" w:eastAsia="Times New Roman" w:hAnsi="Times New Roman" w:cs="Times New Roman"/>
          <w:bCs/>
          <w:color w:val="000000"/>
          <w:sz w:val="28"/>
          <w:szCs w:val="28"/>
          <w:lang w:eastAsia="ru-RU"/>
        </w:rPr>
        <w:t>sIg</w:t>
      </w:r>
      <w:r w:rsidRPr="00936303">
        <w:rPr>
          <w:rFonts w:ascii="Times New Roman" w:eastAsia="Times New Roman" w:hAnsi="Times New Roman" w:cs="Times New Roman"/>
          <w:bCs/>
          <w:color w:val="000000"/>
          <w:sz w:val="28"/>
          <w:szCs w:val="28"/>
          <w:lang w:val="uk-UA" w:eastAsia="ru-RU"/>
        </w:rPr>
        <w:t xml:space="preserve"> </w:t>
      </w:r>
      <w:r w:rsidRPr="00A511D5">
        <w:rPr>
          <w:rFonts w:ascii="Times New Roman" w:eastAsia="Times New Roman" w:hAnsi="Times New Roman" w:cs="Times New Roman"/>
          <w:bCs/>
          <w:color w:val="000000"/>
          <w:sz w:val="28"/>
          <w:szCs w:val="28"/>
          <w:lang w:eastAsia="ru-RU"/>
        </w:rPr>
        <w:t>A</w:t>
      </w:r>
      <w:r w:rsidRPr="00A511D5">
        <w:rPr>
          <w:rFonts w:ascii="Times New Roman" w:eastAsia="Times New Roman" w:hAnsi="Times New Roman" w:cs="Times New Roman"/>
          <w:bCs/>
          <w:color w:val="000000"/>
          <w:sz w:val="28"/>
          <w:szCs w:val="28"/>
          <w:lang w:val="uk-UA" w:eastAsia="ru-RU"/>
        </w:rPr>
        <w:t xml:space="preserve"> істотно знижений у представників дослідної групи, порівняно із контролем</w:t>
      </w:r>
      <w:r w:rsidRPr="00346B70">
        <w:rPr>
          <w:rFonts w:ascii="Times New Roman" w:eastAsia="Times New Roman" w:hAnsi="Times New Roman" w:cs="Times New Roman"/>
          <w:bCs/>
          <w:color w:val="000000"/>
          <w:sz w:val="28"/>
          <w:szCs w:val="28"/>
          <w:lang w:val="uk-UA" w:eastAsia="ru-RU"/>
        </w:rPr>
        <w:t>, у той час рівень всіх інших імуноглоб</w:t>
      </w:r>
      <w:r>
        <w:rPr>
          <w:rFonts w:ascii="Times New Roman" w:eastAsia="Times New Roman" w:hAnsi="Times New Roman" w:cs="Times New Roman"/>
          <w:bCs/>
          <w:color w:val="000000"/>
          <w:sz w:val="28"/>
          <w:szCs w:val="28"/>
          <w:lang w:val="uk-UA" w:eastAsia="ru-RU"/>
        </w:rPr>
        <w:t>улінів є підвищеним</w:t>
      </w:r>
      <w:r w:rsidRPr="00346B70">
        <w:rPr>
          <w:rFonts w:ascii="Times New Roman" w:eastAsia="Times New Roman" w:hAnsi="Times New Roman" w:cs="Times New Roman"/>
          <w:bCs/>
          <w:color w:val="000000"/>
          <w:sz w:val="28"/>
          <w:szCs w:val="28"/>
          <w:lang w:val="uk-UA" w:eastAsia="ru-RU"/>
        </w:rPr>
        <w:t xml:space="preserve">. Даний факт свідчить про зниження місцевого мукозального імунітету порожнини рота, при відносній стабільності імунного статусу організму. </w:t>
      </w:r>
    </w:p>
    <w:p w14:paraId="17A556B7" w14:textId="77777777" w:rsidR="00936303" w:rsidRDefault="00936303" w:rsidP="00D72A07">
      <w:pPr>
        <w:spacing w:after="200" w:line="360" w:lineRule="auto"/>
        <w:jc w:val="right"/>
        <w:rPr>
          <w:rFonts w:ascii="Times New Roman" w:eastAsia="Calibri" w:hAnsi="Times New Roman" w:cs="Times New Roman"/>
          <w:sz w:val="28"/>
          <w:szCs w:val="28"/>
          <w:lang w:val="uk-UA"/>
        </w:rPr>
      </w:pPr>
    </w:p>
    <w:p w14:paraId="0BA97E82" w14:textId="7766ABCA" w:rsidR="00346B70" w:rsidRPr="00A511D5" w:rsidRDefault="00346B70" w:rsidP="00D72A07">
      <w:pPr>
        <w:spacing w:after="200" w:line="360" w:lineRule="auto"/>
        <w:jc w:val="right"/>
        <w:rPr>
          <w:rFonts w:ascii="Times New Roman" w:eastAsia="Calibri" w:hAnsi="Times New Roman" w:cs="Times New Roman"/>
          <w:sz w:val="28"/>
          <w:szCs w:val="28"/>
          <w:lang w:val="uk-UA"/>
        </w:rPr>
      </w:pPr>
      <w:r w:rsidRPr="00A511D5">
        <w:rPr>
          <w:rFonts w:ascii="Times New Roman" w:eastAsia="Calibri" w:hAnsi="Times New Roman" w:cs="Times New Roman"/>
          <w:sz w:val="28"/>
          <w:szCs w:val="28"/>
          <w:lang w:val="uk-UA"/>
        </w:rPr>
        <w:t xml:space="preserve">Таблиця </w:t>
      </w:r>
      <w:r w:rsidR="00D0270E">
        <w:rPr>
          <w:rFonts w:ascii="Times New Roman" w:eastAsia="Calibri" w:hAnsi="Times New Roman" w:cs="Times New Roman"/>
          <w:sz w:val="28"/>
          <w:szCs w:val="28"/>
          <w:lang w:val="uk-UA"/>
        </w:rPr>
        <w:t>6</w:t>
      </w:r>
      <w:r w:rsidR="000B2BF1" w:rsidRPr="00A511D5">
        <w:rPr>
          <w:rFonts w:ascii="Times New Roman" w:eastAsia="Calibri" w:hAnsi="Times New Roman" w:cs="Times New Roman"/>
          <w:sz w:val="28"/>
          <w:szCs w:val="28"/>
          <w:lang w:val="uk-UA"/>
        </w:rPr>
        <w:t>.2</w:t>
      </w:r>
    </w:p>
    <w:p w14:paraId="0066ED83" w14:textId="77777777" w:rsidR="00346B70" w:rsidRPr="00A511D5" w:rsidRDefault="00346B70" w:rsidP="000728CB">
      <w:pPr>
        <w:spacing w:after="200" w:line="360" w:lineRule="auto"/>
        <w:jc w:val="center"/>
        <w:rPr>
          <w:rFonts w:ascii="Times New Roman" w:eastAsia="Calibri" w:hAnsi="Times New Roman" w:cs="Times New Roman"/>
          <w:sz w:val="28"/>
          <w:szCs w:val="28"/>
          <w:lang w:val="uk-UA"/>
        </w:rPr>
      </w:pPr>
      <w:r w:rsidRPr="00A511D5">
        <w:rPr>
          <w:rFonts w:ascii="Times New Roman" w:eastAsia="Calibri" w:hAnsi="Times New Roman" w:cs="Times New Roman"/>
          <w:sz w:val="28"/>
          <w:szCs w:val="28"/>
          <w:lang w:val="uk-UA"/>
        </w:rPr>
        <w:t>Результати дисперсійного аналізу відмінностей обстеженого контингенту за рівнями імуноглобулінів</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490"/>
        <w:gridCol w:w="1185"/>
        <w:gridCol w:w="1490"/>
        <w:gridCol w:w="1490"/>
        <w:gridCol w:w="1517"/>
        <w:gridCol w:w="1067"/>
      </w:tblGrid>
      <w:tr w:rsidR="00346B70" w:rsidRPr="00A511D5" w14:paraId="4A2971F2" w14:textId="77777777" w:rsidTr="00346B70">
        <w:trPr>
          <w:trHeight w:val="321"/>
        </w:trPr>
        <w:tc>
          <w:tcPr>
            <w:tcW w:w="0" w:type="auto"/>
            <w:noWrap/>
            <w:hideMark/>
          </w:tcPr>
          <w:p w14:paraId="07B27B7B"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p>
        </w:tc>
        <w:tc>
          <w:tcPr>
            <w:tcW w:w="0" w:type="auto"/>
            <w:noWrap/>
            <w:hideMark/>
          </w:tcPr>
          <w:p w14:paraId="6537DCB3"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SS</w:t>
            </w:r>
          </w:p>
        </w:tc>
        <w:tc>
          <w:tcPr>
            <w:tcW w:w="0" w:type="auto"/>
            <w:noWrap/>
            <w:hideMark/>
          </w:tcPr>
          <w:p w14:paraId="2B1A9E07"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uk-UA" w:eastAsia="ru-RU"/>
              </w:rPr>
            </w:pPr>
            <w:r w:rsidRPr="00A511D5">
              <w:rPr>
                <w:rFonts w:ascii="Times New Roman" w:eastAsia="Times New Roman" w:hAnsi="Times New Roman" w:cs="Times New Roman"/>
                <w:bCs/>
                <w:color w:val="000000"/>
                <w:sz w:val="28"/>
                <w:szCs w:val="28"/>
                <w:lang w:val="ru-RU" w:eastAsia="ru-RU"/>
              </w:rPr>
              <w:t>D. F</w:t>
            </w:r>
            <w:r w:rsidRPr="00A511D5">
              <w:rPr>
                <w:rFonts w:ascii="Times New Roman" w:eastAsia="Times New Roman" w:hAnsi="Times New Roman" w:cs="Times New Roman"/>
                <w:bCs/>
                <w:color w:val="000000"/>
                <w:sz w:val="28"/>
                <w:szCs w:val="28"/>
                <w:lang w:val="uk-UA" w:eastAsia="ru-RU"/>
              </w:rPr>
              <w:t>.</w:t>
            </w:r>
          </w:p>
        </w:tc>
        <w:tc>
          <w:tcPr>
            <w:tcW w:w="0" w:type="auto"/>
            <w:noWrap/>
            <w:hideMark/>
          </w:tcPr>
          <w:p w14:paraId="372D4963"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MS</w:t>
            </w:r>
          </w:p>
        </w:tc>
        <w:tc>
          <w:tcPr>
            <w:tcW w:w="0" w:type="auto"/>
            <w:noWrap/>
            <w:hideMark/>
          </w:tcPr>
          <w:p w14:paraId="5F652272"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F</w:t>
            </w:r>
          </w:p>
        </w:tc>
        <w:tc>
          <w:tcPr>
            <w:tcW w:w="0" w:type="auto"/>
            <w:noWrap/>
            <w:hideMark/>
          </w:tcPr>
          <w:p w14:paraId="45E75431" w14:textId="52095052" w:rsidR="00346B70" w:rsidRPr="00A511D5" w:rsidRDefault="007E6D77" w:rsidP="00D72A07">
            <w:pPr>
              <w:spacing w:after="0" w:line="360" w:lineRule="auto"/>
              <w:jc w:val="center"/>
              <w:rPr>
                <w:rFonts w:ascii="Times New Roman" w:eastAsia="Times New Roman" w:hAnsi="Times New Roman" w:cs="Times New Roman"/>
                <w:bCs/>
                <w:sz w:val="28"/>
                <w:szCs w:val="28"/>
                <w:lang w:val="ru-RU" w:eastAsia="ru-RU"/>
              </w:rPr>
            </w:pPr>
            <w:r w:rsidRPr="00A511D5">
              <w:rPr>
                <w:rFonts w:ascii="Times New Roman" w:eastAsia="Times New Roman" w:hAnsi="Times New Roman" w:cs="Times New Roman"/>
                <w:bCs/>
                <w:color w:val="000000"/>
                <w:sz w:val="28"/>
                <w:szCs w:val="28"/>
                <w:lang w:val="ru-RU" w:eastAsia="ru-RU"/>
              </w:rPr>
              <w:t>P</w:t>
            </w:r>
          </w:p>
        </w:tc>
        <w:tc>
          <w:tcPr>
            <w:tcW w:w="0" w:type="auto"/>
            <w:noWrap/>
            <w:hideMark/>
          </w:tcPr>
          <w:p w14:paraId="5695C167"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val="uk-UA" w:eastAsia="ru-RU"/>
              </w:rPr>
            </w:pPr>
            <w:r w:rsidRPr="00A511D5">
              <w:rPr>
                <w:rFonts w:ascii="Times New Roman" w:eastAsia="Times New Roman" w:hAnsi="Times New Roman" w:cs="Times New Roman"/>
                <w:bCs/>
                <w:color w:val="000000"/>
                <w:sz w:val="28"/>
                <w:szCs w:val="28"/>
                <w:lang w:val="ru-RU" w:eastAsia="ru-RU"/>
              </w:rPr>
              <w:t>η</w:t>
            </w:r>
            <w:r w:rsidRPr="00A511D5">
              <w:rPr>
                <w:rFonts w:ascii="Times New Roman" w:eastAsia="Times New Roman" w:hAnsi="Times New Roman" w:cs="Times New Roman"/>
                <w:bCs/>
                <w:color w:val="000000"/>
                <w:sz w:val="28"/>
                <w:szCs w:val="28"/>
                <w:vertAlign w:val="superscript"/>
                <w:lang w:val="uk-UA" w:eastAsia="ru-RU"/>
              </w:rPr>
              <w:t>2</w:t>
            </w:r>
          </w:p>
        </w:tc>
      </w:tr>
      <w:tr w:rsidR="00346B70" w:rsidRPr="00A511D5" w14:paraId="4076A02D" w14:textId="77777777" w:rsidTr="00346B70">
        <w:trPr>
          <w:trHeight w:val="201"/>
        </w:trPr>
        <w:tc>
          <w:tcPr>
            <w:tcW w:w="0" w:type="auto"/>
            <w:noWrap/>
            <w:hideMark/>
          </w:tcPr>
          <w:p w14:paraId="33052F7A" w14:textId="77777777" w:rsidR="00346B70" w:rsidRPr="00A511D5" w:rsidRDefault="00346B70" w:rsidP="00D72A07">
            <w:pPr>
              <w:spacing w:after="0" w:line="360" w:lineRule="auto"/>
              <w:jc w:val="center"/>
              <w:rPr>
                <w:rFonts w:ascii="Times New Roman" w:eastAsia="Times New Roman" w:hAnsi="Times New Roman" w:cs="Times New Roman"/>
                <w:bCs/>
                <w:sz w:val="28"/>
                <w:szCs w:val="28"/>
                <w:lang w:eastAsia="ru-RU"/>
              </w:rPr>
            </w:pPr>
            <w:r w:rsidRPr="00A511D5">
              <w:rPr>
                <w:rFonts w:ascii="Times New Roman" w:eastAsia="Times New Roman" w:hAnsi="Times New Roman" w:cs="Times New Roman"/>
                <w:bCs/>
                <w:color w:val="000000"/>
                <w:sz w:val="28"/>
                <w:szCs w:val="28"/>
                <w:lang w:eastAsia="ru-RU"/>
              </w:rPr>
              <w:t>sIg A</w:t>
            </w:r>
          </w:p>
        </w:tc>
        <w:tc>
          <w:tcPr>
            <w:tcW w:w="0" w:type="auto"/>
            <w:noWrap/>
            <w:hideMark/>
          </w:tcPr>
          <w:p w14:paraId="68FB17A3"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4378,8</w:t>
            </w:r>
          </w:p>
        </w:tc>
        <w:tc>
          <w:tcPr>
            <w:tcW w:w="0" w:type="auto"/>
            <w:noWrap/>
            <w:hideMark/>
          </w:tcPr>
          <w:p w14:paraId="03C6AA86"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1</w:t>
            </w:r>
          </w:p>
        </w:tc>
        <w:tc>
          <w:tcPr>
            <w:tcW w:w="0" w:type="auto"/>
            <w:noWrap/>
            <w:hideMark/>
          </w:tcPr>
          <w:p w14:paraId="77889624"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4378,8</w:t>
            </w:r>
          </w:p>
        </w:tc>
        <w:tc>
          <w:tcPr>
            <w:tcW w:w="0" w:type="auto"/>
            <w:noWrap/>
            <w:hideMark/>
          </w:tcPr>
          <w:p w14:paraId="4DF4DD83"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24,98</w:t>
            </w:r>
          </w:p>
        </w:tc>
        <w:tc>
          <w:tcPr>
            <w:tcW w:w="0" w:type="auto"/>
            <w:noWrap/>
            <w:hideMark/>
          </w:tcPr>
          <w:p w14:paraId="45E2BCF0"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hideMark/>
          </w:tcPr>
          <w:p w14:paraId="26770E91" w14:textId="77777777" w:rsidR="00346B70" w:rsidRPr="00A511D5" w:rsidRDefault="00346B70" w:rsidP="00D72A07">
            <w:pPr>
              <w:spacing w:after="0" w:line="360" w:lineRule="auto"/>
              <w:rPr>
                <w:rFonts w:ascii="Times New Roman" w:eastAsia="Times New Roman" w:hAnsi="Times New Roman" w:cs="Times New Roman"/>
                <w:sz w:val="28"/>
                <w:szCs w:val="28"/>
                <w:lang w:val="ru-RU" w:eastAsia="ru-RU"/>
              </w:rPr>
            </w:pPr>
            <w:r w:rsidRPr="00A511D5">
              <w:rPr>
                <w:rFonts w:ascii="Times New Roman" w:eastAsia="Times New Roman" w:hAnsi="Times New Roman" w:cs="Times New Roman"/>
                <w:color w:val="000000"/>
                <w:sz w:val="28"/>
                <w:szCs w:val="28"/>
                <w:lang w:val="ru-RU" w:eastAsia="ru-RU"/>
              </w:rPr>
              <w:t>0,36</w:t>
            </w:r>
          </w:p>
        </w:tc>
      </w:tr>
      <w:tr w:rsidR="00346B70" w:rsidRPr="00A511D5" w14:paraId="3A5B8157" w14:textId="77777777" w:rsidTr="00346B70">
        <w:trPr>
          <w:trHeight w:val="418"/>
        </w:trPr>
        <w:tc>
          <w:tcPr>
            <w:tcW w:w="0" w:type="auto"/>
            <w:noWrap/>
            <w:hideMark/>
          </w:tcPr>
          <w:p w14:paraId="21EBAD79"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Ig A</w:t>
            </w:r>
          </w:p>
        </w:tc>
        <w:tc>
          <w:tcPr>
            <w:tcW w:w="0" w:type="auto"/>
            <w:noWrap/>
            <w:vAlign w:val="center"/>
            <w:hideMark/>
          </w:tcPr>
          <w:p w14:paraId="696ACD9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101,0</w:t>
            </w:r>
          </w:p>
        </w:tc>
        <w:tc>
          <w:tcPr>
            <w:tcW w:w="0" w:type="auto"/>
            <w:noWrap/>
            <w:vAlign w:val="center"/>
            <w:hideMark/>
          </w:tcPr>
          <w:p w14:paraId="415E743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5F9C878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101,0</w:t>
            </w:r>
          </w:p>
        </w:tc>
        <w:tc>
          <w:tcPr>
            <w:tcW w:w="0" w:type="auto"/>
            <w:noWrap/>
            <w:vAlign w:val="center"/>
            <w:hideMark/>
          </w:tcPr>
          <w:p w14:paraId="1308B01F"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99,8</w:t>
            </w:r>
            <w:r w:rsidRPr="00A511D5">
              <w:rPr>
                <w:rFonts w:ascii="Times New Roman" w:eastAsia="Calibri" w:hAnsi="Times New Roman" w:cs="Times New Roman"/>
                <w:color w:val="000000"/>
                <w:sz w:val="28"/>
                <w:szCs w:val="28"/>
              </w:rPr>
              <w:t>2</w:t>
            </w:r>
          </w:p>
        </w:tc>
        <w:tc>
          <w:tcPr>
            <w:tcW w:w="0" w:type="auto"/>
            <w:noWrap/>
            <w:vAlign w:val="center"/>
            <w:hideMark/>
          </w:tcPr>
          <w:p w14:paraId="4F5959D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vAlign w:val="center"/>
            <w:hideMark/>
          </w:tcPr>
          <w:p w14:paraId="31D7AED9"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0,69</w:t>
            </w:r>
          </w:p>
        </w:tc>
      </w:tr>
      <w:tr w:rsidR="00346B70" w:rsidRPr="00A511D5" w14:paraId="5D40CCC1" w14:textId="77777777" w:rsidTr="00346B70">
        <w:trPr>
          <w:trHeight w:val="409"/>
        </w:trPr>
        <w:tc>
          <w:tcPr>
            <w:tcW w:w="0" w:type="auto"/>
            <w:noWrap/>
            <w:hideMark/>
          </w:tcPr>
          <w:p w14:paraId="637DBD85"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Ig G</w:t>
            </w:r>
          </w:p>
        </w:tc>
        <w:tc>
          <w:tcPr>
            <w:tcW w:w="0" w:type="auto"/>
            <w:noWrap/>
            <w:vAlign w:val="center"/>
            <w:hideMark/>
          </w:tcPr>
          <w:p w14:paraId="69DC8C21"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9,1</w:t>
            </w:r>
            <w:r w:rsidRPr="00A511D5">
              <w:rPr>
                <w:rFonts w:ascii="Times New Roman" w:eastAsia="Calibri" w:hAnsi="Times New Roman" w:cs="Times New Roman"/>
                <w:color w:val="000000"/>
                <w:sz w:val="28"/>
                <w:szCs w:val="28"/>
              </w:rPr>
              <w:t>5</w:t>
            </w:r>
          </w:p>
        </w:tc>
        <w:tc>
          <w:tcPr>
            <w:tcW w:w="0" w:type="auto"/>
            <w:noWrap/>
            <w:vAlign w:val="center"/>
            <w:hideMark/>
          </w:tcPr>
          <w:p w14:paraId="4CF8AEA5"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7B50D5EA"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9,1</w:t>
            </w:r>
            <w:r w:rsidRPr="00A511D5">
              <w:rPr>
                <w:rFonts w:ascii="Times New Roman" w:eastAsia="Calibri" w:hAnsi="Times New Roman" w:cs="Times New Roman"/>
                <w:color w:val="000000"/>
                <w:sz w:val="28"/>
                <w:szCs w:val="28"/>
              </w:rPr>
              <w:t>5</w:t>
            </w:r>
          </w:p>
        </w:tc>
        <w:tc>
          <w:tcPr>
            <w:tcW w:w="0" w:type="auto"/>
            <w:noWrap/>
            <w:vAlign w:val="center"/>
            <w:hideMark/>
          </w:tcPr>
          <w:p w14:paraId="672B7A60"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52,11</w:t>
            </w:r>
          </w:p>
        </w:tc>
        <w:tc>
          <w:tcPr>
            <w:tcW w:w="0" w:type="auto"/>
            <w:noWrap/>
            <w:vAlign w:val="center"/>
            <w:hideMark/>
          </w:tcPr>
          <w:p w14:paraId="0A02A532"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0,001</w:t>
            </w:r>
          </w:p>
        </w:tc>
        <w:tc>
          <w:tcPr>
            <w:tcW w:w="0" w:type="auto"/>
            <w:noWrap/>
            <w:vAlign w:val="center"/>
            <w:hideMark/>
          </w:tcPr>
          <w:p w14:paraId="22882D5B"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0,54</w:t>
            </w:r>
          </w:p>
        </w:tc>
      </w:tr>
      <w:tr w:rsidR="00346B70" w:rsidRPr="00A511D5" w14:paraId="4CCA5942" w14:textId="77777777" w:rsidTr="00346B70">
        <w:trPr>
          <w:trHeight w:val="287"/>
        </w:trPr>
        <w:tc>
          <w:tcPr>
            <w:tcW w:w="0" w:type="auto"/>
            <w:noWrap/>
            <w:hideMark/>
          </w:tcPr>
          <w:p w14:paraId="19FBFA02" w14:textId="77777777" w:rsidR="00346B70" w:rsidRPr="00A511D5" w:rsidRDefault="00346B70" w:rsidP="00D72A07">
            <w:pPr>
              <w:spacing w:after="0" w:line="360" w:lineRule="auto"/>
              <w:jc w:val="center"/>
              <w:rPr>
                <w:rFonts w:ascii="Times New Roman" w:eastAsia="Times New Roman" w:hAnsi="Times New Roman" w:cs="Times New Roman"/>
                <w:bCs/>
                <w:color w:val="000000"/>
                <w:sz w:val="28"/>
                <w:szCs w:val="28"/>
                <w:lang w:eastAsia="ru-RU"/>
              </w:rPr>
            </w:pPr>
            <w:r w:rsidRPr="00A511D5">
              <w:rPr>
                <w:rFonts w:ascii="Times New Roman" w:eastAsia="Times New Roman" w:hAnsi="Times New Roman" w:cs="Times New Roman"/>
                <w:bCs/>
                <w:color w:val="000000"/>
                <w:sz w:val="28"/>
                <w:szCs w:val="28"/>
                <w:lang w:eastAsia="ru-RU"/>
              </w:rPr>
              <w:t>SBI</w:t>
            </w:r>
          </w:p>
        </w:tc>
        <w:tc>
          <w:tcPr>
            <w:tcW w:w="0" w:type="auto"/>
            <w:noWrap/>
            <w:vAlign w:val="center"/>
            <w:hideMark/>
          </w:tcPr>
          <w:p w14:paraId="72B2D5CC"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25,73</w:t>
            </w:r>
          </w:p>
        </w:tc>
        <w:tc>
          <w:tcPr>
            <w:tcW w:w="0" w:type="auto"/>
            <w:noWrap/>
            <w:vAlign w:val="center"/>
            <w:hideMark/>
          </w:tcPr>
          <w:p w14:paraId="51C0E05B"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w:t>
            </w:r>
          </w:p>
        </w:tc>
        <w:tc>
          <w:tcPr>
            <w:tcW w:w="0" w:type="auto"/>
            <w:noWrap/>
            <w:vAlign w:val="center"/>
            <w:hideMark/>
          </w:tcPr>
          <w:p w14:paraId="6F6BD69A"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25,73</w:t>
            </w:r>
          </w:p>
        </w:tc>
        <w:tc>
          <w:tcPr>
            <w:tcW w:w="0" w:type="auto"/>
            <w:noWrap/>
            <w:vAlign w:val="center"/>
            <w:hideMark/>
          </w:tcPr>
          <w:p w14:paraId="1714C018"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Calibri" w:hAnsi="Times New Roman" w:cs="Times New Roman"/>
                <w:color w:val="000000"/>
                <w:sz w:val="28"/>
                <w:szCs w:val="28"/>
                <w:lang w:val="ru-RU"/>
              </w:rPr>
              <w:t>193,93</w:t>
            </w:r>
          </w:p>
        </w:tc>
        <w:tc>
          <w:tcPr>
            <w:tcW w:w="0" w:type="auto"/>
            <w:noWrap/>
            <w:vAlign w:val="center"/>
            <w:hideMark/>
          </w:tcPr>
          <w:p w14:paraId="121A0CCC" w14:textId="77777777" w:rsidR="00346B70" w:rsidRPr="00A511D5" w:rsidRDefault="00346B70" w:rsidP="00D72A07">
            <w:pPr>
              <w:spacing w:after="0" w:line="360" w:lineRule="auto"/>
              <w:rPr>
                <w:rFonts w:ascii="Times New Roman" w:eastAsia="Calibri" w:hAnsi="Times New Roman" w:cs="Times New Roman"/>
                <w:sz w:val="28"/>
                <w:szCs w:val="28"/>
                <w:lang w:val="ru-RU"/>
              </w:rPr>
            </w:pPr>
            <w:r w:rsidRPr="00A511D5">
              <w:rPr>
                <w:rFonts w:ascii="Times New Roman" w:eastAsia="Times New Roman" w:hAnsi="Times New Roman" w:cs="Times New Roman"/>
                <w:color w:val="000000"/>
                <w:sz w:val="28"/>
                <w:szCs w:val="28"/>
                <w:lang w:eastAsia="ru-RU"/>
              </w:rPr>
              <w:t>&lt;</w:t>
            </w:r>
            <w:r w:rsidRPr="00A511D5">
              <w:rPr>
                <w:rFonts w:ascii="Times New Roman" w:eastAsia="Times New Roman" w:hAnsi="Times New Roman" w:cs="Times New Roman"/>
                <w:color w:val="000000"/>
                <w:sz w:val="28"/>
                <w:szCs w:val="28"/>
                <w:lang w:val="ru-RU" w:eastAsia="ru-RU"/>
              </w:rPr>
              <w:t>0,01</w:t>
            </w:r>
          </w:p>
        </w:tc>
        <w:tc>
          <w:tcPr>
            <w:tcW w:w="0" w:type="auto"/>
            <w:noWrap/>
            <w:vAlign w:val="center"/>
            <w:hideMark/>
          </w:tcPr>
          <w:p w14:paraId="0C69AACE" w14:textId="77777777" w:rsidR="00346B70" w:rsidRPr="00A511D5" w:rsidRDefault="00346B70" w:rsidP="00D72A07">
            <w:pPr>
              <w:spacing w:after="0" w:line="360" w:lineRule="auto"/>
              <w:rPr>
                <w:rFonts w:ascii="Times New Roman" w:eastAsia="Calibri" w:hAnsi="Times New Roman" w:cs="Times New Roman"/>
                <w:sz w:val="28"/>
                <w:szCs w:val="28"/>
              </w:rPr>
            </w:pPr>
            <w:r w:rsidRPr="00A511D5">
              <w:rPr>
                <w:rFonts w:ascii="Times New Roman" w:eastAsia="Calibri" w:hAnsi="Times New Roman" w:cs="Times New Roman"/>
                <w:color w:val="000000"/>
                <w:sz w:val="28"/>
                <w:szCs w:val="28"/>
                <w:lang w:val="ru-RU"/>
              </w:rPr>
              <w:t>0,8</w:t>
            </w:r>
            <w:r w:rsidRPr="00A511D5">
              <w:rPr>
                <w:rFonts w:ascii="Times New Roman" w:eastAsia="Calibri" w:hAnsi="Times New Roman" w:cs="Times New Roman"/>
                <w:color w:val="000000"/>
                <w:sz w:val="28"/>
                <w:szCs w:val="28"/>
              </w:rPr>
              <w:t>2</w:t>
            </w:r>
          </w:p>
        </w:tc>
      </w:tr>
    </w:tbl>
    <w:p w14:paraId="1A53ABDF" w14:textId="77777777" w:rsidR="00AE1539" w:rsidRDefault="00346B70" w:rsidP="00D72A07">
      <w:pPr>
        <w:spacing w:after="200" w:line="360" w:lineRule="auto"/>
        <w:jc w:val="both"/>
        <w:rPr>
          <w:rFonts w:ascii="Times New Roman" w:eastAsia="Calibri" w:hAnsi="Times New Roman" w:cs="Times New Roman"/>
          <w:sz w:val="28"/>
          <w:szCs w:val="28"/>
        </w:rPr>
      </w:pPr>
      <w:r w:rsidRPr="00A511D5">
        <w:rPr>
          <w:rFonts w:ascii="Times New Roman" w:eastAsia="Calibri" w:hAnsi="Times New Roman" w:cs="Times New Roman"/>
          <w:sz w:val="28"/>
          <w:szCs w:val="28"/>
        </w:rPr>
        <w:tab/>
      </w:r>
    </w:p>
    <w:p w14:paraId="66C71C78" w14:textId="4857041D" w:rsidR="00346B70" w:rsidRPr="00A448F8" w:rsidRDefault="00346B70" w:rsidP="00A448F8">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A448F8">
        <w:rPr>
          <w:rFonts w:ascii="Times New Roman" w:eastAsia="Calibri" w:hAnsi="Times New Roman" w:cs="Times New Roman"/>
          <w:sz w:val="28"/>
          <w:szCs w:val="28"/>
          <w:lang w:val="uk-UA"/>
        </w:rPr>
        <w:t xml:space="preserve">Генотипування обстежуваних щодо </w:t>
      </w:r>
      <w:r w:rsidRPr="00A448F8">
        <w:rPr>
          <w:rFonts w:ascii="Times New Roman" w:eastAsia="Calibri" w:hAnsi="Times New Roman" w:cs="Times New Roman"/>
          <w:sz w:val="28"/>
          <w:szCs w:val="28"/>
        </w:rPr>
        <w:t>VNTR</w:t>
      </w:r>
      <w:r w:rsidRPr="00A448F8">
        <w:rPr>
          <w:rFonts w:ascii="Times New Roman" w:eastAsia="Calibri" w:hAnsi="Times New Roman" w:cs="Times New Roman"/>
          <w:sz w:val="28"/>
          <w:szCs w:val="28"/>
          <w:lang w:val="uk-UA"/>
        </w:rPr>
        <w:t xml:space="preserve"> поліморфізму (кількості копій повторів розміром 59 п.н.) в інтроні 36 гена </w:t>
      </w:r>
      <w:r w:rsidRPr="00936303">
        <w:rPr>
          <w:rFonts w:ascii="Times New Roman" w:eastAsia="Calibri" w:hAnsi="Times New Roman" w:cs="Times New Roman"/>
          <w:i/>
          <w:sz w:val="28"/>
          <w:szCs w:val="28"/>
        </w:rPr>
        <w:t>MUC</w:t>
      </w:r>
      <w:r w:rsidRPr="00A448F8">
        <w:rPr>
          <w:rFonts w:ascii="Times New Roman" w:eastAsia="Calibri" w:hAnsi="Times New Roman" w:cs="Times New Roman"/>
          <w:i/>
          <w:sz w:val="28"/>
          <w:szCs w:val="28"/>
          <w:lang w:val="uk-UA"/>
        </w:rPr>
        <w:t>5</w:t>
      </w:r>
      <w:r w:rsidRPr="00936303">
        <w:rPr>
          <w:rFonts w:ascii="Times New Roman" w:eastAsia="Calibri" w:hAnsi="Times New Roman" w:cs="Times New Roman"/>
          <w:i/>
          <w:sz w:val="28"/>
          <w:szCs w:val="28"/>
        </w:rPr>
        <w:t>B</w:t>
      </w:r>
      <w:r w:rsidRPr="00A448F8">
        <w:rPr>
          <w:rFonts w:ascii="Times New Roman" w:eastAsia="Calibri" w:hAnsi="Times New Roman" w:cs="Times New Roman"/>
          <w:sz w:val="28"/>
          <w:szCs w:val="28"/>
          <w:lang w:val="uk-UA"/>
        </w:rPr>
        <w:t xml:space="preserve"> показало, що у контрольній групі більшість (50 %) мала генотип 2/2, тобто гомозиготний за алелем з двома копіями зазначеної ділянки. Всі інші – гетерозиготи (2/3, 2/7, 6/9 – по 8%; 7/9 – 16 %; 2/7/9 – 8 %. Слід відзначити, що різна кількість алелів </w:t>
      </w:r>
      <w:r w:rsidRPr="00A448F8">
        <w:rPr>
          <w:rFonts w:ascii="Times New Roman" w:eastAsia="Calibri" w:hAnsi="Times New Roman" w:cs="Times New Roman"/>
          <w:sz w:val="28"/>
          <w:szCs w:val="28"/>
        </w:rPr>
        <w:t>VNTR</w:t>
      </w:r>
      <w:r w:rsidRPr="00A448F8">
        <w:rPr>
          <w:rFonts w:ascii="Times New Roman" w:eastAsia="Calibri" w:hAnsi="Times New Roman" w:cs="Times New Roman"/>
          <w:sz w:val="28"/>
          <w:szCs w:val="28"/>
          <w:lang w:val="uk-UA"/>
        </w:rPr>
        <w:t xml:space="preserve"> є наслідком нестабільної передачі кількості повторів з покоління в покоління через збільшення імовірності нерівного кросинговеру (у мейозі) та імовірності мітотичного кросинговеру (при поділі сом</w:t>
      </w:r>
      <w:r w:rsidR="00A448F8">
        <w:rPr>
          <w:rFonts w:ascii="Times New Roman" w:eastAsia="Calibri" w:hAnsi="Times New Roman" w:cs="Times New Roman"/>
          <w:sz w:val="28"/>
          <w:szCs w:val="28"/>
          <w:lang w:val="uk-UA"/>
        </w:rPr>
        <w:t>а</w:t>
      </w:r>
      <w:r w:rsidR="00AE1539">
        <w:rPr>
          <w:rFonts w:ascii="Times New Roman" w:eastAsia="Calibri" w:hAnsi="Times New Roman" w:cs="Times New Roman"/>
          <w:sz w:val="28"/>
          <w:szCs w:val="28"/>
          <w:lang w:val="uk-UA"/>
        </w:rPr>
        <w:t>тичних клітин в онтогенезі) [268, 269</w:t>
      </w:r>
      <w:r w:rsidRPr="00A448F8">
        <w:rPr>
          <w:rFonts w:ascii="Times New Roman" w:eastAsia="Calibri" w:hAnsi="Times New Roman" w:cs="Times New Roman"/>
          <w:sz w:val="28"/>
          <w:szCs w:val="28"/>
          <w:lang w:val="uk-UA"/>
        </w:rPr>
        <w:t>]. На наш погляд, саме поява генотипів із трьома алелями може свідчити про підвищений рівень нестабільності геному в таких індивідів.</w:t>
      </w:r>
    </w:p>
    <w:p w14:paraId="7F9C0E8B" w14:textId="4A0D6A6D" w:rsidR="00346B70" w:rsidRPr="00A448F8" w:rsidRDefault="00346B70" w:rsidP="00A448F8">
      <w:pPr>
        <w:spacing w:after="0" w:line="360" w:lineRule="auto"/>
        <w:ind w:firstLine="709"/>
        <w:jc w:val="both"/>
        <w:rPr>
          <w:rFonts w:ascii="Times New Roman" w:hAnsi="Times New Roman" w:cs="Times New Roman"/>
          <w:sz w:val="28"/>
          <w:szCs w:val="28"/>
          <w:lang w:val="uk-UA" w:eastAsia="ru-RU"/>
        </w:rPr>
      </w:pPr>
      <w:r w:rsidRPr="00A448F8">
        <w:rPr>
          <w:rFonts w:ascii="Times New Roman" w:hAnsi="Times New Roman" w:cs="Times New Roman"/>
          <w:sz w:val="28"/>
          <w:szCs w:val="28"/>
          <w:lang w:val="uk-UA" w:eastAsia="ru-RU"/>
        </w:rPr>
        <w:t>У дослідній групі спостерігаємо ще більший спектр генотипів: гомозиготні – 65 % (з них: 4/4 – 3%, 5/5 – 6 %, 6/6 – 12 %, 7/7 – 29 %, 8/8 – 15 %); гетерозиготні – 35 % (з них: 2/7 – 3%, 7/8 – 3 %, 7/9 – 12 %, 3/6/8 – 12 %, 4/6/7 – 3%, 6/8/9 – 3%). Звертаємо увагу, що кількість осіб з трьома алелями у цій групі більше, що відповідає загально біологічним уявленням про будь-яке захворювання як про стрес, який може бути фактором або індик</w:t>
      </w:r>
      <w:r w:rsidR="00A448F8">
        <w:rPr>
          <w:rFonts w:ascii="Times New Roman" w:hAnsi="Times New Roman" w:cs="Times New Roman"/>
          <w:sz w:val="28"/>
          <w:szCs w:val="28"/>
          <w:lang w:val="uk-UA" w:eastAsia="ru-RU"/>
        </w:rPr>
        <w:t>а</w:t>
      </w:r>
      <w:r w:rsidR="00AE1539">
        <w:rPr>
          <w:rFonts w:ascii="Times New Roman" w:hAnsi="Times New Roman" w:cs="Times New Roman"/>
          <w:sz w:val="28"/>
          <w:szCs w:val="28"/>
          <w:lang w:val="uk-UA" w:eastAsia="ru-RU"/>
        </w:rPr>
        <w:t>тором дестабілізації геному [271, 272</w:t>
      </w:r>
      <w:r w:rsidRPr="00A448F8">
        <w:rPr>
          <w:rFonts w:ascii="Times New Roman" w:hAnsi="Times New Roman" w:cs="Times New Roman"/>
          <w:sz w:val="28"/>
          <w:szCs w:val="28"/>
          <w:lang w:val="uk-UA" w:eastAsia="ru-RU"/>
        </w:rPr>
        <w:t>].</w:t>
      </w:r>
    </w:p>
    <w:p w14:paraId="20E6DA5E" w14:textId="1EE8EB08" w:rsidR="00346B70" w:rsidRPr="00D92E77" w:rsidRDefault="00346B70" w:rsidP="00A448F8">
      <w:pPr>
        <w:spacing w:after="0" w:line="360" w:lineRule="auto"/>
        <w:ind w:firstLine="709"/>
        <w:jc w:val="both"/>
        <w:rPr>
          <w:rFonts w:ascii="Times New Roman" w:hAnsi="Times New Roman" w:cs="Times New Roman"/>
          <w:iCs/>
          <w:sz w:val="28"/>
          <w:szCs w:val="28"/>
          <w:lang w:val="uk-UA" w:eastAsia="ru-RU"/>
        </w:rPr>
      </w:pPr>
      <w:r w:rsidRPr="00A448F8">
        <w:rPr>
          <w:rFonts w:ascii="Times New Roman" w:hAnsi="Times New Roman" w:cs="Times New Roman"/>
          <w:sz w:val="28"/>
          <w:szCs w:val="28"/>
          <w:lang w:val="uk-UA" w:eastAsia="ru-RU"/>
        </w:rPr>
        <w:t>Поліморфізми апомуцину та структурні варіації олігосахаридів роблять можливим широкий спектр індивідуальних відмінностей у будові муцинів</w:t>
      </w:r>
      <w:r w:rsidRPr="00D92E77">
        <w:rPr>
          <w:rFonts w:ascii="Times New Roman" w:hAnsi="Times New Roman" w:cs="Times New Roman"/>
          <w:sz w:val="28"/>
          <w:szCs w:val="28"/>
          <w:lang w:val="uk-UA" w:eastAsia="ru-RU"/>
        </w:rPr>
        <w:t>. Такі відмінності, імовірно, сприяють адаптації видів до умов середовища, що змінюються. Поліморфізми муцинів, дійсно, можуть мати адаптивне значення у межах популяції, але цілком можливо, що при цьому окремі індивіди є більш чутливими до бактеріальної колонізації чи атаки антигенів</w:t>
      </w:r>
      <w:r w:rsidRPr="00D92E77">
        <w:rPr>
          <w:rFonts w:ascii="Times New Roman" w:hAnsi="Times New Roman" w:cs="Times New Roman"/>
          <w:b/>
          <w:sz w:val="28"/>
          <w:szCs w:val="28"/>
          <w:lang w:val="uk-UA" w:eastAsia="ru-RU"/>
        </w:rPr>
        <w:t xml:space="preserve"> </w:t>
      </w:r>
      <w:r w:rsidRPr="00D92E77">
        <w:rPr>
          <w:rFonts w:ascii="Times New Roman" w:hAnsi="Times New Roman" w:cs="Times New Roman"/>
          <w:sz w:val="28"/>
          <w:szCs w:val="28"/>
          <w:lang w:val="uk-UA" w:eastAsia="ru-RU"/>
        </w:rPr>
        <w:t>[</w:t>
      </w:r>
      <w:r w:rsidR="00AE1539">
        <w:rPr>
          <w:rFonts w:ascii="Times New Roman" w:hAnsi="Times New Roman" w:cs="Times New Roman"/>
          <w:sz w:val="28"/>
          <w:szCs w:val="28"/>
          <w:lang w:val="uk-UA" w:eastAsia="ru-RU"/>
        </w:rPr>
        <w:t>2</w:t>
      </w:r>
      <w:r w:rsidR="00AE1539" w:rsidRPr="00AE1539">
        <w:rPr>
          <w:rFonts w:ascii="Times New Roman" w:hAnsi="Times New Roman" w:cs="Times New Roman"/>
          <w:sz w:val="28"/>
          <w:szCs w:val="28"/>
          <w:lang w:val="uk-UA" w:eastAsia="ru-RU"/>
        </w:rPr>
        <w:t>72-274</w:t>
      </w:r>
      <w:r w:rsidRPr="00D92E77">
        <w:rPr>
          <w:rFonts w:ascii="Times New Roman" w:hAnsi="Times New Roman" w:cs="Times New Roman"/>
          <w:iCs/>
          <w:sz w:val="28"/>
          <w:szCs w:val="28"/>
          <w:lang w:val="uk-UA" w:eastAsia="ru-RU"/>
        </w:rPr>
        <w:t>].</w:t>
      </w:r>
    </w:p>
    <w:p w14:paraId="535402F7" w14:textId="0FAC07C9" w:rsidR="00346B70" w:rsidRPr="00346B70" w:rsidRDefault="00346B70" w:rsidP="00A511D5">
      <w:pPr>
        <w:autoSpaceDE w:val="0"/>
        <w:autoSpaceDN w:val="0"/>
        <w:adjustRightInd w:val="0"/>
        <w:spacing w:after="0" w:line="360" w:lineRule="auto"/>
        <w:ind w:firstLine="708"/>
        <w:jc w:val="both"/>
        <w:rPr>
          <w:rFonts w:ascii="Times New Roman" w:eastAsia="Calibri" w:hAnsi="Times New Roman" w:cs="Times New Roman"/>
          <w:sz w:val="28"/>
          <w:szCs w:val="28"/>
          <w:lang w:val="uk-UA" w:eastAsia="ru-RU"/>
        </w:rPr>
      </w:pPr>
      <w:r w:rsidRPr="00346B70">
        <w:rPr>
          <w:rFonts w:ascii="Times New Roman" w:eastAsia="Calibri" w:hAnsi="Times New Roman" w:cs="Times New Roman"/>
          <w:sz w:val="28"/>
          <w:szCs w:val="28"/>
          <w:lang w:val="uk-UA" w:eastAsia="ru-RU"/>
        </w:rPr>
        <w:t xml:space="preserve">Так, наприклад, у дослідженнях </w:t>
      </w:r>
      <w:r w:rsidRPr="00992002">
        <w:rPr>
          <w:rFonts w:ascii="Times New Roman" w:eastAsia="Times New Roman" w:hAnsi="Times New Roman" w:cs="Times New Roman"/>
          <w:sz w:val="28"/>
          <w:szCs w:val="28"/>
          <w:lang w:val="ru-RU" w:eastAsia="ru-RU"/>
        </w:rPr>
        <w:t>Peacocke</w:t>
      </w:r>
      <w:r w:rsidRPr="00346B70">
        <w:rPr>
          <w:rFonts w:ascii="Times New Roman" w:eastAsia="Times New Roman" w:hAnsi="Times New Roman" w:cs="Times New Roman"/>
          <w:sz w:val="28"/>
          <w:szCs w:val="28"/>
          <w:lang w:val="uk-UA" w:eastAsia="ru-RU"/>
        </w:rPr>
        <w:t xml:space="preserve"> зі співавторами </w:t>
      </w:r>
      <w:r w:rsidRPr="00346B70">
        <w:rPr>
          <w:rFonts w:ascii="Times New Roman" w:eastAsia="Calibri" w:hAnsi="Times New Roman" w:cs="Times New Roman"/>
          <w:sz w:val="28"/>
          <w:szCs w:val="28"/>
          <w:lang w:val="uk-UA" w:eastAsia="ru-RU"/>
        </w:rPr>
        <w:t xml:space="preserve">певна варіація кількості повторів спостерігалась у зразках обстежених з контрольної групи, порівняно з </w:t>
      </w:r>
      <w:r w:rsidRPr="00346B70">
        <w:rPr>
          <w:rFonts w:ascii="Times New Roman" w:eastAsia="Calibri" w:hAnsi="Times New Roman" w:cs="Times New Roman"/>
          <w:sz w:val="28"/>
          <w:szCs w:val="28"/>
          <w:lang w:val="ru-RU" w:eastAsia="ru-RU"/>
        </w:rPr>
        <w:t>HIV</w:t>
      </w:r>
      <w:r w:rsidR="00853AD1">
        <w:rPr>
          <w:rFonts w:ascii="Times New Roman" w:eastAsia="Calibri" w:hAnsi="Times New Roman" w:cs="Times New Roman"/>
          <w:sz w:val="28"/>
          <w:szCs w:val="28"/>
          <w:lang w:val="uk-UA" w:eastAsia="ru-RU"/>
        </w:rPr>
        <w:t xml:space="preserve">-позитивною групою </w:t>
      </w:r>
      <w:r w:rsidRPr="00346B70">
        <w:rPr>
          <w:rFonts w:ascii="Times New Roman" w:eastAsia="Calibri" w:hAnsi="Times New Roman" w:cs="Times New Roman"/>
          <w:sz w:val="28"/>
          <w:szCs w:val="28"/>
          <w:lang w:val="uk-UA" w:eastAsia="ru-RU"/>
        </w:rPr>
        <w:t>[</w:t>
      </w:r>
      <w:r w:rsidR="00A511D5">
        <w:rPr>
          <w:rFonts w:ascii="Times New Roman" w:eastAsia="Calibri" w:hAnsi="Times New Roman" w:cs="Times New Roman"/>
          <w:sz w:val="28"/>
          <w:szCs w:val="28"/>
          <w:lang w:val="uk-UA" w:eastAsia="ru-RU"/>
        </w:rPr>
        <w:t>2</w:t>
      </w:r>
      <w:r w:rsidR="00AE1539">
        <w:rPr>
          <w:rFonts w:ascii="Times New Roman" w:eastAsia="Calibri" w:hAnsi="Times New Roman" w:cs="Times New Roman"/>
          <w:sz w:val="28"/>
          <w:szCs w:val="28"/>
          <w:lang w:val="uk-UA" w:eastAsia="ru-RU"/>
        </w:rPr>
        <w:t>75</w:t>
      </w:r>
      <w:r w:rsidRPr="00346B70">
        <w:rPr>
          <w:rFonts w:ascii="Times New Roman" w:eastAsia="Calibri" w:hAnsi="Times New Roman" w:cs="Times New Roman"/>
          <w:sz w:val="28"/>
          <w:szCs w:val="28"/>
          <w:lang w:val="uk-UA" w:eastAsia="ru-RU"/>
        </w:rPr>
        <w:t>].</w:t>
      </w:r>
    </w:p>
    <w:p w14:paraId="5902AE1F" w14:textId="77777777" w:rsidR="00346B70" w:rsidRPr="00346B70" w:rsidRDefault="00346B70" w:rsidP="00D72A07">
      <w:pPr>
        <w:spacing w:after="0" w:line="360" w:lineRule="auto"/>
        <w:ind w:firstLine="708"/>
        <w:jc w:val="both"/>
        <w:rPr>
          <w:rFonts w:ascii="Times New Roman" w:eastAsia="Times New Roman" w:hAnsi="Times New Roman" w:cs="Times New Roman"/>
          <w:bCs/>
          <w:sz w:val="28"/>
          <w:szCs w:val="28"/>
          <w:lang w:val="uk-UA" w:eastAsia="ru-RU"/>
        </w:rPr>
      </w:pPr>
      <w:r w:rsidRPr="00346B70">
        <w:rPr>
          <w:rFonts w:ascii="Times New Roman" w:eastAsia="Times New Roman" w:hAnsi="Times New Roman" w:cs="Times New Roman"/>
          <w:sz w:val="28"/>
          <w:szCs w:val="28"/>
          <w:lang w:val="uk-UA" w:eastAsia="ru-RU"/>
        </w:rPr>
        <w:t xml:space="preserve">За результатами власних досліджень спостерігаємо, </w:t>
      </w:r>
      <w:r w:rsidRPr="00346B70">
        <w:rPr>
          <w:rFonts w:ascii="Times New Roman" w:eastAsia="Calibri" w:hAnsi="Times New Roman" w:cs="Times New Roman"/>
          <w:sz w:val="28"/>
          <w:szCs w:val="28"/>
          <w:lang w:val="uk-UA"/>
        </w:rPr>
        <w:t xml:space="preserve">що переважна більшість (75 %) осіб, які склали контрольну групу є носіями короткого варіанту (2 повтори) інтрона 36 гена </w:t>
      </w:r>
      <w:r w:rsidRPr="00346B70">
        <w:rPr>
          <w:rFonts w:ascii="Times New Roman" w:eastAsia="Calibri" w:hAnsi="Times New Roman" w:cs="Times New Roman"/>
          <w:i/>
          <w:sz w:val="28"/>
          <w:szCs w:val="28"/>
          <w:lang w:val="ru-RU"/>
        </w:rPr>
        <w:t>MUC5B</w:t>
      </w:r>
      <w:r w:rsidRPr="00346B70">
        <w:rPr>
          <w:rFonts w:ascii="Times New Roman" w:eastAsia="Calibri" w:hAnsi="Times New Roman" w:cs="Times New Roman"/>
          <w:sz w:val="28"/>
          <w:szCs w:val="28"/>
          <w:lang w:val="uk-UA"/>
        </w:rPr>
        <w:t>. При цьому серед них є як гомозиготи за даним алелем, так і гетерозиготи. Навпаки, даний алель практично не зустрічається (94 %) в осіб з дослідної групи (з гінгівітом та атопічними захворюваннями). Це підтверджує перевірка за критерієм Краскелла-Уолліса (</w:t>
      </w:r>
      <w:r w:rsidRPr="00346B70">
        <w:rPr>
          <w:rFonts w:ascii="Times New Roman" w:eastAsia="Calibri" w:hAnsi="Times New Roman" w:cs="Times New Roman"/>
          <w:color w:val="000000"/>
          <w:sz w:val="28"/>
          <w:szCs w:val="28"/>
          <w:lang w:val="ru-RU" w:eastAsia="ru-RU"/>
        </w:rPr>
        <w:t>H</w:t>
      </w:r>
      <w:r w:rsidRPr="00346B70">
        <w:rPr>
          <w:rFonts w:ascii="Times New Roman" w:eastAsia="Calibri" w:hAnsi="Times New Roman" w:cs="Times New Roman"/>
          <w:color w:val="000000"/>
          <w:sz w:val="28"/>
          <w:szCs w:val="28"/>
          <w:lang w:val="uk-UA" w:eastAsia="ru-RU"/>
        </w:rPr>
        <w:t xml:space="preserve"> =26,48; </w:t>
      </w:r>
      <w:r w:rsidRPr="00346B70">
        <w:rPr>
          <w:rFonts w:ascii="Times New Roman" w:eastAsia="Calibri" w:hAnsi="Times New Roman" w:cs="Times New Roman"/>
          <w:color w:val="000000"/>
          <w:sz w:val="28"/>
          <w:szCs w:val="28"/>
          <w:lang w:val="ru-RU" w:eastAsia="ru-RU"/>
        </w:rPr>
        <w:t>p</w:t>
      </w:r>
      <w:r w:rsidRPr="00346B70">
        <w:rPr>
          <w:rFonts w:ascii="Times New Roman" w:eastAsia="Calibri" w:hAnsi="Times New Roman" w:cs="Times New Roman"/>
          <w:color w:val="000000"/>
          <w:sz w:val="28"/>
          <w:szCs w:val="28"/>
          <w:lang w:val="uk-UA" w:eastAsia="ru-RU"/>
        </w:rPr>
        <w:t xml:space="preserve"> &lt;0,001).</w:t>
      </w:r>
      <w:r w:rsidRPr="00346B70">
        <w:rPr>
          <w:rFonts w:ascii="Arial CYR" w:eastAsia="Calibri" w:hAnsi="Arial CYR" w:cs="Arial CYR"/>
          <w:color w:val="000000"/>
          <w:sz w:val="20"/>
          <w:szCs w:val="20"/>
          <w:lang w:val="uk-UA" w:eastAsia="ru-RU"/>
        </w:rPr>
        <w:t xml:space="preserve"> </w:t>
      </w:r>
      <w:r w:rsidRPr="00346B70">
        <w:rPr>
          <w:rFonts w:ascii="Times New Roman" w:eastAsia="Calibri" w:hAnsi="Times New Roman" w:cs="Times New Roman"/>
          <w:color w:val="000000"/>
          <w:sz w:val="28"/>
          <w:szCs w:val="28"/>
          <w:lang w:val="uk-UA" w:eastAsia="ru-RU"/>
        </w:rPr>
        <w:t>Отже д</w:t>
      </w:r>
      <w:r w:rsidRPr="00346B70">
        <w:rPr>
          <w:rFonts w:ascii="Times New Roman" w:eastAsia="Calibri" w:hAnsi="Times New Roman" w:cs="Times New Roman"/>
          <w:sz w:val="28"/>
          <w:szCs w:val="28"/>
          <w:lang w:val="uk-UA"/>
        </w:rPr>
        <w:t>аний алель може бути запропонований як протективний відносно до гінгівіту та атопічних захворювань. Слід, однак, зауважити, що фактор носійства алелю з двома повторами не має асоціації з рівнем досліджуваних імуноглобулінів як сам по собі, так і у взаємодії з іншими контрольованими в дослідженні факторами (наявність діагнозу, гомо/гетерозиготність).</w:t>
      </w:r>
    </w:p>
    <w:p w14:paraId="56DEC6C8" w14:textId="77777777" w:rsidR="00346B70" w:rsidRPr="00346B70" w:rsidRDefault="00346B70" w:rsidP="00D72A07">
      <w:pPr>
        <w:spacing w:after="0" w:line="360" w:lineRule="auto"/>
        <w:ind w:firstLine="708"/>
        <w:jc w:val="both"/>
        <w:rPr>
          <w:rFonts w:ascii="Calibri" w:eastAsia="Calibri" w:hAnsi="Calibri" w:cs="Times New Roman"/>
          <w:b/>
          <w:sz w:val="28"/>
          <w:szCs w:val="28"/>
          <w:lang w:val="uk-UA"/>
        </w:rPr>
      </w:pPr>
      <w:r w:rsidRPr="00346B70">
        <w:rPr>
          <w:rFonts w:ascii="Times New Roman" w:eastAsia="Calibri" w:hAnsi="Times New Roman" w:cs="Times New Roman"/>
          <w:sz w:val="28"/>
          <w:szCs w:val="28"/>
          <w:lang w:val="uk-UA"/>
        </w:rPr>
        <w:t>У представників дослідної групи, порівняно із контролем, частіше зустрічається алель із 8-ма повторами (</w:t>
      </w:r>
      <w:r w:rsidRPr="00346B70">
        <w:rPr>
          <w:rFonts w:ascii="Times New Roman" w:eastAsia="Calibri" w:hAnsi="Times New Roman" w:cs="Times New Roman"/>
          <w:color w:val="000000"/>
          <w:sz w:val="28"/>
          <w:szCs w:val="28"/>
          <w:lang w:val="ru-RU" w:eastAsia="ru-RU"/>
        </w:rPr>
        <w:t>H =4,99</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 xml:space="preserve"> p &lt;0,0</w:t>
      </w:r>
      <w:r w:rsidRPr="00346B70">
        <w:rPr>
          <w:rFonts w:ascii="Times New Roman" w:eastAsia="Calibri" w:hAnsi="Times New Roman" w:cs="Times New Roman"/>
          <w:color w:val="000000"/>
          <w:sz w:val="28"/>
          <w:szCs w:val="28"/>
          <w:lang w:val="uk-UA" w:eastAsia="ru-RU"/>
        </w:rPr>
        <w:t xml:space="preserve">5). Але при цьому </w:t>
      </w:r>
      <w:r w:rsidRPr="00346B70">
        <w:rPr>
          <w:rFonts w:ascii="Times New Roman" w:eastAsia="Calibri" w:hAnsi="Times New Roman" w:cs="Times New Roman"/>
          <w:sz w:val="28"/>
          <w:szCs w:val="28"/>
          <w:lang w:val="uk-UA"/>
        </w:rPr>
        <w:t>фактор носійства даного алелю також не має асоціації з рівнем досліджуваних імуноглобулінів як сам по собі, так і у взаємодії з іншими контрольованими в дослідженні факторами (наявність діагнозу, гомо/гетерозиготність).</w:t>
      </w:r>
    </w:p>
    <w:p w14:paraId="3B7CD999" w14:textId="77777777" w:rsidR="00346B70" w:rsidRPr="00346B70" w:rsidRDefault="00346B70" w:rsidP="00D72A07">
      <w:pPr>
        <w:spacing w:after="200" w:line="360" w:lineRule="auto"/>
        <w:jc w:val="both"/>
        <w:rPr>
          <w:rFonts w:ascii="Times New Roman" w:eastAsia="Times New Roman" w:hAnsi="Times New Roman" w:cs="Times New Roman"/>
          <w:bCs/>
          <w:color w:val="FF0000"/>
          <w:sz w:val="28"/>
          <w:szCs w:val="28"/>
          <w:lang w:val="uk-UA" w:eastAsia="ru-RU"/>
        </w:rPr>
        <w:sectPr w:rsidR="00346B70" w:rsidRPr="00346B70" w:rsidSect="00715F72">
          <w:headerReference w:type="default" r:id="rId42"/>
          <w:pgSz w:w="11906" w:h="16838"/>
          <w:pgMar w:top="1134" w:right="851" w:bottom="1134" w:left="1418" w:header="709" w:footer="709" w:gutter="0"/>
          <w:cols w:space="708"/>
          <w:titlePg/>
          <w:docGrid w:linePitch="360"/>
        </w:sectPr>
      </w:pPr>
    </w:p>
    <w:tbl>
      <w:tblPr>
        <w:tblW w:w="22518" w:type="dxa"/>
        <w:tblLayout w:type="fixed"/>
        <w:tblLook w:val="04A0" w:firstRow="1" w:lastRow="0" w:firstColumn="1" w:lastColumn="0" w:noHBand="0" w:noVBand="1"/>
      </w:tblPr>
      <w:tblGrid>
        <w:gridCol w:w="7054"/>
        <w:gridCol w:w="7732"/>
        <w:gridCol w:w="7732"/>
      </w:tblGrid>
      <w:tr w:rsidR="009B1D01" w:rsidRPr="00346B70" w14:paraId="638A2A01" w14:textId="06F65FED" w:rsidTr="009B1D01">
        <w:tc>
          <w:tcPr>
            <w:tcW w:w="7054" w:type="dxa"/>
          </w:tcPr>
          <w:p w14:paraId="3FB48E7C" w14:textId="543FB38A" w:rsidR="009B1D01" w:rsidRPr="00346B70" w:rsidRDefault="009B1D01" w:rsidP="00D72A07">
            <w:pPr>
              <w:spacing w:after="0" w:line="360" w:lineRule="auto"/>
              <w:jc w:val="both"/>
              <w:rPr>
                <w:rFonts w:ascii="Times New Roman" w:eastAsia="Calibri" w:hAnsi="Times New Roman" w:cs="Times New Roman"/>
                <w:sz w:val="28"/>
                <w:szCs w:val="28"/>
                <w:lang w:val="uk-UA"/>
              </w:rPr>
            </w:pPr>
            <w:r w:rsidRPr="00346B70">
              <w:rPr>
                <w:rFonts w:ascii="Times New Roman" w:eastAsia="Calibri" w:hAnsi="Times New Roman" w:cs="Times New Roman"/>
                <w:noProof/>
                <w:sz w:val="28"/>
                <w:szCs w:val="28"/>
              </w:rPr>
              <w:drawing>
                <wp:inline distT="0" distB="0" distL="0" distR="0" wp14:anchorId="7F74ED73" wp14:editId="2D94C3AD">
                  <wp:extent cx="3609975" cy="2042486"/>
                  <wp:effectExtent l="0" t="0" r="0" b="0"/>
                  <wp:docPr id="150" name="Picture 150" descr="1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1а"/>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27125" cy="2052190"/>
                          </a:xfrm>
                          <a:prstGeom prst="rect">
                            <a:avLst/>
                          </a:prstGeom>
                          <a:noFill/>
                          <a:ln>
                            <a:noFill/>
                          </a:ln>
                        </pic:spPr>
                      </pic:pic>
                    </a:graphicData>
                  </a:graphic>
                </wp:inline>
              </w:drawing>
            </w:r>
          </w:p>
        </w:tc>
        <w:tc>
          <w:tcPr>
            <w:tcW w:w="7732" w:type="dxa"/>
          </w:tcPr>
          <w:p w14:paraId="0CCB04F7" w14:textId="1C08B2CD" w:rsidR="009B1D01" w:rsidRPr="00346B70" w:rsidRDefault="009B1D01" w:rsidP="00D72A07">
            <w:pPr>
              <w:spacing w:after="0" w:line="360" w:lineRule="auto"/>
              <w:jc w:val="both"/>
              <w:rPr>
                <w:rFonts w:ascii="Times New Roman" w:eastAsia="Calibri" w:hAnsi="Times New Roman" w:cs="Times New Roman"/>
                <w:sz w:val="28"/>
                <w:szCs w:val="28"/>
                <w:lang w:val="uk-UA"/>
              </w:rPr>
            </w:pPr>
            <w:r w:rsidRPr="00346B70">
              <w:rPr>
                <w:rFonts w:ascii="Calibri" w:eastAsia="Calibri" w:hAnsi="Calibri" w:cs="Times New Roman"/>
                <w:noProof/>
              </w:rPr>
              <w:drawing>
                <wp:inline distT="0" distB="0" distL="0" distR="0" wp14:anchorId="43C649AA" wp14:editId="3B70CA2B">
                  <wp:extent cx="3733800" cy="1962737"/>
                  <wp:effectExtent l="0" t="0" r="0" b="0"/>
                  <wp:docPr id="149" name="Picture 149" descr="1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1б"/>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48865" cy="1970656"/>
                          </a:xfrm>
                          <a:prstGeom prst="rect">
                            <a:avLst/>
                          </a:prstGeom>
                          <a:noFill/>
                          <a:ln>
                            <a:noFill/>
                          </a:ln>
                        </pic:spPr>
                      </pic:pic>
                    </a:graphicData>
                  </a:graphic>
                </wp:inline>
              </w:drawing>
            </w:r>
          </w:p>
        </w:tc>
        <w:tc>
          <w:tcPr>
            <w:tcW w:w="7732" w:type="dxa"/>
          </w:tcPr>
          <w:p w14:paraId="34CAB089" w14:textId="77777777" w:rsidR="009B1D01" w:rsidRPr="00346B70" w:rsidRDefault="009B1D01" w:rsidP="00D72A07">
            <w:pPr>
              <w:spacing w:after="0" w:line="360" w:lineRule="auto"/>
              <w:jc w:val="both"/>
              <w:rPr>
                <w:rFonts w:ascii="Calibri" w:eastAsia="Calibri" w:hAnsi="Calibri" w:cs="Times New Roman"/>
                <w:noProof/>
              </w:rPr>
            </w:pPr>
          </w:p>
        </w:tc>
      </w:tr>
      <w:tr w:rsidR="009B1D01" w:rsidRPr="00346B70" w14:paraId="1D8B7865" w14:textId="5EE33C67" w:rsidTr="009B1D01">
        <w:tc>
          <w:tcPr>
            <w:tcW w:w="7054" w:type="dxa"/>
          </w:tcPr>
          <w:p w14:paraId="467A63FF"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А</w:t>
            </w:r>
          </w:p>
        </w:tc>
        <w:tc>
          <w:tcPr>
            <w:tcW w:w="7732" w:type="dxa"/>
          </w:tcPr>
          <w:p w14:paraId="605AFC3C"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Б</w:t>
            </w:r>
          </w:p>
        </w:tc>
        <w:tc>
          <w:tcPr>
            <w:tcW w:w="7732" w:type="dxa"/>
          </w:tcPr>
          <w:p w14:paraId="4E9123F1"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p>
        </w:tc>
      </w:tr>
      <w:tr w:rsidR="009B1D01" w:rsidRPr="00346B70" w14:paraId="24A94DF4" w14:textId="311CBD4D" w:rsidTr="009B1D01">
        <w:tc>
          <w:tcPr>
            <w:tcW w:w="7054" w:type="dxa"/>
          </w:tcPr>
          <w:p w14:paraId="0A967211" w14:textId="6FDD9F3B" w:rsidR="009B1D01" w:rsidRPr="00346B70" w:rsidRDefault="009B1D01" w:rsidP="00D72A07">
            <w:pPr>
              <w:spacing w:after="0" w:line="360" w:lineRule="auto"/>
              <w:jc w:val="both"/>
              <w:rPr>
                <w:rFonts w:ascii="Calibri" w:eastAsia="Calibri" w:hAnsi="Calibri" w:cs="Times New Roman"/>
                <w:lang w:val="uk-UA"/>
              </w:rPr>
            </w:pPr>
            <w:r w:rsidRPr="00346B70">
              <w:rPr>
                <w:rFonts w:ascii="Calibri" w:eastAsia="Calibri" w:hAnsi="Calibri" w:cs="Times New Roman"/>
                <w:noProof/>
              </w:rPr>
              <w:drawing>
                <wp:inline distT="0" distB="0" distL="0" distR="0" wp14:anchorId="2904E663" wp14:editId="582D4F07">
                  <wp:extent cx="3543300" cy="1852706"/>
                  <wp:effectExtent l="0" t="0" r="0" b="0"/>
                  <wp:docPr id="148" name="Picture 148" descr="1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1в"/>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53486" cy="1858032"/>
                          </a:xfrm>
                          <a:prstGeom prst="rect">
                            <a:avLst/>
                          </a:prstGeom>
                          <a:noFill/>
                          <a:ln>
                            <a:noFill/>
                          </a:ln>
                        </pic:spPr>
                      </pic:pic>
                    </a:graphicData>
                  </a:graphic>
                </wp:inline>
              </w:drawing>
            </w:r>
          </w:p>
        </w:tc>
        <w:tc>
          <w:tcPr>
            <w:tcW w:w="7732" w:type="dxa"/>
          </w:tcPr>
          <w:p w14:paraId="48A2B291" w14:textId="08C63316" w:rsidR="009B1D01" w:rsidRPr="00346B70" w:rsidRDefault="009B1D01" w:rsidP="00D72A07">
            <w:pPr>
              <w:spacing w:after="0" w:line="360" w:lineRule="auto"/>
              <w:jc w:val="both"/>
              <w:rPr>
                <w:rFonts w:ascii="Calibri" w:eastAsia="Calibri" w:hAnsi="Calibri" w:cs="Times New Roman"/>
                <w:lang w:val="uk-UA"/>
              </w:rPr>
            </w:pPr>
            <w:r w:rsidRPr="00346B70">
              <w:rPr>
                <w:rFonts w:ascii="Calibri" w:eastAsia="Calibri" w:hAnsi="Calibri" w:cs="Times New Roman"/>
                <w:noProof/>
              </w:rPr>
              <w:drawing>
                <wp:inline distT="0" distB="0" distL="0" distR="0" wp14:anchorId="3C071F75" wp14:editId="650609BF">
                  <wp:extent cx="3276600" cy="1735947"/>
                  <wp:effectExtent l="0" t="0" r="0" b="0"/>
                  <wp:docPr id="147" name="Picture 147" descr="1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1г"/>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87473" cy="1741708"/>
                          </a:xfrm>
                          <a:prstGeom prst="rect">
                            <a:avLst/>
                          </a:prstGeom>
                          <a:noFill/>
                          <a:ln>
                            <a:noFill/>
                          </a:ln>
                        </pic:spPr>
                      </pic:pic>
                    </a:graphicData>
                  </a:graphic>
                </wp:inline>
              </w:drawing>
            </w:r>
          </w:p>
        </w:tc>
        <w:tc>
          <w:tcPr>
            <w:tcW w:w="7732" w:type="dxa"/>
          </w:tcPr>
          <w:p w14:paraId="36970A44" w14:textId="77777777" w:rsidR="009B1D01" w:rsidRPr="00346B70" w:rsidRDefault="009B1D01" w:rsidP="00D72A07">
            <w:pPr>
              <w:spacing w:after="0" w:line="360" w:lineRule="auto"/>
              <w:jc w:val="both"/>
              <w:rPr>
                <w:rFonts w:ascii="Calibri" w:eastAsia="Calibri" w:hAnsi="Calibri" w:cs="Times New Roman"/>
                <w:noProof/>
              </w:rPr>
            </w:pPr>
          </w:p>
        </w:tc>
      </w:tr>
      <w:tr w:rsidR="009B1D01" w:rsidRPr="00346B70" w14:paraId="24871DF3" w14:textId="5B719DA1" w:rsidTr="009B1D01">
        <w:tc>
          <w:tcPr>
            <w:tcW w:w="7054" w:type="dxa"/>
          </w:tcPr>
          <w:p w14:paraId="0E2044FD"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В</w:t>
            </w:r>
          </w:p>
        </w:tc>
        <w:tc>
          <w:tcPr>
            <w:tcW w:w="7732" w:type="dxa"/>
          </w:tcPr>
          <w:p w14:paraId="07034BFF"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r w:rsidRPr="00346B70">
              <w:rPr>
                <w:rFonts w:ascii="Times New Roman" w:eastAsia="Calibri" w:hAnsi="Times New Roman" w:cs="Times New Roman"/>
                <w:b/>
                <w:sz w:val="28"/>
                <w:szCs w:val="28"/>
                <w:lang w:val="uk-UA"/>
              </w:rPr>
              <w:t>Г</w:t>
            </w:r>
          </w:p>
        </w:tc>
        <w:tc>
          <w:tcPr>
            <w:tcW w:w="7732" w:type="dxa"/>
          </w:tcPr>
          <w:p w14:paraId="30B91BE8" w14:textId="77777777" w:rsidR="009B1D01" w:rsidRPr="00346B70" w:rsidRDefault="009B1D01" w:rsidP="00D72A07">
            <w:pPr>
              <w:spacing w:after="0" w:line="360" w:lineRule="auto"/>
              <w:jc w:val="center"/>
              <w:rPr>
                <w:rFonts w:ascii="Times New Roman" w:eastAsia="Calibri" w:hAnsi="Times New Roman" w:cs="Times New Roman"/>
                <w:b/>
                <w:sz w:val="28"/>
                <w:szCs w:val="28"/>
                <w:lang w:val="uk-UA"/>
              </w:rPr>
            </w:pPr>
          </w:p>
        </w:tc>
      </w:tr>
      <w:tr w:rsidR="009B1D01" w:rsidRPr="00852E54" w14:paraId="5BF59BEF" w14:textId="487054C5" w:rsidTr="009B1D01">
        <w:trPr>
          <w:trHeight w:val="80"/>
        </w:trPr>
        <w:tc>
          <w:tcPr>
            <w:tcW w:w="14786" w:type="dxa"/>
            <w:gridSpan w:val="2"/>
          </w:tcPr>
          <w:p w14:paraId="6E94C279" w14:textId="13BCE11A" w:rsidR="009B1D01" w:rsidRPr="00E62DF9" w:rsidRDefault="009B1D01" w:rsidP="00A511D5">
            <w:pPr>
              <w:spacing w:after="0" w:line="360" w:lineRule="auto"/>
              <w:jc w:val="both"/>
              <w:rPr>
                <w:rFonts w:ascii="Calibri" w:eastAsia="Calibri" w:hAnsi="Calibri" w:cs="Times New Roman"/>
                <w:lang w:val="ru-RU"/>
              </w:rPr>
            </w:pPr>
            <w:r w:rsidRPr="00D0270E">
              <w:rPr>
                <w:rFonts w:ascii="Times New Roman" w:eastAsia="Calibri" w:hAnsi="Times New Roman" w:cs="Times New Roman"/>
                <w:sz w:val="28"/>
                <w:szCs w:val="28"/>
                <w:lang w:val="uk-UA"/>
              </w:rPr>
              <w:t>Рис. 6.3. Відмінності за рівнями імуноглобулінів у контрольній (к) та дослідній (д) групах (х</w:t>
            </w:r>
            <w:r w:rsidRPr="00D0270E">
              <w:rPr>
                <w:rFonts w:ascii="Times New Roman" w:eastAsia="Calibri" w:hAnsi="Times New Roman" w:cs="Times New Roman"/>
                <w:sz w:val="28"/>
                <w:szCs w:val="28"/>
                <w:vertAlign w:val="subscript"/>
                <w:lang w:val="uk-UA"/>
              </w:rPr>
              <w:t>ср</w:t>
            </w:r>
            <w:r w:rsidRPr="00D0270E">
              <w:rPr>
                <w:rFonts w:ascii="Times New Roman" w:eastAsia="Calibri" w:hAnsi="Times New Roman" w:cs="Times New Roman"/>
                <w:sz w:val="28"/>
                <w:szCs w:val="28"/>
                <w:lang w:val="uk-UA"/>
              </w:rPr>
              <w:t>±</w:t>
            </w:r>
            <w:r w:rsidRPr="00D0270E">
              <w:rPr>
                <w:rFonts w:ascii="Times New Roman" w:eastAsia="Calibri" w:hAnsi="Times New Roman" w:cs="Times New Roman"/>
                <w:sz w:val="28"/>
                <w:szCs w:val="28"/>
              </w:rPr>
              <w:t>sd</w:t>
            </w:r>
            <w:r w:rsidRPr="00E62DF9">
              <w:rPr>
                <w:rFonts w:ascii="Times New Roman" w:eastAsia="Calibri" w:hAnsi="Times New Roman" w:cs="Times New Roman"/>
                <w:sz w:val="28"/>
                <w:szCs w:val="28"/>
                <w:lang w:val="ru-RU"/>
              </w:rPr>
              <w:t>)</w:t>
            </w:r>
          </w:p>
        </w:tc>
        <w:tc>
          <w:tcPr>
            <w:tcW w:w="7732" w:type="dxa"/>
          </w:tcPr>
          <w:p w14:paraId="1870D9F8" w14:textId="77777777" w:rsidR="009B1D01" w:rsidRPr="00D0270E" w:rsidRDefault="009B1D01" w:rsidP="00A511D5">
            <w:pPr>
              <w:spacing w:after="0" w:line="360" w:lineRule="auto"/>
              <w:jc w:val="both"/>
              <w:rPr>
                <w:rFonts w:ascii="Times New Roman" w:eastAsia="Calibri" w:hAnsi="Times New Roman" w:cs="Times New Roman"/>
                <w:sz w:val="28"/>
                <w:szCs w:val="28"/>
                <w:lang w:val="uk-UA"/>
              </w:rPr>
            </w:pPr>
          </w:p>
        </w:tc>
      </w:tr>
    </w:tbl>
    <w:p w14:paraId="62BA3064" w14:textId="77777777" w:rsidR="00346B70" w:rsidRPr="00346B70" w:rsidRDefault="00346B70" w:rsidP="00D72A07">
      <w:pPr>
        <w:spacing w:after="200" w:line="360" w:lineRule="auto"/>
        <w:jc w:val="both"/>
        <w:rPr>
          <w:rFonts w:ascii="Times New Roman" w:eastAsia="Calibri" w:hAnsi="Times New Roman" w:cs="Times New Roman"/>
          <w:b/>
          <w:sz w:val="28"/>
          <w:szCs w:val="28"/>
          <w:lang w:val="uk-UA"/>
        </w:rPr>
        <w:sectPr w:rsidR="00346B70" w:rsidRPr="00346B70" w:rsidSect="00346B70">
          <w:pgSz w:w="16838" w:h="11906" w:orient="landscape"/>
          <w:pgMar w:top="1701" w:right="1134" w:bottom="850" w:left="1134" w:header="708" w:footer="708" w:gutter="0"/>
          <w:cols w:space="708"/>
          <w:docGrid w:linePitch="360"/>
        </w:sectPr>
      </w:pPr>
    </w:p>
    <w:p w14:paraId="637084CE" w14:textId="0497A6A3" w:rsidR="00346B70" w:rsidRPr="00346B70" w:rsidRDefault="00346B70" w:rsidP="00D72A07">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346B70">
        <w:rPr>
          <w:rFonts w:ascii="Times New Roman" w:eastAsia="Times New Roman" w:hAnsi="Times New Roman" w:cs="Times New Roman"/>
          <w:bCs/>
          <w:sz w:val="28"/>
          <w:szCs w:val="28"/>
          <w:lang w:val="uk-UA" w:eastAsia="ru-RU"/>
        </w:rPr>
        <w:t xml:space="preserve">Як можна бачити з наведених прикладів багатоалельна система є досить складною для аналізу та виділення певних груп ризику. Тому ми спробували поєднати наявні алелі у 2 групи «короткі» (2 повтори) та «довгі» (7, 8 та 9 повторів). </w:t>
      </w:r>
      <w:r w:rsidRPr="00346B70">
        <w:rPr>
          <w:rFonts w:ascii="Times New Roman" w:eastAsia="Calibri" w:hAnsi="Times New Roman" w:cs="Times New Roman"/>
          <w:sz w:val="28"/>
          <w:szCs w:val="28"/>
          <w:lang w:val="uk-UA"/>
        </w:rPr>
        <w:t xml:space="preserve">Алелі гена </w:t>
      </w:r>
      <w:r w:rsidRPr="00346B70">
        <w:rPr>
          <w:rFonts w:ascii="Times New Roman" w:eastAsia="Calibri" w:hAnsi="Times New Roman" w:cs="Times New Roman"/>
          <w:i/>
          <w:sz w:val="28"/>
          <w:szCs w:val="28"/>
          <w:lang w:val="ru-RU"/>
        </w:rPr>
        <w:t>MUC</w:t>
      </w:r>
      <w:r w:rsidRPr="00346B70">
        <w:rPr>
          <w:rFonts w:ascii="Times New Roman" w:eastAsia="Calibri" w:hAnsi="Times New Roman" w:cs="Times New Roman"/>
          <w:i/>
          <w:sz w:val="28"/>
          <w:szCs w:val="28"/>
          <w:lang w:val="uk-UA"/>
        </w:rPr>
        <w:t>5</w:t>
      </w:r>
      <w:r w:rsidRPr="00346B70">
        <w:rPr>
          <w:rFonts w:ascii="Times New Roman" w:eastAsia="Calibri" w:hAnsi="Times New Roman" w:cs="Times New Roman"/>
          <w:i/>
          <w:sz w:val="28"/>
          <w:szCs w:val="28"/>
          <w:lang w:val="ru-RU"/>
        </w:rPr>
        <w:t>B</w:t>
      </w:r>
      <w:r w:rsidRPr="00346B70">
        <w:rPr>
          <w:rFonts w:ascii="Times New Roman" w:eastAsia="Calibri" w:hAnsi="Times New Roman" w:cs="Times New Roman"/>
          <w:sz w:val="28"/>
          <w:szCs w:val="28"/>
          <w:lang w:val="uk-UA"/>
        </w:rPr>
        <w:t xml:space="preserve"> з 3, 4 або 5 повторами є мінорними у обстеженій вибірці (епізодично зустрічаються в генотипах представників контрольної та дослідної груп), а отже не є діагностично цінними. Виявилося, що контрольна та дослідна групи відрізняються за такою специфікою. У контрольній групі переважають «короткі» алелі (</w:t>
      </w:r>
      <w:r w:rsidRPr="00346B70">
        <w:rPr>
          <w:rFonts w:ascii="Times New Roman" w:eastAsia="Calibri" w:hAnsi="Times New Roman" w:cs="Times New Roman"/>
          <w:color w:val="000000"/>
          <w:sz w:val="28"/>
          <w:szCs w:val="28"/>
          <w:lang w:val="ru-RU" w:eastAsia="ru-RU"/>
        </w:rPr>
        <w:t>H</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17,11</w:t>
      </w:r>
      <w:r w:rsidRPr="00346B70">
        <w:rPr>
          <w:rFonts w:ascii="Times New Roman" w:eastAsia="Calibri" w:hAnsi="Times New Roman" w:cs="Times New Roman"/>
          <w:color w:val="000000"/>
          <w:sz w:val="28"/>
          <w:szCs w:val="28"/>
          <w:lang w:val="uk-UA" w:eastAsia="ru-RU"/>
        </w:rPr>
        <w:t>;</w:t>
      </w:r>
      <w:r w:rsidRPr="00346B70">
        <w:rPr>
          <w:rFonts w:ascii="Times New Roman" w:eastAsia="Calibri" w:hAnsi="Times New Roman" w:cs="Times New Roman"/>
          <w:color w:val="000000"/>
          <w:sz w:val="28"/>
          <w:szCs w:val="28"/>
          <w:lang w:val="ru-RU" w:eastAsia="ru-RU"/>
        </w:rPr>
        <w:t xml:space="preserve"> p &lt;0,001</w:t>
      </w:r>
      <w:r w:rsidRPr="00346B70">
        <w:rPr>
          <w:rFonts w:ascii="Times New Roman" w:eastAsia="Calibri" w:hAnsi="Times New Roman" w:cs="Times New Roman"/>
          <w:color w:val="000000"/>
          <w:sz w:val="28"/>
          <w:szCs w:val="28"/>
          <w:lang w:val="uk-UA" w:eastAsia="ru-RU"/>
        </w:rPr>
        <w:t>), у дослідній – «довгі» (</w:t>
      </w:r>
      <w:r w:rsidRPr="00346B70">
        <w:rPr>
          <w:rFonts w:ascii="Times New Roman" w:eastAsia="Calibri" w:hAnsi="Times New Roman" w:cs="Times New Roman"/>
          <w:color w:val="000000"/>
          <w:sz w:val="28"/>
          <w:szCs w:val="28"/>
          <w:lang w:val="ru-RU" w:eastAsia="ru-RU"/>
        </w:rPr>
        <w:t>H =5,8</w:t>
      </w:r>
      <w:r w:rsidRPr="00346B70">
        <w:rPr>
          <w:rFonts w:ascii="Times New Roman" w:eastAsia="Calibri" w:hAnsi="Times New Roman" w:cs="Times New Roman"/>
          <w:color w:val="000000"/>
          <w:sz w:val="28"/>
          <w:szCs w:val="28"/>
          <w:lang w:val="uk-UA" w:eastAsia="ru-RU"/>
        </w:rPr>
        <w:t>4,</w:t>
      </w:r>
      <w:r w:rsidRPr="00346B70">
        <w:rPr>
          <w:rFonts w:ascii="Times New Roman" w:eastAsia="Calibri" w:hAnsi="Times New Roman" w:cs="Times New Roman"/>
          <w:color w:val="000000"/>
          <w:sz w:val="28"/>
          <w:szCs w:val="28"/>
          <w:lang w:val="ru-RU" w:eastAsia="ru-RU"/>
        </w:rPr>
        <w:t xml:space="preserve"> p&lt;0,0</w:t>
      </w:r>
      <w:r w:rsidRPr="00346B70">
        <w:rPr>
          <w:rFonts w:ascii="Times New Roman" w:eastAsia="Calibri" w:hAnsi="Times New Roman" w:cs="Times New Roman"/>
          <w:color w:val="000000"/>
          <w:sz w:val="28"/>
          <w:szCs w:val="28"/>
          <w:lang w:val="uk-UA" w:eastAsia="ru-RU"/>
        </w:rPr>
        <w:t xml:space="preserve">5). Хоча знову ж таки не було виявлено асоціації певної специфіки алелей з рівнями досліджуваних імуноглобулінів, </w:t>
      </w:r>
      <w:r w:rsidRPr="00346B70">
        <w:rPr>
          <w:rFonts w:ascii="Times New Roman" w:eastAsia="Calibri" w:hAnsi="Times New Roman" w:cs="Times New Roman"/>
          <w:sz w:val="28"/>
          <w:szCs w:val="28"/>
          <w:lang w:val="uk-UA"/>
        </w:rPr>
        <w:t xml:space="preserve">окрім того, що носії алеля гена </w:t>
      </w:r>
      <w:r w:rsidRPr="00346B70">
        <w:rPr>
          <w:rFonts w:ascii="Times New Roman" w:eastAsia="Calibri" w:hAnsi="Times New Roman" w:cs="Times New Roman"/>
          <w:i/>
          <w:sz w:val="28"/>
          <w:szCs w:val="28"/>
          <w:lang w:val="ru-RU"/>
        </w:rPr>
        <w:t>MUC</w:t>
      </w:r>
      <w:r w:rsidRPr="00346B70">
        <w:rPr>
          <w:rFonts w:ascii="Times New Roman" w:eastAsia="Calibri" w:hAnsi="Times New Roman" w:cs="Times New Roman"/>
          <w:i/>
          <w:sz w:val="28"/>
          <w:szCs w:val="28"/>
          <w:lang w:val="uk-UA"/>
        </w:rPr>
        <w:t>5</w:t>
      </w:r>
      <w:r w:rsidRPr="00346B70">
        <w:rPr>
          <w:rFonts w:ascii="Times New Roman" w:eastAsia="Calibri" w:hAnsi="Times New Roman" w:cs="Times New Roman"/>
          <w:i/>
          <w:sz w:val="28"/>
          <w:szCs w:val="28"/>
          <w:lang w:val="ru-RU"/>
        </w:rPr>
        <w:t>B</w:t>
      </w:r>
      <w:r w:rsidRPr="00346B70">
        <w:rPr>
          <w:rFonts w:ascii="Times New Roman" w:eastAsia="Calibri" w:hAnsi="Times New Roman" w:cs="Times New Roman"/>
          <w:sz w:val="28"/>
          <w:szCs w:val="28"/>
          <w:lang w:val="uk-UA"/>
        </w:rPr>
        <w:t xml:space="preserve"> з 2 повторами з контрольної групи є значно менш варіабельними за кількісними показниками рівнів імуноглобулінів у порівнянні з такими з дослідної групи</w:t>
      </w:r>
      <w:r w:rsidR="00AE1539" w:rsidRPr="00AE1539">
        <w:rPr>
          <w:rFonts w:ascii="Times New Roman" w:eastAsia="Calibri" w:hAnsi="Times New Roman" w:cs="Times New Roman"/>
          <w:sz w:val="28"/>
          <w:szCs w:val="28"/>
          <w:lang w:val="uk-UA"/>
        </w:rPr>
        <w:t xml:space="preserve"> [267]</w:t>
      </w:r>
      <w:r w:rsidRPr="00346B70">
        <w:rPr>
          <w:rFonts w:ascii="Times New Roman" w:eastAsia="Calibri" w:hAnsi="Times New Roman" w:cs="Times New Roman"/>
          <w:sz w:val="28"/>
          <w:szCs w:val="28"/>
          <w:lang w:val="uk-UA"/>
        </w:rPr>
        <w:t>.</w:t>
      </w:r>
    </w:p>
    <w:p w14:paraId="6EA3AE05" w14:textId="601AF8DC" w:rsidR="00346B70" w:rsidRPr="00346B70" w:rsidRDefault="00346B70" w:rsidP="00D72A07">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346B70">
        <w:rPr>
          <w:rFonts w:ascii="Times New Roman" w:eastAsia="Calibri" w:hAnsi="Times New Roman" w:cs="Times New Roman"/>
          <w:sz w:val="28"/>
          <w:szCs w:val="28"/>
          <w:lang w:val="uk-UA" w:eastAsia="ru-RU"/>
        </w:rPr>
        <w:t xml:space="preserve">Аналіз літератури показав, що даний ефект може бути обґрунтований. Як відомо, саме обструкція дихальних шляхів є основним патологічним наслідком бронхіальної астми та може бути фатальною при загостренні цього захворювання </w:t>
      </w:r>
      <w:r w:rsidR="00AE1539">
        <w:rPr>
          <w:rFonts w:ascii="Times New Roman" w:eastAsia="Times New Roman" w:hAnsi="Times New Roman" w:cs="Times New Roman"/>
          <w:sz w:val="28"/>
          <w:szCs w:val="28"/>
          <w:lang w:val="uk-UA" w:eastAsia="ru-RU"/>
        </w:rPr>
        <w:t>[276, 277</w:t>
      </w:r>
      <w:r w:rsidRPr="00346B70">
        <w:rPr>
          <w:rFonts w:ascii="Times New Roman" w:eastAsia="Times New Roman" w:hAnsi="Times New Roman" w:cs="Times New Roman"/>
          <w:sz w:val="28"/>
          <w:szCs w:val="28"/>
          <w:lang w:val="ru-RU" w:eastAsia="ru-RU"/>
        </w:rPr>
        <w:t xml:space="preserve">]. </w:t>
      </w:r>
      <w:r w:rsidRPr="00346B70">
        <w:rPr>
          <w:rFonts w:ascii="Times New Roman" w:eastAsia="Times New Roman" w:hAnsi="Times New Roman" w:cs="Times New Roman"/>
          <w:sz w:val="28"/>
          <w:szCs w:val="28"/>
          <w:lang w:val="uk-UA" w:eastAsia="ru-RU"/>
        </w:rPr>
        <w:t>Анатомічні дослідження пацієнтів, що вмерли від астматичного приступу, виявили згустки у просвітах бронхів, які складалися з клітин та слизу. При цьому саме муцини були осн</w:t>
      </w:r>
      <w:r w:rsidR="007E6D77">
        <w:rPr>
          <w:rFonts w:ascii="Times New Roman" w:eastAsia="Times New Roman" w:hAnsi="Times New Roman" w:cs="Times New Roman"/>
          <w:sz w:val="28"/>
          <w:szCs w:val="28"/>
          <w:lang w:val="uk-UA" w:eastAsia="ru-RU"/>
        </w:rPr>
        <w:t>овними макромолекулами слизу</w:t>
      </w:r>
      <w:r w:rsidRPr="00346B70">
        <w:rPr>
          <w:rFonts w:ascii="Times New Roman" w:eastAsia="Times New Roman" w:hAnsi="Times New Roman" w:cs="Times New Roman"/>
          <w:sz w:val="28"/>
          <w:szCs w:val="28"/>
          <w:lang w:val="uk-UA" w:eastAsia="ru-RU"/>
        </w:rPr>
        <w:t xml:space="preserve">. Астма супроводжується гіперплазією бокаловидних клітин та підвищеною секрецією муцину </w:t>
      </w:r>
      <w:r w:rsidRPr="00346B70">
        <w:rPr>
          <w:rFonts w:ascii="Times New Roman" w:eastAsia="Times New Roman" w:hAnsi="Times New Roman" w:cs="Times New Roman"/>
          <w:sz w:val="28"/>
          <w:szCs w:val="28"/>
          <w:lang w:val="ru-RU" w:eastAsia="ru-RU"/>
        </w:rPr>
        <w:t>MUC</w:t>
      </w:r>
      <w:r w:rsidRPr="00346B70">
        <w:rPr>
          <w:rFonts w:ascii="Times New Roman" w:eastAsia="Times New Roman" w:hAnsi="Times New Roman" w:cs="Times New Roman"/>
          <w:sz w:val="28"/>
          <w:szCs w:val="28"/>
          <w:lang w:val="uk-UA" w:eastAsia="ru-RU"/>
        </w:rPr>
        <w:t>5</w:t>
      </w:r>
      <w:r w:rsidRPr="00346B70">
        <w:rPr>
          <w:rFonts w:ascii="Times New Roman" w:eastAsia="Times New Roman" w:hAnsi="Times New Roman" w:cs="Times New Roman"/>
          <w:sz w:val="28"/>
          <w:szCs w:val="28"/>
          <w:lang w:val="ru-RU" w:eastAsia="ru-RU"/>
        </w:rPr>
        <w:t>AC</w:t>
      </w:r>
      <w:r w:rsidRPr="00346B70">
        <w:rPr>
          <w:rFonts w:ascii="Times New Roman" w:eastAsia="Times New Roman" w:hAnsi="Times New Roman" w:cs="Times New Roman"/>
          <w:sz w:val="28"/>
          <w:szCs w:val="28"/>
          <w:lang w:val="uk-UA" w:eastAsia="ru-RU"/>
        </w:rPr>
        <w:t xml:space="preserve">. Навпаки, секреція муцину </w:t>
      </w:r>
      <w:r w:rsidRPr="00346B70">
        <w:rPr>
          <w:rFonts w:ascii="Times New Roman" w:eastAsia="Times New Roman" w:hAnsi="Times New Roman" w:cs="Times New Roman"/>
          <w:sz w:val="28"/>
          <w:szCs w:val="28"/>
          <w:lang w:val="ru-RU" w:eastAsia="ru-RU"/>
        </w:rPr>
        <w:t>MUC</w:t>
      </w:r>
      <w:r w:rsidRPr="00346B70">
        <w:rPr>
          <w:rFonts w:ascii="Times New Roman" w:eastAsia="Times New Roman" w:hAnsi="Times New Roman" w:cs="Times New Roman"/>
          <w:sz w:val="28"/>
          <w:szCs w:val="28"/>
          <w:lang w:val="uk-UA" w:eastAsia="ru-RU"/>
        </w:rPr>
        <w:t>5</w:t>
      </w:r>
      <w:r w:rsidRPr="00346B70">
        <w:rPr>
          <w:rFonts w:ascii="Times New Roman" w:eastAsia="Times New Roman" w:hAnsi="Times New Roman" w:cs="Times New Roman"/>
          <w:sz w:val="28"/>
          <w:szCs w:val="28"/>
          <w:lang w:val="ru-RU" w:eastAsia="ru-RU"/>
        </w:rPr>
        <w:t>B</w:t>
      </w:r>
      <w:r w:rsidR="007E6D77">
        <w:rPr>
          <w:rFonts w:ascii="Times New Roman" w:eastAsia="Times New Roman" w:hAnsi="Times New Roman" w:cs="Times New Roman"/>
          <w:sz w:val="28"/>
          <w:szCs w:val="28"/>
          <w:lang w:val="uk-UA" w:eastAsia="ru-RU"/>
        </w:rPr>
        <w:t xml:space="preserve"> змінюється менше [</w:t>
      </w:r>
      <w:r w:rsidR="00AE1539">
        <w:rPr>
          <w:rFonts w:ascii="Times New Roman" w:eastAsia="Times New Roman" w:hAnsi="Times New Roman" w:cs="Times New Roman"/>
          <w:sz w:val="28"/>
          <w:szCs w:val="28"/>
          <w:lang w:val="uk-UA" w:eastAsia="ru-RU"/>
        </w:rPr>
        <w:t>276</w:t>
      </w:r>
      <w:r w:rsidRPr="00346B70">
        <w:rPr>
          <w:rFonts w:ascii="Times New Roman" w:eastAsia="Times New Roman" w:hAnsi="Times New Roman" w:cs="Times New Roman"/>
          <w:sz w:val="28"/>
          <w:szCs w:val="28"/>
          <w:lang w:val="uk-UA" w:eastAsia="ru-RU"/>
        </w:rPr>
        <w:t xml:space="preserve">]. Але </w:t>
      </w:r>
      <w:r w:rsidRPr="00853AD1">
        <w:rPr>
          <w:rFonts w:ascii="Times New Roman" w:eastAsia="Calibri" w:hAnsi="Times New Roman" w:cs="Times New Roman"/>
          <w:sz w:val="28"/>
          <w:szCs w:val="28"/>
        </w:rPr>
        <w:t>Voynow</w:t>
      </w:r>
      <w:r w:rsidRPr="00853AD1">
        <w:rPr>
          <w:rFonts w:ascii="Times New Roman" w:eastAsia="Calibri" w:hAnsi="Times New Roman" w:cs="Times New Roman"/>
          <w:sz w:val="28"/>
          <w:szCs w:val="28"/>
          <w:lang w:val="uk-UA"/>
        </w:rPr>
        <w:t xml:space="preserve"> зі співавторами</w:t>
      </w:r>
      <w:r w:rsidRPr="00346B70">
        <w:rPr>
          <w:rFonts w:ascii="Times New Roman" w:eastAsia="Calibri" w:hAnsi="Times New Roman" w:cs="Times New Roman"/>
          <w:sz w:val="28"/>
          <w:szCs w:val="28"/>
          <w:lang w:val="uk-UA"/>
        </w:rPr>
        <w:t>, повідомляють, що варіація числа повторів (59 п.н.) в інтроні 36 може бути пов’язана з експресією гена М</w:t>
      </w:r>
      <w:r w:rsidRPr="00346B70">
        <w:rPr>
          <w:rFonts w:ascii="Times New Roman" w:eastAsia="Calibri" w:hAnsi="Times New Roman" w:cs="Times New Roman"/>
          <w:sz w:val="28"/>
          <w:szCs w:val="28"/>
        </w:rPr>
        <w:t>U</w:t>
      </w:r>
      <w:r w:rsidRPr="00346B70">
        <w:rPr>
          <w:rFonts w:ascii="Times New Roman" w:eastAsia="Calibri" w:hAnsi="Times New Roman" w:cs="Times New Roman"/>
          <w:sz w:val="28"/>
          <w:szCs w:val="28"/>
          <w:lang w:val="uk-UA"/>
        </w:rPr>
        <w:t xml:space="preserve">С5В. Такі зміни були зафіксовані у дихальних шляхах індивідів з респіраторною хворобою </w:t>
      </w:r>
      <w:r w:rsidRPr="00346B70">
        <w:rPr>
          <w:rFonts w:ascii="Times New Roman" w:eastAsia="Calibri" w:hAnsi="Times New Roman" w:cs="Times New Roman"/>
          <w:sz w:val="28"/>
          <w:szCs w:val="28"/>
        </w:rPr>
        <w:t>COPD</w:t>
      </w:r>
      <w:r w:rsidRPr="00346B70">
        <w:rPr>
          <w:rFonts w:ascii="Times New Roman" w:eastAsia="Calibri" w:hAnsi="Times New Roman" w:cs="Times New Roman"/>
          <w:sz w:val="28"/>
          <w:szCs w:val="28"/>
          <w:lang w:val="uk-UA"/>
        </w:rPr>
        <w:t xml:space="preserve"> та дифузним панбронхіолітом (</w:t>
      </w:r>
      <w:r w:rsidRPr="00346B70">
        <w:rPr>
          <w:rFonts w:ascii="Times New Roman" w:eastAsia="Calibri" w:hAnsi="Times New Roman" w:cs="Times New Roman"/>
          <w:sz w:val="28"/>
          <w:szCs w:val="28"/>
        </w:rPr>
        <w:t>Diffuse</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Panbronchiolitis</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DPB</w:t>
      </w:r>
      <w:r w:rsidRPr="00346B70">
        <w:rPr>
          <w:rFonts w:ascii="Times New Roman" w:eastAsia="Calibri" w:hAnsi="Times New Roman" w:cs="Times New Roman"/>
          <w:sz w:val="28"/>
          <w:szCs w:val="28"/>
          <w:lang w:val="uk-UA"/>
        </w:rPr>
        <w:t>)). Надекспресія генів муцинів призводить до виникнення вторинного запального захворювання [</w:t>
      </w:r>
      <w:r w:rsidR="00AE1539">
        <w:rPr>
          <w:rFonts w:ascii="Times New Roman" w:eastAsia="Calibri" w:hAnsi="Times New Roman" w:cs="Times New Roman"/>
          <w:sz w:val="28"/>
          <w:szCs w:val="28"/>
          <w:lang w:val="uk-UA"/>
        </w:rPr>
        <w:t>276</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1,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2,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 xml:space="preserve">4,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B</w:t>
      </w:r>
      <w:r w:rsidRPr="00346B70">
        <w:rPr>
          <w:rFonts w:ascii="Times New Roman" w:eastAsia="Calibri" w:hAnsi="Times New Roman" w:cs="Times New Roman"/>
          <w:sz w:val="28"/>
          <w:szCs w:val="28"/>
          <w:lang w:val="uk-UA"/>
        </w:rPr>
        <w:t xml:space="preserve"> та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AC</w:t>
      </w:r>
      <w:r w:rsidRPr="00346B70">
        <w:rPr>
          <w:rFonts w:ascii="Times New Roman" w:eastAsia="Calibri" w:hAnsi="Times New Roman" w:cs="Times New Roman"/>
          <w:sz w:val="28"/>
          <w:szCs w:val="28"/>
          <w:lang w:val="uk-UA"/>
        </w:rPr>
        <w:t xml:space="preserve"> експресуютья як в запалених тканинах, так і в контролі, на рівні мРНК та на рівні білку. Вони також всі демонструють алельну варіацію по довжині [</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77, 278</w:t>
      </w:r>
      <w:r w:rsidRPr="00346B70">
        <w:rPr>
          <w:rFonts w:ascii="Times New Roman" w:eastAsia="Calibri" w:hAnsi="Times New Roman" w:cs="Times New Roman"/>
          <w:sz w:val="28"/>
          <w:szCs w:val="28"/>
          <w:lang w:val="uk-UA"/>
        </w:rPr>
        <w:t>]. Ця зміна довжини спостерігається в «довгих» MUC2 алелях, які, імовірно, є проективними для осіб, схильних до розвитку астми. На відміну від цього MUC5B також може мати певні алелі, наявні в осіб з важкою астмою[</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78, 279</w:t>
      </w:r>
      <w:r w:rsidRPr="00346B70">
        <w:rPr>
          <w:rFonts w:ascii="Times New Roman" w:eastAsia="Calibri" w:hAnsi="Times New Roman" w:cs="Times New Roman"/>
          <w:iCs/>
          <w:sz w:val="28"/>
          <w:szCs w:val="28"/>
          <w:lang w:val="uk-UA"/>
        </w:rPr>
        <w:t>]</w:t>
      </w:r>
      <w:r w:rsidRPr="00346B70">
        <w:rPr>
          <w:rFonts w:ascii="Times New Roman" w:eastAsia="Calibri" w:hAnsi="Times New Roman" w:cs="Times New Roman"/>
          <w:i/>
          <w:iCs/>
          <w:sz w:val="28"/>
          <w:szCs w:val="28"/>
          <w:lang w:val="uk-UA"/>
        </w:rPr>
        <w:t xml:space="preserve">. </w:t>
      </w:r>
      <w:r w:rsidRPr="00346B70">
        <w:rPr>
          <w:rFonts w:ascii="Times New Roman" w:eastAsia="Calibri" w:hAnsi="Times New Roman" w:cs="Times New Roman"/>
          <w:iCs/>
          <w:sz w:val="28"/>
          <w:szCs w:val="28"/>
          <w:lang w:val="uk-UA"/>
        </w:rPr>
        <w:t>Дослідження щодо обструктивних захворювань легенів, як правило, зосереджені на експресії MUC5AC і MUC5B, так як їх мРНК добре експресується в нормальних дихальних шляхах і продукти були ідентифіковані в підвищених концентраціях в слизу</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iCs/>
          <w:sz w:val="28"/>
          <w:szCs w:val="28"/>
          <w:lang w:val="uk-UA"/>
        </w:rPr>
        <w:t>легень у хворих на бронхіальну астму</w:t>
      </w:r>
      <w:r w:rsidRPr="00346B70">
        <w:rPr>
          <w:rFonts w:ascii="Times New Roman" w:eastAsia="Calibri" w:hAnsi="Times New Roman" w:cs="Times New Roman"/>
          <w:i/>
          <w:iCs/>
          <w:sz w:val="28"/>
          <w:szCs w:val="28"/>
          <w:lang w:val="uk-UA"/>
        </w:rPr>
        <w:t xml:space="preserve"> </w:t>
      </w:r>
      <w:r w:rsidRPr="00346B70">
        <w:rPr>
          <w:rFonts w:ascii="Times New Roman" w:eastAsia="Calibri" w:hAnsi="Times New Roman" w:cs="Times New Roman"/>
          <w:sz w:val="28"/>
          <w:szCs w:val="28"/>
          <w:lang w:val="uk-UA"/>
        </w:rPr>
        <w:t>[</w:t>
      </w:r>
      <w:r w:rsidR="00A511D5">
        <w:rPr>
          <w:rFonts w:ascii="Times New Roman" w:eastAsia="Calibri" w:hAnsi="Times New Roman" w:cs="Times New Roman"/>
          <w:sz w:val="28"/>
          <w:szCs w:val="28"/>
          <w:lang w:val="uk-UA"/>
        </w:rPr>
        <w:t>2</w:t>
      </w:r>
      <w:r w:rsidR="00AE1539">
        <w:rPr>
          <w:rFonts w:ascii="Times New Roman" w:eastAsia="Calibri" w:hAnsi="Times New Roman" w:cs="Times New Roman"/>
          <w:sz w:val="28"/>
          <w:szCs w:val="28"/>
          <w:lang w:val="uk-UA"/>
        </w:rPr>
        <w:t>74, 272</w:t>
      </w:r>
      <w:r w:rsidRPr="00346B70">
        <w:rPr>
          <w:rFonts w:ascii="Times New Roman" w:eastAsia="Calibri" w:hAnsi="Times New Roman" w:cs="Times New Roman"/>
          <w:sz w:val="28"/>
          <w:szCs w:val="28"/>
          <w:lang w:val="uk-UA"/>
        </w:rPr>
        <w:t xml:space="preserve">]. Загалом, надлишкова експресія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AC</w:t>
      </w:r>
      <w:r w:rsidRPr="00346B70">
        <w:rPr>
          <w:rFonts w:ascii="Times New Roman" w:eastAsia="Calibri" w:hAnsi="Times New Roman" w:cs="Times New Roman"/>
          <w:sz w:val="28"/>
          <w:szCs w:val="28"/>
          <w:lang w:val="uk-UA"/>
        </w:rPr>
        <w:t xml:space="preserve">,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rPr>
        <w:t>B</w:t>
      </w:r>
      <w:r w:rsidRPr="00346B70">
        <w:rPr>
          <w:rFonts w:ascii="Times New Roman" w:eastAsia="Calibri" w:hAnsi="Times New Roman" w:cs="Times New Roman"/>
          <w:sz w:val="28"/>
          <w:szCs w:val="28"/>
          <w:lang w:val="uk-UA"/>
        </w:rPr>
        <w:t xml:space="preserve"> і </w:t>
      </w:r>
      <w:r w:rsidRPr="00346B70">
        <w:rPr>
          <w:rFonts w:ascii="Times New Roman" w:eastAsia="Calibri" w:hAnsi="Times New Roman" w:cs="Times New Roman"/>
          <w:sz w:val="28"/>
          <w:szCs w:val="28"/>
        </w:rPr>
        <w:t>MUC</w:t>
      </w:r>
      <w:r w:rsidRPr="00346B70">
        <w:rPr>
          <w:rFonts w:ascii="Times New Roman" w:eastAsia="Calibri" w:hAnsi="Times New Roman" w:cs="Times New Roman"/>
          <w:sz w:val="28"/>
          <w:szCs w:val="28"/>
          <w:lang w:val="uk-UA"/>
        </w:rPr>
        <w:t>2 асоціюється з астмою, кістозним фіброзом і хронічним бронхітом – захворюваннями, які тісно пов'язані з обструкцією слизом і гіперплазією та метаплазією келихоподібних клітин [</w:t>
      </w:r>
      <w:r w:rsidR="00AE1539">
        <w:rPr>
          <w:rFonts w:ascii="Times New Roman" w:eastAsia="Calibri" w:hAnsi="Times New Roman" w:cs="Times New Roman"/>
          <w:sz w:val="28"/>
          <w:szCs w:val="28"/>
          <w:lang w:val="uk-UA"/>
        </w:rPr>
        <w:t>273, 278</w:t>
      </w:r>
      <w:r w:rsidRPr="00346B70">
        <w:rPr>
          <w:rFonts w:ascii="Times New Roman" w:eastAsia="Calibri" w:hAnsi="Times New Roman" w:cs="Times New Roman"/>
          <w:sz w:val="28"/>
          <w:szCs w:val="28"/>
          <w:lang w:val="uk-UA"/>
        </w:rPr>
        <w:t xml:space="preserve">]. </w:t>
      </w:r>
    </w:p>
    <w:p w14:paraId="2548A10D" w14:textId="77777777" w:rsidR="008A2500" w:rsidRDefault="00346B70" w:rsidP="008A2500">
      <w:pPr>
        <w:spacing w:after="0" w:line="360" w:lineRule="auto"/>
        <w:ind w:firstLine="709"/>
        <w:jc w:val="both"/>
        <w:rPr>
          <w:rFonts w:ascii="Times New Roman" w:eastAsia="Calibri" w:hAnsi="Times New Roman" w:cs="Times New Roman"/>
          <w:b/>
          <w:sz w:val="28"/>
          <w:szCs w:val="28"/>
          <w:lang w:val="uk-UA"/>
        </w:rPr>
      </w:pPr>
      <w:r w:rsidRPr="00346B70">
        <w:rPr>
          <w:rFonts w:ascii="Times New Roman" w:eastAsia="Calibri" w:hAnsi="Times New Roman" w:cs="Times New Roman"/>
          <w:sz w:val="28"/>
          <w:szCs w:val="28"/>
          <w:lang w:val="uk-UA"/>
        </w:rPr>
        <w:t>Враховуючи отримані результати та доробок інших авторів, вважаємо перспективним проведення більш масового генотипування</w:t>
      </w:r>
      <w:r w:rsidRPr="00346B70">
        <w:rPr>
          <w:rFonts w:ascii="Times New Roman" w:eastAsia="Calibri" w:hAnsi="Times New Roman" w:cs="Times New Roman"/>
          <w:b/>
          <w:sz w:val="28"/>
          <w:szCs w:val="28"/>
          <w:lang w:val="uk-UA"/>
        </w:rPr>
        <w:t xml:space="preserve"> </w:t>
      </w:r>
      <w:r w:rsidRPr="00346B70">
        <w:rPr>
          <w:rFonts w:ascii="Times New Roman" w:eastAsia="Calibri" w:hAnsi="Times New Roman" w:cs="Times New Roman"/>
          <w:sz w:val="28"/>
          <w:szCs w:val="28"/>
        </w:rPr>
        <w:t>VNTR</w:t>
      </w:r>
      <w:r w:rsidRPr="00346B70">
        <w:rPr>
          <w:rFonts w:ascii="Times New Roman" w:eastAsia="Calibri" w:hAnsi="Times New Roman" w:cs="Times New Roman"/>
          <w:sz w:val="28"/>
          <w:szCs w:val="28"/>
          <w:lang w:val="uk-UA"/>
        </w:rPr>
        <w:t xml:space="preserve"> поліморфізму (визначення кількості копій повторів розміром 59 п.н.) в інтроні 36 гена </w:t>
      </w:r>
      <w:r w:rsidRPr="00346B70">
        <w:rPr>
          <w:rFonts w:ascii="Times New Roman" w:eastAsia="Calibri" w:hAnsi="Times New Roman" w:cs="Times New Roman"/>
          <w:sz w:val="28"/>
          <w:szCs w:val="28"/>
          <w:lang w:val="ru-RU"/>
        </w:rPr>
        <w:t>MUC</w:t>
      </w:r>
      <w:r w:rsidRPr="00346B70">
        <w:rPr>
          <w:rFonts w:ascii="Times New Roman" w:eastAsia="Calibri" w:hAnsi="Times New Roman" w:cs="Times New Roman"/>
          <w:sz w:val="28"/>
          <w:szCs w:val="28"/>
          <w:lang w:val="uk-UA"/>
        </w:rPr>
        <w:t>5</w:t>
      </w:r>
      <w:r w:rsidRPr="00346B70">
        <w:rPr>
          <w:rFonts w:ascii="Times New Roman" w:eastAsia="Calibri" w:hAnsi="Times New Roman" w:cs="Times New Roman"/>
          <w:sz w:val="28"/>
          <w:szCs w:val="28"/>
          <w:lang w:val="ru-RU"/>
        </w:rPr>
        <w:t>B</w:t>
      </w:r>
      <w:r w:rsidRPr="00346B70">
        <w:rPr>
          <w:rFonts w:ascii="Times New Roman" w:eastAsia="Calibri" w:hAnsi="Times New Roman" w:cs="Times New Roman"/>
          <w:sz w:val="28"/>
          <w:szCs w:val="28"/>
          <w:lang w:val="uk-UA"/>
        </w:rPr>
        <w:t xml:space="preserve"> з метою формування груп ризику щодо розвитку хвороб ротової порожнини серед дітей та підлітків здорових та з атопічними захворюваннями.</w:t>
      </w:r>
    </w:p>
    <w:p w14:paraId="4864F3B9" w14:textId="75B53486" w:rsidR="007F5F67" w:rsidRPr="00A511D5" w:rsidRDefault="007F5F67" w:rsidP="007F5F67">
      <w:pPr>
        <w:spacing w:after="0" w:line="360" w:lineRule="auto"/>
        <w:ind w:firstLine="709"/>
        <w:jc w:val="both"/>
        <w:rPr>
          <w:rFonts w:ascii="Times New Roman" w:hAnsi="Times New Roman" w:cs="Times New Roman"/>
          <w:sz w:val="28"/>
          <w:szCs w:val="28"/>
          <w:lang w:val="uk-UA"/>
        </w:rPr>
      </w:pPr>
      <w:r w:rsidRPr="00A511D5">
        <w:rPr>
          <w:rFonts w:ascii="Times New Roman" w:hAnsi="Times New Roman" w:cs="Times New Roman"/>
          <w:sz w:val="28"/>
          <w:szCs w:val="28"/>
          <w:lang w:val="uk-UA"/>
        </w:rPr>
        <w:t xml:space="preserve">Метою </w:t>
      </w:r>
      <w:r w:rsidR="00D72A07" w:rsidRPr="00A511D5">
        <w:rPr>
          <w:rFonts w:ascii="Times New Roman" w:hAnsi="Times New Roman" w:cs="Times New Roman"/>
          <w:sz w:val="28"/>
          <w:szCs w:val="28"/>
          <w:lang w:val="uk-UA"/>
        </w:rPr>
        <w:t>іншого генетичного</w:t>
      </w:r>
      <w:r w:rsidRPr="00A511D5">
        <w:rPr>
          <w:rFonts w:ascii="Times New Roman" w:hAnsi="Times New Roman" w:cs="Times New Roman"/>
          <w:sz w:val="28"/>
          <w:szCs w:val="28"/>
          <w:lang w:val="uk-UA"/>
        </w:rPr>
        <w:t xml:space="preserve"> дослідження було проведення генотипування дітей мешканців Харківської області з проявами гінгівіту на тлі атопічних захворювань за SNP rs1801270 C&gt;A в кодоні 31 гена P21 (CDKN1A).</w:t>
      </w:r>
    </w:p>
    <w:p w14:paraId="63E6CD62" w14:textId="45F09E68" w:rsidR="007F5F67" w:rsidRPr="007F5F67" w:rsidRDefault="007F5F67" w:rsidP="007F5F67">
      <w:pPr>
        <w:spacing w:after="0"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Ген P21 (CDKN1A) був обраний через участь його продукту у регуляції клітинного циклу. Він є транскрипційною мішенню білку p53 та відіграє визначну роль у опосередкуванні аресту клітинного циклу внаслідок впливу на кл</w:t>
      </w:r>
      <w:r w:rsidR="007E6D77">
        <w:rPr>
          <w:rFonts w:ascii="Times New Roman" w:hAnsi="Times New Roman" w:cs="Times New Roman"/>
          <w:sz w:val="28"/>
          <w:szCs w:val="28"/>
          <w:lang w:val="uk-UA"/>
        </w:rPr>
        <w:t>ітини ДНК пошкоджуючих агентів</w:t>
      </w:r>
      <w:r w:rsidR="007E6D77" w:rsidRPr="007E6D77">
        <w:rPr>
          <w:rFonts w:ascii="Times New Roman" w:hAnsi="Times New Roman" w:cs="Times New Roman"/>
          <w:sz w:val="28"/>
          <w:szCs w:val="28"/>
          <w:lang w:val="uk-UA"/>
        </w:rPr>
        <w:t>. При цьому, на відміну від р53, мутації в гені р21 трапляються рідко</w:t>
      </w:r>
      <w:r w:rsidRPr="007F5F67">
        <w:rPr>
          <w:rFonts w:ascii="Times New Roman" w:hAnsi="Times New Roman" w:cs="Times New Roman"/>
          <w:sz w:val="28"/>
          <w:szCs w:val="28"/>
          <w:lang w:val="uk-UA"/>
        </w:rPr>
        <w:t>, що дозволить більш однозначно трактувати результати</w:t>
      </w:r>
      <w:r w:rsidR="007E6D77" w:rsidRPr="007E6D77">
        <w:rPr>
          <w:rFonts w:ascii="Times New Roman" w:hAnsi="Times New Roman" w:cs="Times New Roman"/>
          <w:sz w:val="28"/>
          <w:szCs w:val="28"/>
          <w:lang w:val="ru-RU"/>
        </w:rPr>
        <w:t xml:space="preserve"> [259-261]</w:t>
      </w:r>
      <w:r w:rsidRPr="007F5F67">
        <w:rPr>
          <w:rFonts w:ascii="Times New Roman" w:hAnsi="Times New Roman" w:cs="Times New Roman"/>
          <w:sz w:val="28"/>
          <w:szCs w:val="28"/>
          <w:lang w:val="uk-UA"/>
        </w:rPr>
        <w:t>. Також на моделі формувння зубів миші досить детально описані генні сітки (за участю р21), задіяні у цьому процесі [</w:t>
      </w:r>
      <w:r w:rsidR="0024764B">
        <w:rPr>
          <w:rFonts w:ascii="Times New Roman" w:hAnsi="Times New Roman" w:cs="Times New Roman"/>
          <w:sz w:val="28"/>
          <w:szCs w:val="28"/>
          <w:lang w:val="ru-RU"/>
        </w:rPr>
        <w:t>279, 280</w:t>
      </w:r>
      <w:r w:rsidRPr="007F5F67">
        <w:rPr>
          <w:rFonts w:ascii="Times New Roman" w:hAnsi="Times New Roman" w:cs="Times New Roman"/>
          <w:sz w:val="28"/>
          <w:szCs w:val="28"/>
          <w:lang w:val="uk-UA"/>
        </w:rPr>
        <w:t>].</w:t>
      </w:r>
    </w:p>
    <w:p w14:paraId="286205E4" w14:textId="580FB9BB" w:rsidR="007F5F67" w:rsidRPr="007F5F67" w:rsidRDefault="007F5F67" w:rsidP="007F5F67">
      <w:pPr>
        <w:spacing w:after="0"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ab/>
        <w:t>Ген P21 (CDKN1A) людини локалізований на хромосомі 6р21.2, містить три екзони та кодує білок масою 21 кДа. Поліморфізм rs1801270 (або Ser31Arg) є найбільш вивченим SNP цього гену. Це є заміна С (цитозину) на А (аденін) у третій позиції кодону 31, внаслідок чого відбувається заміна амінокислоти серін на аргінін у ДНК зв'язуючому мотиві «цинковий палець» білку [</w:t>
      </w:r>
      <w:r w:rsidR="0024764B">
        <w:rPr>
          <w:rFonts w:ascii="Times New Roman" w:hAnsi="Times New Roman" w:cs="Times New Roman"/>
          <w:sz w:val="28"/>
          <w:szCs w:val="28"/>
          <w:lang w:val="uk-UA"/>
        </w:rPr>
        <w:t>279</w:t>
      </w:r>
      <w:r w:rsidRPr="007F5F67">
        <w:rPr>
          <w:rFonts w:ascii="Times New Roman" w:hAnsi="Times New Roman" w:cs="Times New Roman"/>
          <w:sz w:val="28"/>
          <w:szCs w:val="28"/>
          <w:lang w:val="uk-UA"/>
        </w:rPr>
        <w:t>]. У ході чисельних досліджень було виявлено асоціацію цього поліморфізму з різними типами раку, зокрема з новоутвореннями у ротовій порожнині</w:t>
      </w:r>
      <w:r w:rsidR="007E6D77">
        <w:rPr>
          <w:rFonts w:ascii="Times New Roman" w:hAnsi="Times New Roman" w:cs="Times New Roman"/>
          <w:sz w:val="28"/>
          <w:szCs w:val="28"/>
          <w:lang w:val="uk-UA"/>
        </w:rPr>
        <w:t xml:space="preserve"> та раком легенів</w:t>
      </w:r>
      <w:r w:rsidRPr="007F5F67">
        <w:rPr>
          <w:rFonts w:ascii="Times New Roman" w:hAnsi="Times New Roman" w:cs="Times New Roman"/>
          <w:sz w:val="28"/>
          <w:szCs w:val="28"/>
          <w:lang w:val="uk-UA"/>
        </w:rPr>
        <w:t xml:space="preserve">, особливо серед європеоїдів </w:t>
      </w:r>
      <w:r w:rsidR="00A511D5" w:rsidRPr="000953B6">
        <w:rPr>
          <w:rFonts w:ascii="Times New Roman" w:hAnsi="Times New Roman" w:cs="Times New Roman"/>
          <w:noProof/>
          <w:sz w:val="28"/>
          <w:szCs w:val="28"/>
          <w:lang w:val="uk-UA"/>
        </w:rPr>
        <w:t>[</w:t>
      </w:r>
      <w:r w:rsidR="00A511D5">
        <w:rPr>
          <w:rFonts w:ascii="Times New Roman" w:hAnsi="Times New Roman" w:cs="Times New Roman"/>
          <w:noProof/>
          <w:sz w:val="28"/>
          <w:szCs w:val="28"/>
          <w:lang w:val="uk-UA"/>
        </w:rPr>
        <w:t>2</w:t>
      </w:r>
      <w:r w:rsidR="0024764B">
        <w:rPr>
          <w:rFonts w:ascii="Times New Roman" w:hAnsi="Times New Roman" w:cs="Times New Roman"/>
          <w:noProof/>
          <w:sz w:val="28"/>
          <w:szCs w:val="28"/>
          <w:lang w:val="uk-UA"/>
        </w:rPr>
        <w:t>81-28</w:t>
      </w:r>
      <w:r w:rsidR="0024764B" w:rsidRPr="0024764B">
        <w:rPr>
          <w:rFonts w:ascii="Times New Roman" w:hAnsi="Times New Roman" w:cs="Times New Roman"/>
          <w:noProof/>
          <w:sz w:val="28"/>
          <w:szCs w:val="28"/>
          <w:lang w:val="uk-UA"/>
        </w:rPr>
        <w:t>9</w:t>
      </w:r>
      <w:r w:rsidR="00A511D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w:t>
      </w:r>
    </w:p>
    <w:p w14:paraId="75C96773" w14:textId="350CBDA4" w:rsidR="000728CB" w:rsidRPr="00B411CE" w:rsidRDefault="007F5F67" w:rsidP="00D0270E">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За результатами ПДРФ аналізу було прогенотиповано 48 осіб за </w:t>
      </w:r>
      <w:r w:rsidRPr="00A511D5">
        <w:rPr>
          <w:rFonts w:ascii="Times New Roman" w:hAnsi="Times New Roman" w:cs="Times New Roman"/>
          <w:sz w:val="28"/>
          <w:szCs w:val="28"/>
          <w:lang w:val="uk-UA"/>
        </w:rPr>
        <w:t xml:space="preserve">поліморфізмом </w:t>
      </w:r>
      <w:r w:rsidRPr="00A511D5">
        <w:rPr>
          <w:rFonts w:ascii="Times New Roman" w:hAnsi="Times New Roman" w:cs="Times New Roman"/>
          <w:sz w:val="28"/>
          <w:szCs w:val="28"/>
        </w:rPr>
        <w:t>rs</w:t>
      </w:r>
      <w:r w:rsidRPr="00A511D5">
        <w:rPr>
          <w:rFonts w:ascii="Times New Roman" w:hAnsi="Times New Roman" w:cs="Times New Roman"/>
          <w:sz w:val="28"/>
          <w:szCs w:val="28"/>
          <w:lang w:val="uk-UA"/>
        </w:rPr>
        <w:t>1801270. Встанолено</w:t>
      </w:r>
      <w:r w:rsidRPr="007F5F67">
        <w:rPr>
          <w:rFonts w:ascii="Times New Roman" w:hAnsi="Times New Roman" w:cs="Times New Roman"/>
          <w:sz w:val="28"/>
          <w:szCs w:val="28"/>
          <w:lang w:val="uk-UA"/>
        </w:rPr>
        <w:t xml:space="preserve"> гомозиготність за алелем </w:t>
      </w:r>
      <w:r w:rsidRPr="007F5F67">
        <w:rPr>
          <w:rFonts w:ascii="Times New Roman" w:hAnsi="Times New Roman" w:cs="Times New Roman"/>
          <w:i/>
          <w:sz w:val="28"/>
          <w:szCs w:val="28"/>
          <w:lang w:val="uk-UA"/>
        </w:rPr>
        <w:t>С</w:t>
      </w:r>
      <w:r w:rsidRPr="007F5F67">
        <w:rPr>
          <w:rFonts w:ascii="Times New Roman" w:hAnsi="Times New Roman" w:cs="Times New Roman"/>
          <w:sz w:val="28"/>
          <w:szCs w:val="28"/>
          <w:lang w:val="uk-UA"/>
        </w:rPr>
        <w:t xml:space="preserve"> в 31 особи, гетерозиготність – в 11 осіб та гомозиготність за алелем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xml:space="preserve"> – в 6 осіб. Розраховані частоти генотипів та алелів за даним</w:t>
      </w:r>
      <w:r w:rsidR="00CD0C56">
        <w:rPr>
          <w:rFonts w:ascii="Times New Roman" w:hAnsi="Times New Roman" w:cs="Times New Roman"/>
          <w:sz w:val="28"/>
          <w:szCs w:val="28"/>
          <w:lang w:val="uk-UA"/>
        </w:rPr>
        <w:t xml:space="preserve"> поліморфізмом (табл. 6.3</w:t>
      </w:r>
      <w:r w:rsidRPr="007F5F67">
        <w:rPr>
          <w:rFonts w:ascii="Times New Roman" w:hAnsi="Times New Roman" w:cs="Times New Roman"/>
          <w:sz w:val="28"/>
          <w:szCs w:val="28"/>
          <w:lang w:val="uk-UA"/>
        </w:rPr>
        <w:t>). Слід зазначити, що частоти алелів досліджуваного поліморфізму, як по вибірці в цілому, так і у межах контрольної та основної груп не відрізняються. Вони також можуть бути співставлені з частотами алелів за цим поліморфізмом, що були розраховані за даними різних досліджень</w:t>
      </w:r>
      <w:r w:rsidR="00F428D4" w:rsidRPr="00F428D4">
        <w:rPr>
          <w:rFonts w:ascii="Times New Roman" w:hAnsi="Times New Roman" w:cs="Times New Roman"/>
          <w:sz w:val="28"/>
          <w:szCs w:val="28"/>
          <w:lang w:val="uk-UA"/>
        </w:rPr>
        <w:t xml:space="preserve"> </w:t>
      </w:r>
      <w:r w:rsidR="005368C5">
        <w:rPr>
          <w:rFonts w:ascii="Times New Roman" w:hAnsi="Times New Roman" w:cs="Times New Roman"/>
          <w:noProof/>
          <w:sz w:val="28"/>
          <w:szCs w:val="28"/>
          <w:lang w:val="uk-UA"/>
        </w:rPr>
        <w:t>[2</w:t>
      </w:r>
      <w:r w:rsidR="0024764B">
        <w:rPr>
          <w:rFonts w:ascii="Times New Roman" w:hAnsi="Times New Roman" w:cs="Times New Roman"/>
          <w:noProof/>
          <w:sz w:val="28"/>
          <w:szCs w:val="28"/>
          <w:lang w:val="uk-UA"/>
        </w:rPr>
        <w:t>82, 284</w:t>
      </w:r>
      <w:r w:rsidR="005368C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 xml:space="preserve">. Окремо слід зазначити, що отримані нами частоти алелів відрізняються від аналогічних, розрахованих для європейських популяцій </w:t>
      </w:r>
      <w:r w:rsidR="0024764B">
        <w:rPr>
          <w:rFonts w:ascii="Times New Roman" w:hAnsi="Times New Roman" w:cs="Times New Roman"/>
          <w:noProof/>
          <w:sz w:val="28"/>
          <w:szCs w:val="28"/>
          <w:lang w:val="uk-UA"/>
        </w:rPr>
        <w:t>[286</w:t>
      </w:r>
      <w:r w:rsidR="005368C5" w:rsidRPr="000953B6">
        <w:rPr>
          <w:rFonts w:ascii="Times New Roman" w:hAnsi="Times New Roman" w:cs="Times New Roman"/>
          <w:noProof/>
          <w:sz w:val="28"/>
          <w:szCs w:val="28"/>
          <w:lang w:val="uk-UA"/>
        </w:rPr>
        <w:t>]</w:t>
      </w:r>
      <w:r w:rsidRPr="007F5F67">
        <w:rPr>
          <w:rFonts w:ascii="Times New Roman" w:hAnsi="Times New Roman" w:cs="Times New Roman"/>
          <w:sz w:val="28"/>
          <w:szCs w:val="28"/>
          <w:lang w:val="uk-UA"/>
        </w:rPr>
        <w:t>, та характеризуються підвищеною частотою мутантного алелю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Саме це, імовірно, є причиною відхилення досліджуваної вибірки від стану рівноваги.</w:t>
      </w:r>
    </w:p>
    <w:p w14:paraId="18D8F923" w14:textId="5807311F" w:rsidR="007F5F67" w:rsidRPr="00A511D5" w:rsidRDefault="00D0270E" w:rsidP="007F5F67">
      <w:pPr>
        <w:spacing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6</w:t>
      </w:r>
      <w:r w:rsidR="007F5F67" w:rsidRPr="00A511D5">
        <w:rPr>
          <w:rFonts w:ascii="Times New Roman" w:hAnsi="Times New Roman" w:cs="Times New Roman"/>
          <w:sz w:val="28"/>
          <w:szCs w:val="28"/>
          <w:lang w:val="uk-UA"/>
        </w:rPr>
        <w:t>.</w:t>
      </w:r>
      <w:r w:rsidR="00A511D5">
        <w:rPr>
          <w:rFonts w:ascii="Times New Roman" w:hAnsi="Times New Roman" w:cs="Times New Roman"/>
          <w:sz w:val="28"/>
          <w:szCs w:val="28"/>
          <w:lang w:val="uk-UA"/>
        </w:rPr>
        <w:t>3</w:t>
      </w:r>
    </w:p>
    <w:p w14:paraId="56DA76ED" w14:textId="09207A5A" w:rsidR="007F5F67" w:rsidRPr="00A511D5" w:rsidRDefault="007F5F67" w:rsidP="000728CB">
      <w:pPr>
        <w:spacing w:line="360" w:lineRule="auto"/>
        <w:jc w:val="center"/>
        <w:rPr>
          <w:rFonts w:ascii="Times New Roman" w:hAnsi="Times New Roman" w:cs="Times New Roman"/>
          <w:sz w:val="28"/>
          <w:szCs w:val="28"/>
          <w:lang w:val="uk-UA"/>
        </w:rPr>
      </w:pPr>
      <w:r w:rsidRPr="00A511D5">
        <w:rPr>
          <w:rFonts w:ascii="Times New Roman" w:hAnsi="Times New Roman" w:cs="Times New Roman"/>
          <w:sz w:val="28"/>
          <w:szCs w:val="28"/>
          <w:lang w:val="uk-UA"/>
        </w:rPr>
        <w:t xml:space="preserve">Частоти генотипів та алелів за поліморфізмом </w:t>
      </w:r>
      <w:r w:rsidRPr="00A511D5">
        <w:rPr>
          <w:rFonts w:ascii="Times New Roman" w:hAnsi="Times New Roman" w:cs="Times New Roman"/>
          <w:i/>
          <w:sz w:val="28"/>
          <w:szCs w:val="28"/>
        </w:rPr>
        <w:t>rs</w:t>
      </w:r>
      <w:r w:rsidRPr="00A511D5">
        <w:rPr>
          <w:rFonts w:ascii="Times New Roman" w:hAnsi="Times New Roman" w:cs="Times New Roman"/>
          <w:i/>
          <w:sz w:val="28"/>
          <w:szCs w:val="28"/>
          <w:lang w:val="uk-UA"/>
        </w:rPr>
        <w:t>1801270</w:t>
      </w:r>
      <w:r w:rsidRPr="00A511D5">
        <w:rPr>
          <w:rFonts w:ascii="Times New Roman" w:hAnsi="Times New Roman" w:cs="Times New Roman"/>
          <w:sz w:val="28"/>
          <w:szCs w:val="28"/>
          <w:lang w:val="uk-UA"/>
        </w:rPr>
        <w:t xml:space="preserve"> у</w:t>
      </w:r>
      <w:r w:rsidR="00A511D5">
        <w:rPr>
          <w:rFonts w:ascii="Times New Roman" w:hAnsi="Times New Roman" w:cs="Times New Roman"/>
          <w:sz w:val="28"/>
          <w:szCs w:val="28"/>
          <w:lang w:val="uk-UA"/>
        </w:rPr>
        <w:t xml:space="preserve"> досліджуваній </w:t>
      </w:r>
      <w:r w:rsidRPr="00A511D5">
        <w:rPr>
          <w:rFonts w:ascii="Times New Roman" w:hAnsi="Times New Roman" w:cs="Times New Roman"/>
          <w:sz w:val="28"/>
          <w:szCs w:val="28"/>
          <w:lang w:val="uk-UA"/>
        </w:rPr>
        <w:t>вибірці</w:t>
      </w:r>
    </w:p>
    <w:tbl>
      <w:tblPr>
        <w:tblStyle w:val="TableGrid"/>
        <w:tblW w:w="0" w:type="auto"/>
        <w:tblLayout w:type="fixed"/>
        <w:tblLook w:val="04A0" w:firstRow="1" w:lastRow="0" w:firstColumn="1" w:lastColumn="0" w:noHBand="0" w:noVBand="1"/>
      </w:tblPr>
      <w:tblGrid>
        <w:gridCol w:w="2093"/>
        <w:gridCol w:w="1417"/>
        <w:gridCol w:w="1418"/>
        <w:gridCol w:w="1417"/>
        <w:gridCol w:w="992"/>
        <w:gridCol w:w="1276"/>
        <w:gridCol w:w="958"/>
      </w:tblGrid>
      <w:tr w:rsidR="007F5F67" w:rsidRPr="007F5F67" w14:paraId="21865BB9" w14:textId="77777777" w:rsidTr="00F428D4">
        <w:tc>
          <w:tcPr>
            <w:tcW w:w="2093" w:type="dxa"/>
          </w:tcPr>
          <w:p w14:paraId="16113951" w14:textId="77777777" w:rsidR="007F5F67" w:rsidRPr="007F5F67" w:rsidRDefault="007F5F67" w:rsidP="007F5F67">
            <w:pPr>
              <w:spacing w:line="360" w:lineRule="auto"/>
              <w:rPr>
                <w:rFonts w:cs="Times New Roman"/>
                <w:sz w:val="28"/>
                <w:szCs w:val="28"/>
                <w:lang w:val="uk-UA"/>
              </w:rPr>
            </w:pPr>
          </w:p>
        </w:tc>
        <w:tc>
          <w:tcPr>
            <w:tcW w:w="4252" w:type="dxa"/>
            <w:gridSpan w:val="3"/>
            <w:vAlign w:val="center"/>
          </w:tcPr>
          <w:p w14:paraId="2DD09C63"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Частоти генотипів (%)</w:t>
            </w:r>
          </w:p>
        </w:tc>
        <w:tc>
          <w:tcPr>
            <w:tcW w:w="2268" w:type="dxa"/>
            <w:gridSpan w:val="2"/>
            <w:vAlign w:val="center"/>
          </w:tcPr>
          <w:p w14:paraId="370C522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Частоти алелів</w:t>
            </w:r>
          </w:p>
        </w:tc>
        <w:tc>
          <w:tcPr>
            <w:tcW w:w="958" w:type="dxa"/>
            <w:vMerge w:val="restart"/>
            <w:vAlign w:val="center"/>
          </w:tcPr>
          <w:p w14:paraId="6EB7F03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χ</w:t>
            </w:r>
            <w:r w:rsidRPr="007F5F67">
              <w:rPr>
                <w:rFonts w:cs="Times New Roman"/>
                <w:sz w:val="28"/>
                <w:szCs w:val="28"/>
                <w:vertAlign w:val="superscript"/>
                <w:lang w:val="uk-UA"/>
              </w:rPr>
              <w:t>2</w:t>
            </w:r>
          </w:p>
        </w:tc>
      </w:tr>
      <w:tr w:rsidR="007F5F67" w:rsidRPr="007F5F67" w14:paraId="1D900C6E" w14:textId="77777777" w:rsidTr="00F428D4">
        <w:tc>
          <w:tcPr>
            <w:tcW w:w="2093" w:type="dxa"/>
          </w:tcPr>
          <w:p w14:paraId="3A798C78" w14:textId="77777777" w:rsidR="007F5F67" w:rsidRPr="007F5F67" w:rsidRDefault="007F5F67" w:rsidP="007F5F67">
            <w:pPr>
              <w:spacing w:line="360" w:lineRule="auto"/>
              <w:rPr>
                <w:rFonts w:cs="Times New Roman"/>
                <w:sz w:val="28"/>
                <w:szCs w:val="28"/>
                <w:lang w:val="uk-UA"/>
              </w:rPr>
            </w:pPr>
          </w:p>
        </w:tc>
        <w:tc>
          <w:tcPr>
            <w:tcW w:w="1417" w:type="dxa"/>
            <w:vAlign w:val="center"/>
          </w:tcPr>
          <w:p w14:paraId="640E9D46"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СС</w:t>
            </w:r>
          </w:p>
        </w:tc>
        <w:tc>
          <w:tcPr>
            <w:tcW w:w="1418" w:type="dxa"/>
            <w:vAlign w:val="center"/>
          </w:tcPr>
          <w:p w14:paraId="1FB483C9"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СА</w:t>
            </w:r>
          </w:p>
        </w:tc>
        <w:tc>
          <w:tcPr>
            <w:tcW w:w="1417" w:type="dxa"/>
            <w:vAlign w:val="center"/>
          </w:tcPr>
          <w:p w14:paraId="6B308B6F"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АА</w:t>
            </w:r>
          </w:p>
        </w:tc>
        <w:tc>
          <w:tcPr>
            <w:tcW w:w="992" w:type="dxa"/>
            <w:vAlign w:val="center"/>
          </w:tcPr>
          <w:p w14:paraId="40622439"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С</w:t>
            </w:r>
          </w:p>
        </w:tc>
        <w:tc>
          <w:tcPr>
            <w:tcW w:w="1276" w:type="dxa"/>
            <w:vAlign w:val="center"/>
          </w:tcPr>
          <w:p w14:paraId="10148523" w14:textId="77777777" w:rsidR="007F5F67" w:rsidRPr="007F5F67" w:rsidRDefault="007F5F67" w:rsidP="007F5F67">
            <w:pPr>
              <w:spacing w:line="360" w:lineRule="auto"/>
              <w:jc w:val="center"/>
              <w:rPr>
                <w:rFonts w:cs="Times New Roman"/>
                <w:i/>
                <w:sz w:val="28"/>
                <w:szCs w:val="28"/>
                <w:lang w:val="uk-UA"/>
              </w:rPr>
            </w:pPr>
            <w:r w:rsidRPr="007F5F67">
              <w:rPr>
                <w:rFonts w:cs="Times New Roman"/>
                <w:i/>
                <w:sz w:val="28"/>
                <w:szCs w:val="28"/>
                <w:lang w:val="uk-UA"/>
              </w:rPr>
              <w:t>А</w:t>
            </w:r>
          </w:p>
        </w:tc>
        <w:tc>
          <w:tcPr>
            <w:tcW w:w="958" w:type="dxa"/>
            <w:vMerge/>
          </w:tcPr>
          <w:p w14:paraId="7E444ECD" w14:textId="77777777" w:rsidR="007F5F67" w:rsidRPr="007F5F67" w:rsidRDefault="007F5F67" w:rsidP="007F5F67">
            <w:pPr>
              <w:spacing w:line="360" w:lineRule="auto"/>
              <w:rPr>
                <w:rFonts w:cs="Times New Roman"/>
                <w:sz w:val="28"/>
                <w:szCs w:val="28"/>
                <w:lang w:val="uk-UA"/>
              </w:rPr>
            </w:pPr>
          </w:p>
        </w:tc>
      </w:tr>
      <w:tr w:rsidR="007F5F67" w:rsidRPr="007F5F67" w14:paraId="4E9B42DB" w14:textId="77777777" w:rsidTr="00F428D4">
        <w:tc>
          <w:tcPr>
            <w:tcW w:w="9571" w:type="dxa"/>
            <w:gridSpan w:val="7"/>
            <w:vAlign w:val="center"/>
          </w:tcPr>
          <w:p w14:paraId="3A39987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Загалом по всій вибірці</w:t>
            </w:r>
          </w:p>
        </w:tc>
      </w:tr>
      <w:tr w:rsidR="007F5F67" w:rsidRPr="007F5F67" w14:paraId="64583860" w14:textId="77777777" w:rsidTr="00F428D4">
        <w:tc>
          <w:tcPr>
            <w:tcW w:w="2093" w:type="dxa"/>
          </w:tcPr>
          <w:p w14:paraId="3560B0CA"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596AF811"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n=48)</w:t>
            </w:r>
          </w:p>
        </w:tc>
        <w:tc>
          <w:tcPr>
            <w:tcW w:w="1417" w:type="dxa"/>
          </w:tcPr>
          <w:p w14:paraId="77BB975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64,58</w:t>
            </w:r>
          </w:p>
          <w:p w14:paraId="72A9C56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31</w:t>
            </w:r>
            <w:r w:rsidRPr="007F5F67">
              <w:rPr>
                <w:rFonts w:cs="Times New Roman"/>
                <w:sz w:val="28"/>
                <w:szCs w:val="28"/>
                <w:lang w:val="en-US"/>
              </w:rPr>
              <w:t>)</w:t>
            </w:r>
          </w:p>
        </w:tc>
        <w:tc>
          <w:tcPr>
            <w:tcW w:w="1418" w:type="dxa"/>
          </w:tcPr>
          <w:p w14:paraId="7607410E"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22,92</w:t>
            </w:r>
          </w:p>
          <w:p w14:paraId="0F57B64B"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11</w:t>
            </w:r>
            <w:r w:rsidRPr="007F5F67">
              <w:rPr>
                <w:rFonts w:cs="Times New Roman"/>
                <w:sz w:val="28"/>
                <w:szCs w:val="28"/>
                <w:lang w:val="en-US"/>
              </w:rPr>
              <w:t>)</w:t>
            </w:r>
          </w:p>
        </w:tc>
        <w:tc>
          <w:tcPr>
            <w:tcW w:w="1417" w:type="dxa"/>
          </w:tcPr>
          <w:p w14:paraId="32F906A1"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12,5</w:t>
            </w:r>
          </w:p>
          <w:p w14:paraId="16802ED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6</w:t>
            </w:r>
            <w:r w:rsidRPr="007F5F67">
              <w:rPr>
                <w:rFonts w:cs="Times New Roman"/>
                <w:sz w:val="28"/>
                <w:szCs w:val="28"/>
                <w:lang w:val="en-US"/>
              </w:rPr>
              <w:t>)</w:t>
            </w:r>
          </w:p>
        </w:tc>
        <w:tc>
          <w:tcPr>
            <w:tcW w:w="992" w:type="dxa"/>
            <w:vMerge w:val="restart"/>
            <w:vAlign w:val="center"/>
          </w:tcPr>
          <w:p w14:paraId="4E9204F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0,76</w:t>
            </w:r>
          </w:p>
        </w:tc>
        <w:tc>
          <w:tcPr>
            <w:tcW w:w="1276" w:type="dxa"/>
            <w:vMerge w:val="restart"/>
            <w:vAlign w:val="center"/>
          </w:tcPr>
          <w:p w14:paraId="52D43750"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0,24</w:t>
            </w:r>
          </w:p>
        </w:tc>
        <w:tc>
          <w:tcPr>
            <w:tcW w:w="958" w:type="dxa"/>
            <w:vMerge w:val="restart"/>
            <w:vAlign w:val="center"/>
          </w:tcPr>
          <w:p w14:paraId="325AE6E2"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6,46</w:t>
            </w:r>
          </w:p>
        </w:tc>
      </w:tr>
    </w:tbl>
    <w:tbl>
      <w:tblPr>
        <w:tblW w:w="0" w:type="auto"/>
        <w:tblInd w:w="580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3587"/>
      </w:tblGrid>
      <w:tr w:rsidR="00853AD1" w:rsidRPr="00853AD1" w14:paraId="3B232024" w14:textId="77777777" w:rsidTr="00853AD1">
        <w:trPr>
          <w:trHeight w:val="120"/>
        </w:trPr>
        <w:tc>
          <w:tcPr>
            <w:tcW w:w="3587" w:type="dxa"/>
          </w:tcPr>
          <w:p w14:paraId="00C5B0FA" w14:textId="6DABC3DA" w:rsidR="00853AD1" w:rsidRPr="00853AD1" w:rsidRDefault="00853AD1" w:rsidP="00853AD1">
            <w:pPr>
              <w:spacing w:after="0" w:line="360" w:lineRule="auto"/>
              <w:rPr>
                <w:rFonts w:ascii="Times New Roman" w:hAnsi="Times New Roman" w:cs="Times New Roman"/>
                <w:i/>
                <w:sz w:val="28"/>
                <w:szCs w:val="28"/>
                <w:lang w:val="uk-UA"/>
              </w:rPr>
            </w:pPr>
            <w:r w:rsidRPr="00853AD1">
              <w:rPr>
                <w:rFonts w:ascii="Times New Roman" w:hAnsi="Times New Roman" w:cs="Times New Roman"/>
                <w:i/>
                <w:sz w:val="28"/>
                <w:szCs w:val="28"/>
                <w:lang w:val="uk-UA"/>
              </w:rPr>
              <w:t>Продовженн</w:t>
            </w:r>
            <w:r w:rsidR="0006458A">
              <w:rPr>
                <w:rFonts w:ascii="Times New Roman" w:hAnsi="Times New Roman" w:cs="Times New Roman"/>
                <w:i/>
                <w:sz w:val="28"/>
                <w:szCs w:val="28"/>
                <w:lang w:val="uk-UA"/>
              </w:rPr>
              <w:t>я</w:t>
            </w:r>
            <w:r w:rsidRPr="00853AD1">
              <w:rPr>
                <w:rFonts w:ascii="Times New Roman" w:hAnsi="Times New Roman" w:cs="Times New Roman"/>
                <w:i/>
                <w:sz w:val="28"/>
                <w:szCs w:val="28"/>
                <w:lang w:val="uk-UA"/>
              </w:rPr>
              <w:t xml:space="preserve"> таблиці 6.3 </w:t>
            </w:r>
          </w:p>
        </w:tc>
      </w:tr>
    </w:tbl>
    <w:tbl>
      <w:tblPr>
        <w:tblStyle w:val="TableGrid"/>
        <w:tblW w:w="0" w:type="auto"/>
        <w:tblLayout w:type="fixed"/>
        <w:tblLook w:val="04A0" w:firstRow="1" w:lastRow="0" w:firstColumn="1" w:lastColumn="0" w:noHBand="0" w:noVBand="1"/>
      </w:tblPr>
      <w:tblGrid>
        <w:gridCol w:w="2093"/>
        <w:gridCol w:w="1417"/>
        <w:gridCol w:w="1418"/>
        <w:gridCol w:w="1417"/>
        <w:gridCol w:w="992"/>
        <w:gridCol w:w="1276"/>
        <w:gridCol w:w="958"/>
      </w:tblGrid>
      <w:tr w:rsidR="0006458A" w:rsidRPr="0006458A" w14:paraId="6566DC6D" w14:textId="77777777" w:rsidTr="00BD034E">
        <w:trPr>
          <w:trHeight w:val="1932"/>
        </w:trPr>
        <w:tc>
          <w:tcPr>
            <w:tcW w:w="2093" w:type="dxa"/>
          </w:tcPr>
          <w:p w14:paraId="1A94F792" w14:textId="4C1B2085"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22BA9A27"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57,71</w:t>
            </w:r>
          </w:p>
          <w:p w14:paraId="5FEA5761" w14:textId="6BB89578"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27,7</w:t>
            </w:r>
            <w:r w:rsidRPr="007F5F67">
              <w:rPr>
                <w:rFonts w:cs="Times New Roman"/>
                <w:sz w:val="28"/>
                <w:szCs w:val="28"/>
                <w:lang w:val="en-US"/>
              </w:rPr>
              <w:t>)</w:t>
            </w:r>
          </w:p>
        </w:tc>
        <w:tc>
          <w:tcPr>
            <w:tcW w:w="1418" w:type="dxa"/>
          </w:tcPr>
          <w:p w14:paraId="424D7CCB"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36,47</w:t>
            </w:r>
          </w:p>
          <w:p w14:paraId="3C271F0C" w14:textId="31B9455F"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17,5</w:t>
            </w:r>
            <w:r w:rsidRPr="007F5F67">
              <w:rPr>
                <w:rFonts w:cs="Times New Roman"/>
                <w:sz w:val="28"/>
                <w:szCs w:val="28"/>
                <w:lang w:val="en-US"/>
              </w:rPr>
              <w:t>)</w:t>
            </w:r>
          </w:p>
        </w:tc>
        <w:tc>
          <w:tcPr>
            <w:tcW w:w="1417" w:type="dxa"/>
          </w:tcPr>
          <w:p w14:paraId="1D97DD36" w14:textId="77777777"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5,83</w:t>
            </w:r>
          </w:p>
          <w:p w14:paraId="43DEDE09" w14:textId="660E17C3" w:rsidR="0006458A" w:rsidRPr="007F5F67" w:rsidRDefault="0006458A"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2,8</w:t>
            </w:r>
            <w:r w:rsidRPr="007F5F67">
              <w:rPr>
                <w:rFonts w:cs="Times New Roman"/>
                <w:sz w:val="28"/>
                <w:szCs w:val="28"/>
                <w:lang w:val="en-US"/>
              </w:rPr>
              <w:t>)</w:t>
            </w:r>
          </w:p>
        </w:tc>
        <w:tc>
          <w:tcPr>
            <w:tcW w:w="992" w:type="dxa"/>
            <w:vMerge/>
            <w:vAlign w:val="center"/>
          </w:tcPr>
          <w:p w14:paraId="57F8CE78" w14:textId="77777777" w:rsidR="0006458A" w:rsidRPr="007F5F67" w:rsidRDefault="0006458A" w:rsidP="007F5F67">
            <w:pPr>
              <w:spacing w:line="360" w:lineRule="auto"/>
              <w:jc w:val="center"/>
              <w:rPr>
                <w:rFonts w:cs="Times New Roman"/>
                <w:sz w:val="28"/>
                <w:szCs w:val="28"/>
                <w:lang w:val="uk-UA"/>
              </w:rPr>
            </w:pPr>
          </w:p>
        </w:tc>
        <w:tc>
          <w:tcPr>
            <w:tcW w:w="1276" w:type="dxa"/>
            <w:vMerge/>
            <w:vAlign w:val="center"/>
          </w:tcPr>
          <w:p w14:paraId="7F15AB34" w14:textId="77777777" w:rsidR="0006458A" w:rsidRPr="007F5F67" w:rsidRDefault="0006458A" w:rsidP="007F5F67">
            <w:pPr>
              <w:spacing w:line="360" w:lineRule="auto"/>
              <w:jc w:val="center"/>
              <w:rPr>
                <w:rFonts w:cs="Times New Roman"/>
                <w:sz w:val="28"/>
                <w:szCs w:val="28"/>
                <w:lang w:val="uk-UA"/>
              </w:rPr>
            </w:pPr>
          </w:p>
        </w:tc>
        <w:tc>
          <w:tcPr>
            <w:tcW w:w="958" w:type="dxa"/>
            <w:vMerge/>
            <w:vAlign w:val="center"/>
          </w:tcPr>
          <w:p w14:paraId="7D55F361" w14:textId="77777777" w:rsidR="0006458A" w:rsidRPr="007F5F67" w:rsidRDefault="0006458A" w:rsidP="007F5F67">
            <w:pPr>
              <w:spacing w:line="360" w:lineRule="auto"/>
              <w:jc w:val="center"/>
              <w:rPr>
                <w:rFonts w:cs="Times New Roman"/>
                <w:sz w:val="28"/>
                <w:szCs w:val="28"/>
                <w:lang w:val="uk-UA"/>
              </w:rPr>
            </w:pPr>
          </w:p>
        </w:tc>
      </w:tr>
      <w:tr w:rsidR="007F5F67" w:rsidRPr="007F5F67" w14:paraId="0816379D" w14:textId="77777777" w:rsidTr="00F428D4">
        <w:tc>
          <w:tcPr>
            <w:tcW w:w="9571" w:type="dxa"/>
            <w:gridSpan w:val="7"/>
            <w:vAlign w:val="center"/>
          </w:tcPr>
          <w:p w14:paraId="7711FCA5"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Тільки контрольна група</w:t>
            </w:r>
          </w:p>
        </w:tc>
      </w:tr>
      <w:tr w:rsidR="007F5F67" w:rsidRPr="007F5F67" w14:paraId="74B71DD5" w14:textId="77777777" w:rsidTr="00F428D4">
        <w:tc>
          <w:tcPr>
            <w:tcW w:w="2093" w:type="dxa"/>
          </w:tcPr>
          <w:p w14:paraId="57602447"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1E5C9202"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12</w:t>
            </w:r>
            <w:r w:rsidRPr="007F5F67">
              <w:rPr>
                <w:rFonts w:cs="Times New Roman"/>
                <w:sz w:val="28"/>
                <w:szCs w:val="28"/>
                <w:lang w:val="en-US"/>
              </w:rPr>
              <w:t>)</w:t>
            </w:r>
          </w:p>
        </w:tc>
        <w:tc>
          <w:tcPr>
            <w:tcW w:w="1417" w:type="dxa"/>
          </w:tcPr>
          <w:p w14:paraId="605A24E0"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58,34</w:t>
            </w:r>
          </w:p>
          <w:p w14:paraId="7D459085"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7</w:t>
            </w:r>
            <w:r w:rsidRPr="007F5F67">
              <w:rPr>
                <w:rFonts w:cs="Times New Roman"/>
                <w:sz w:val="28"/>
                <w:szCs w:val="28"/>
                <w:lang w:val="en-US"/>
              </w:rPr>
              <w:t>)</w:t>
            </w:r>
          </w:p>
        </w:tc>
        <w:tc>
          <w:tcPr>
            <w:tcW w:w="1418" w:type="dxa"/>
          </w:tcPr>
          <w:p w14:paraId="70C634C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33,33</w:t>
            </w:r>
          </w:p>
          <w:p w14:paraId="7EE396D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4</w:t>
            </w:r>
            <w:r w:rsidRPr="007F5F67">
              <w:rPr>
                <w:rFonts w:cs="Times New Roman"/>
                <w:sz w:val="28"/>
                <w:szCs w:val="28"/>
                <w:lang w:val="en-US"/>
              </w:rPr>
              <w:t>)</w:t>
            </w:r>
          </w:p>
        </w:tc>
        <w:tc>
          <w:tcPr>
            <w:tcW w:w="1417" w:type="dxa"/>
          </w:tcPr>
          <w:p w14:paraId="7C1FEE75"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8,33</w:t>
            </w:r>
          </w:p>
          <w:p w14:paraId="700BEBA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w:t>
            </w:r>
            <w:r w:rsidRPr="007F5F67">
              <w:rPr>
                <w:rFonts w:cs="Times New Roman"/>
                <w:sz w:val="28"/>
                <w:szCs w:val="28"/>
                <w:lang w:val="en-US"/>
              </w:rPr>
              <w:t>)</w:t>
            </w:r>
          </w:p>
        </w:tc>
        <w:tc>
          <w:tcPr>
            <w:tcW w:w="992" w:type="dxa"/>
            <w:vMerge w:val="restart"/>
            <w:vAlign w:val="center"/>
          </w:tcPr>
          <w:p w14:paraId="145D185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0,755</w:t>
            </w:r>
          </w:p>
        </w:tc>
        <w:tc>
          <w:tcPr>
            <w:tcW w:w="1276" w:type="dxa"/>
            <w:vMerge w:val="restart"/>
            <w:vAlign w:val="center"/>
          </w:tcPr>
          <w:p w14:paraId="527BF9B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0,245</w:t>
            </w:r>
          </w:p>
        </w:tc>
        <w:tc>
          <w:tcPr>
            <w:tcW w:w="958" w:type="dxa"/>
            <w:vMerge w:val="restart"/>
            <w:vAlign w:val="center"/>
          </w:tcPr>
          <w:p w14:paraId="79275364"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0,399</w:t>
            </w:r>
          </w:p>
        </w:tc>
      </w:tr>
      <w:tr w:rsidR="007F5F67" w:rsidRPr="007F5F67" w14:paraId="161499AD" w14:textId="77777777" w:rsidTr="00F428D4">
        <w:tc>
          <w:tcPr>
            <w:tcW w:w="2093" w:type="dxa"/>
          </w:tcPr>
          <w:p w14:paraId="300073F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1C6E4AEA"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56,25</w:t>
            </w:r>
          </w:p>
          <w:p w14:paraId="4E3CA79B"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6,75</w:t>
            </w:r>
            <w:r w:rsidRPr="007F5F67">
              <w:rPr>
                <w:rFonts w:cs="Times New Roman"/>
                <w:sz w:val="28"/>
                <w:szCs w:val="28"/>
                <w:lang w:val="en-US"/>
              </w:rPr>
              <w:t>)</w:t>
            </w:r>
          </w:p>
        </w:tc>
        <w:tc>
          <w:tcPr>
            <w:tcW w:w="1418" w:type="dxa"/>
          </w:tcPr>
          <w:p w14:paraId="07F6D2C8"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37,50</w:t>
            </w:r>
          </w:p>
          <w:p w14:paraId="23010498"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4,5</w:t>
            </w:r>
            <w:r w:rsidRPr="007F5F67">
              <w:rPr>
                <w:rFonts w:cs="Times New Roman"/>
                <w:sz w:val="28"/>
                <w:szCs w:val="28"/>
                <w:lang w:val="en-US"/>
              </w:rPr>
              <w:t>)</w:t>
            </w:r>
          </w:p>
        </w:tc>
        <w:tc>
          <w:tcPr>
            <w:tcW w:w="1417" w:type="dxa"/>
          </w:tcPr>
          <w:p w14:paraId="791A0F0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6,25</w:t>
            </w:r>
          </w:p>
          <w:p w14:paraId="77C0BC77"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0,75</w:t>
            </w:r>
            <w:r w:rsidRPr="007F5F67">
              <w:rPr>
                <w:rFonts w:cs="Times New Roman"/>
                <w:sz w:val="28"/>
                <w:szCs w:val="28"/>
                <w:lang w:val="en-US"/>
              </w:rPr>
              <w:t>)</w:t>
            </w:r>
          </w:p>
        </w:tc>
        <w:tc>
          <w:tcPr>
            <w:tcW w:w="992" w:type="dxa"/>
            <w:vMerge/>
          </w:tcPr>
          <w:p w14:paraId="380B118C" w14:textId="77777777" w:rsidR="007F5F67" w:rsidRPr="007F5F67" w:rsidRDefault="007F5F67" w:rsidP="007F5F67">
            <w:pPr>
              <w:spacing w:line="360" w:lineRule="auto"/>
              <w:rPr>
                <w:rFonts w:cs="Times New Roman"/>
                <w:sz w:val="28"/>
                <w:szCs w:val="28"/>
                <w:lang w:val="uk-UA"/>
              </w:rPr>
            </w:pPr>
          </w:p>
        </w:tc>
        <w:tc>
          <w:tcPr>
            <w:tcW w:w="1276" w:type="dxa"/>
            <w:vMerge/>
          </w:tcPr>
          <w:p w14:paraId="1BAD0C7E" w14:textId="77777777" w:rsidR="007F5F67" w:rsidRPr="007F5F67" w:rsidRDefault="007F5F67" w:rsidP="007F5F67">
            <w:pPr>
              <w:spacing w:line="360" w:lineRule="auto"/>
              <w:rPr>
                <w:rFonts w:cs="Times New Roman"/>
                <w:sz w:val="28"/>
                <w:szCs w:val="28"/>
                <w:lang w:val="uk-UA"/>
              </w:rPr>
            </w:pPr>
          </w:p>
        </w:tc>
        <w:tc>
          <w:tcPr>
            <w:tcW w:w="958" w:type="dxa"/>
            <w:vMerge/>
          </w:tcPr>
          <w:p w14:paraId="58C4EF13" w14:textId="77777777" w:rsidR="007F5F67" w:rsidRPr="007F5F67" w:rsidRDefault="007F5F67" w:rsidP="007F5F67">
            <w:pPr>
              <w:spacing w:line="360" w:lineRule="auto"/>
              <w:rPr>
                <w:rFonts w:cs="Times New Roman"/>
                <w:sz w:val="28"/>
                <w:szCs w:val="28"/>
                <w:lang w:val="uk-UA"/>
              </w:rPr>
            </w:pPr>
          </w:p>
        </w:tc>
      </w:tr>
      <w:tr w:rsidR="007F5F67" w:rsidRPr="007F5F67" w14:paraId="669ADBF8" w14:textId="77777777" w:rsidTr="00F428D4">
        <w:tc>
          <w:tcPr>
            <w:tcW w:w="9571" w:type="dxa"/>
            <w:gridSpan w:val="7"/>
          </w:tcPr>
          <w:p w14:paraId="2F58394C"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Тільки основна група</w:t>
            </w:r>
          </w:p>
        </w:tc>
      </w:tr>
      <w:tr w:rsidR="007F5F67" w:rsidRPr="007F5F67" w14:paraId="1F9093CE" w14:textId="77777777" w:rsidTr="00F428D4">
        <w:tc>
          <w:tcPr>
            <w:tcW w:w="2093" w:type="dxa"/>
          </w:tcPr>
          <w:p w14:paraId="5DF59E3F"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Фактичні</w:t>
            </w:r>
          </w:p>
          <w:p w14:paraId="32C4B8F8" w14:textId="77777777" w:rsidR="007F5F67" w:rsidRPr="007F5F67" w:rsidRDefault="007F5F67" w:rsidP="007F5F67">
            <w:pPr>
              <w:spacing w:line="360" w:lineRule="auto"/>
              <w:rPr>
                <w:rFonts w:cs="Times New Roman"/>
                <w:sz w:val="28"/>
                <w:szCs w:val="28"/>
                <w:lang w:val="en-US"/>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36</w:t>
            </w:r>
            <w:r w:rsidRPr="007F5F67">
              <w:rPr>
                <w:rFonts w:cs="Times New Roman"/>
                <w:sz w:val="28"/>
                <w:szCs w:val="28"/>
                <w:lang w:val="en-US"/>
              </w:rPr>
              <w:t>)</w:t>
            </w:r>
          </w:p>
        </w:tc>
        <w:tc>
          <w:tcPr>
            <w:tcW w:w="1417" w:type="dxa"/>
          </w:tcPr>
          <w:p w14:paraId="3FF8D30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66,67</w:t>
            </w:r>
          </w:p>
          <w:p w14:paraId="47C420E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24</w:t>
            </w:r>
            <w:r w:rsidRPr="007F5F67">
              <w:rPr>
                <w:rFonts w:cs="Times New Roman"/>
                <w:sz w:val="28"/>
                <w:szCs w:val="28"/>
                <w:lang w:val="en-US"/>
              </w:rPr>
              <w:t>)</w:t>
            </w:r>
          </w:p>
        </w:tc>
        <w:tc>
          <w:tcPr>
            <w:tcW w:w="1418" w:type="dxa"/>
          </w:tcPr>
          <w:p w14:paraId="4A2E758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19,44</w:t>
            </w:r>
          </w:p>
          <w:p w14:paraId="735FF72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7</w:t>
            </w:r>
            <w:r w:rsidRPr="007F5F67">
              <w:rPr>
                <w:rFonts w:cs="Times New Roman"/>
                <w:sz w:val="28"/>
                <w:szCs w:val="28"/>
                <w:lang w:val="en-US"/>
              </w:rPr>
              <w:t>)</w:t>
            </w:r>
          </w:p>
        </w:tc>
        <w:tc>
          <w:tcPr>
            <w:tcW w:w="1417" w:type="dxa"/>
          </w:tcPr>
          <w:p w14:paraId="4398E8E9"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13,89</w:t>
            </w:r>
          </w:p>
          <w:p w14:paraId="5C2BFB66"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5</w:t>
            </w:r>
            <w:r w:rsidRPr="007F5F67">
              <w:rPr>
                <w:rFonts w:cs="Times New Roman"/>
                <w:sz w:val="28"/>
                <w:szCs w:val="28"/>
                <w:lang w:val="en-US"/>
              </w:rPr>
              <w:t>)</w:t>
            </w:r>
          </w:p>
        </w:tc>
        <w:tc>
          <w:tcPr>
            <w:tcW w:w="992" w:type="dxa"/>
            <w:vMerge w:val="restart"/>
            <w:vAlign w:val="center"/>
          </w:tcPr>
          <w:p w14:paraId="1E586035"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0,764</w:t>
            </w:r>
          </w:p>
        </w:tc>
        <w:tc>
          <w:tcPr>
            <w:tcW w:w="1276" w:type="dxa"/>
            <w:vMerge w:val="restart"/>
            <w:vAlign w:val="center"/>
          </w:tcPr>
          <w:p w14:paraId="3F6F972A"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0,236</w:t>
            </w:r>
          </w:p>
        </w:tc>
        <w:tc>
          <w:tcPr>
            <w:tcW w:w="958" w:type="dxa"/>
            <w:vMerge w:val="restart"/>
            <w:vAlign w:val="center"/>
          </w:tcPr>
          <w:p w14:paraId="3706EBCB" w14:textId="77777777" w:rsidR="007F5F67" w:rsidRPr="007F5F67" w:rsidRDefault="007F5F67" w:rsidP="007F5F67">
            <w:pPr>
              <w:spacing w:line="360" w:lineRule="auto"/>
              <w:jc w:val="center"/>
              <w:rPr>
                <w:rFonts w:cs="Times New Roman"/>
                <w:sz w:val="28"/>
                <w:szCs w:val="28"/>
                <w:lang w:val="uk-UA"/>
              </w:rPr>
            </w:pPr>
            <w:r w:rsidRPr="007F5F67">
              <w:rPr>
                <w:rFonts w:cs="Times New Roman"/>
                <w:sz w:val="28"/>
                <w:szCs w:val="28"/>
                <w:lang w:val="uk-UA"/>
              </w:rPr>
              <w:t>7,636</w:t>
            </w:r>
          </w:p>
        </w:tc>
      </w:tr>
      <w:tr w:rsidR="007F5F67" w:rsidRPr="007F5F67" w14:paraId="33BD37F7" w14:textId="77777777" w:rsidTr="00F428D4">
        <w:tc>
          <w:tcPr>
            <w:tcW w:w="2093" w:type="dxa"/>
          </w:tcPr>
          <w:p w14:paraId="0882FD23"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Теоретично очікувані для панміктичної популяції</w:t>
            </w:r>
          </w:p>
        </w:tc>
        <w:tc>
          <w:tcPr>
            <w:tcW w:w="1417" w:type="dxa"/>
          </w:tcPr>
          <w:p w14:paraId="2435DD2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58,36</w:t>
            </w:r>
          </w:p>
          <w:p w14:paraId="4171751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21,01</w:t>
            </w:r>
            <w:r w:rsidRPr="007F5F67">
              <w:rPr>
                <w:rFonts w:cs="Times New Roman"/>
                <w:sz w:val="28"/>
                <w:szCs w:val="28"/>
                <w:lang w:val="en-US"/>
              </w:rPr>
              <w:t>)</w:t>
            </w:r>
          </w:p>
        </w:tc>
        <w:tc>
          <w:tcPr>
            <w:tcW w:w="1418" w:type="dxa"/>
          </w:tcPr>
          <w:p w14:paraId="38A69481"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36,06</w:t>
            </w:r>
          </w:p>
          <w:p w14:paraId="699BF0D4"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12,98</w:t>
            </w:r>
            <w:r w:rsidRPr="007F5F67">
              <w:rPr>
                <w:rFonts w:cs="Times New Roman"/>
                <w:sz w:val="28"/>
                <w:szCs w:val="28"/>
                <w:lang w:val="en-US"/>
              </w:rPr>
              <w:t>)</w:t>
            </w:r>
          </w:p>
        </w:tc>
        <w:tc>
          <w:tcPr>
            <w:tcW w:w="1417" w:type="dxa"/>
          </w:tcPr>
          <w:p w14:paraId="1E72D84C"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5,58</w:t>
            </w:r>
          </w:p>
          <w:p w14:paraId="36E0A8F0" w14:textId="77777777" w:rsidR="007F5F67" w:rsidRPr="007F5F67" w:rsidRDefault="007F5F67" w:rsidP="007F5F67">
            <w:pPr>
              <w:spacing w:line="360" w:lineRule="auto"/>
              <w:rPr>
                <w:rFonts w:cs="Times New Roman"/>
                <w:sz w:val="28"/>
                <w:szCs w:val="28"/>
                <w:lang w:val="uk-UA"/>
              </w:rPr>
            </w:pPr>
            <w:r w:rsidRPr="007F5F67">
              <w:rPr>
                <w:rFonts w:cs="Times New Roman"/>
                <w:sz w:val="28"/>
                <w:szCs w:val="28"/>
                <w:lang w:val="uk-UA"/>
              </w:rPr>
              <w:t>(</w:t>
            </w:r>
            <w:r w:rsidRPr="007F5F67">
              <w:rPr>
                <w:rFonts w:cs="Times New Roman"/>
                <w:sz w:val="28"/>
                <w:szCs w:val="28"/>
                <w:lang w:val="en-US"/>
              </w:rPr>
              <w:t>n=</w:t>
            </w:r>
            <w:r w:rsidRPr="007F5F67">
              <w:rPr>
                <w:rFonts w:cs="Times New Roman"/>
                <w:sz w:val="28"/>
                <w:szCs w:val="28"/>
                <w:lang w:val="uk-UA"/>
              </w:rPr>
              <w:t>2,01</w:t>
            </w:r>
            <w:r w:rsidRPr="007F5F67">
              <w:rPr>
                <w:rFonts w:cs="Times New Roman"/>
                <w:sz w:val="28"/>
                <w:szCs w:val="28"/>
                <w:lang w:val="en-US"/>
              </w:rPr>
              <w:t>)</w:t>
            </w:r>
          </w:p>
        </w:tc>
        <w:tc>
          <w:tcPr>
            <w:tcW w:w="992" w:type="dxa"/>
            <w:vMerge/>
          </w:tcPr>
          <w:p w14:paraId="63BDC40B" w14:textId="77777777" w:rsidR="007F5F67" w:rsidRPr="007F5F67" w:rsidRDefault="007F5F67" w:rsidP="007F5F67">
            <w:pPr>
              <w:spacing w:line="360" w:lineRule="auto"/>
              <w:rPr>
                <w:rFonts w:cs="Times New Roman"/>
                <w:sz w:val="28"/>
                <w:szCs w:val="28"/>
                <w:lang w:val="uk-UA"/>
              </w:rPr>
            </w:pPr>
          </w:p>
        </w:tc>
        <w:tc>
          <w:tcPr>
            <w:tcW w:w="1276" w:type="dxa"/>
            <w:vMerge/>
          </w:tcPr>
          <w:p w14:paraId="0216D76E" w14:textId="77777777" w:rsidR="007F5F67" w:rsidRPr="007F5F67" w:rsidRDefault="007F5F67" w:rsidP="007F5F67">
            <w:pPr>
              <w:spacing w:line="360" w:lineRule="auto"/>
              <w:rPr>
                <w:rFonts w:cs="Times New Roman"/>
                <w:sz w:val="28"/>
                <w:szCs w:val="28"/>
                <w:lang w:val="uk-UA"/>
              </w:rPr>
            </w:pPr>
          </w:p>
        </w:tc>
        <w:tc>
          <w:tcPr>
            <w:tcW w:w="958" w:type="dxa"/>
            <w:vMerge/>
          </w:tcPr>
          <w:p w14:paraId="41534CFC" w14:textId="77777777" w:rsidR="007F5F67" w:rsidRPr="007F5F67" w:rsidRDefault="007F5F67" w:rsidP="007F5F67">
            <w:pPr>
              <w:spacing w:line="360" w:lineRule="auto"/>
              <w:rPr>
                <w:rFonts w:cs="Times New Roman"/>
                <w:sz w:val="28"/>
                <w:szCs w:val="28"/>
                <w:lang w:val="uk-UA"/>
              </w:rPr>
            </w:pPr>
          </w:p>
        </w:tc>
      </w:tr>
    </w:tbl>
    <w:p w14:paraId="7D18D618" w14:textId="77777777" w:rsidR="007F5F67" w:rsidRPr="007F5F67" w:rsidRDefault="007F5F67" w:rsidP="007F5F67">
      <w:pPr>
        <w:spacing w:line="360" w:lineRule="auto"/>
        <w:rPr>
          <w:rFonts w:ascii="Times New Roman" w:hAnsi="Times New Roman" w:cs="Times New Roman"/>
          <w:sz w:val="28"/>
          <w:szCs w:val="28"/>
          <w:lang w:val="uk-UA"/>
        </w:rPr>
      </w:pPr>
    </w:p>
    <w:p w14:paraId="3CDA4EFB" w14:textId="180251D2" w:rsidR="007F5F67" w:rsidRPr="007F5F67" w:rsidRDefault="007F5F67" w:rsidP="007F5F67">
      <w:pPr>
        <w:spacing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Аналіз частот генотипів та алелів у контрольній та основній групах окремо показав, що розподіл у контрольній групі відповідає теоретично очікуваному за законом Харді-Вайнберга, а у основній – відхиляється від нього. Спостерігаємо збільшення кількості гомозигот за алелем </w:t>
      </w:r>
      <w:r w:rsidRPr="007F5F67">
        <w:rPr>
          <w:rFonts w:ascii="Times New Roman" w:hAnsi="Times New Roman" w:cs="Times New Roman"/>
          <w:i/>
          <w:sz w:val="28"/>
          <w:szCs w:val="28"/>
          <w:lang w:val="uk-UA"/>
        </w:rPr>
        <w:t>А</w:t>
      </w:r>
      <w:r w:rsidRPr="007F5F67">
        <w:rPr>
          <w:rFonts w:ascii="Times New Roman" w:hAnsi="Times New Roman" w:cs="Times New Roman"/>
          <w:sz w:val="28"/>
          <w:szCs w:val="28"/>
          <w:lang w:val="uk-UA"/>
        </w:rPr>
        <w:t xml:space="preserve"> у основній групі. Але, порівняння вибіркових часток гомозигот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показало, що ці зміни є тенденційними (</w:t>
      </w:r>
      <w:r w:rsidRPr="007F5F67">
        <w:rPr>
          <w:rFonts w:ascii="Times New Roman" w:hAnsi="Times New Roman" w:cs="Times New Roman"/>
          <w:sz w:val="28"/>
          <w:szCs w:val="28"/>
        </w:rPr>
        <w:t>F</w:t>
      </w:r>
      <w:r w:rsidRPr="007F5F67">
        <w:rPr>
          <w:rFonts w:ascii="Times New Roman" w:hAnsi="Times New Roman" w:cs="Times New Roman"/>
          <w:sz w:val="28"/>
          <w:szCs w:val="28"/>
          <w:lang w:val="uk-UA"/>
        </w:rPr>
        <w:t xml:space="preserve">=1,74;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&gt;0,05), імовірно, внаслідок невеликої чисельності порівнюваних груп.</w:t>
      </w:r>
    </w:p>
    <w:p w14:paraId="1E14BB31" w14:textId="5D6BB313" w:rsidR="007F5F67" w:rsidRPr="007F5F67" w:rsidRDefault="007F5F67" w:rsidP="007F5F67">
      <w:pPr>
        <w:spacing w:line="360" w:lineRule="auto"/>
        <w:ind w:firstLine="709"/>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На наступному етапі дослідження у основній групі більш детально аналізували показники, що характеризують стан імунної відповіді та ступінь розвитку гінгівіту залежно від генотипу та носійства того чи іншого алелю в третій позиції кодону 31 гена </w:t>
      </w:r>
      <w:r w:rsidRPr="007F5F67">
        <w:rPr>
          <w:rFonts w:ascii="Times New Roman" w:hAnsi="Times New Roman" w:cs="Times New Roman"/>
          <w:i/>
          <w:sz w:val="28"/>
          <w:szCs w:val="28"/>
        </w:rPr>
        <w:t>P</w:t>
      </w:r>
      <w:r w:rsidRPr="007F5F67">
        <w:rPr>
          <w:rFonts w:ascii="Times New Roman" w:hAnsi="Times New Roman" w:cs="Times New Roman"/>
          <w:i/>
          <w:sz w:val="28"/>
          <w:szCs w:val="28"/>
          <w:lang w:val="uk-UA"/>
        </w:rPr>
        <w:t>21</w:t>
      </w:r>
      <w:r w:rsidRPr="007F5F67">
        <w:rPr>
          <w:rFonts w:ascii="Times New Roman" w:hAnsi="Times New Roman" w:cs="Times New Roman"/>
          <w:sz w:val="28"/>
          <w:szCs w:val="28"/>
          <w:lang w:val="uk-UA"/>
        </w:rPr>
        <w:t>. Встановлено, що всі пацієнти основної групи характеризувались підвищеним (порівняно із вік</w:t>
      </w:r>
      <w:r w:rsidR="00CD0C56">
        <w:rPr>
          <w:rFonts w:ascii="Times New Roman" w:hAnsi="Times New Roman" w:cs="Times New Roman"/>
          <w:sz w:val="28"/>
          <w:szCs w:val="28"/>
          <w:lang w:val="uk-UA"/>
        </w:rPr>
        <w:t>овими</w:t>
      </w:r>
      <w:r w:rsidRPr="007F5F67">
        <w:rPr>
          <w:rFonts w:ascii="Times New Roman" w:hAnsi="Times New Roman" w:cs="Times New Roman"/>
          <w:sz w:val="28"/>
          <w:szCs w:val="28"/>
          <w:lang w:val="uk-UA"/>
        </w:rPr>
        <w:t xml:space="preserve"> спеціфічними фізіологічними нормами) рівнем </w:t>
      </w:r>
      <w:r w:rsidR="00D0270E">
        <w:rPr>
          <w:rFonts w:ascii="Times New Roman" w:hAnsi="Times New Roman" w:cs="Times New Roman"/>
          <w:sz w:val="28"/>
          <w:szCs w:val="28"/>
          <w:lang w:val="uk-UA"/>
        </w:rPr>
        <w:t>секреторного імуноглобуліну А (рис. 6.4</w:t>
      </w:r>
      <w:r w:rsidRPr="007F5F67">
        <w:rPr>
          <w:rFonts w:ascii="Times New Roman" w:hAnsi="Times New Roman" w:cs="Times New Roman"/>
          <w:sz w:val="28"/>
          <w:szCs w:val="28"/>
          <w:lang w:val="uk-UA"/>
        </w:rPr>
        <w:t xml:space="preserve">), що підтверджує наявність дисбалансу у місцевому захисті слизових оболонок, напруженості місцевого імунітету та формування компенсаторних реакцій. Однак, особи різні за генотипом по </w:t>
      </w:r>
      <w:r w:rsidRPr="00AC5AD6">
        <w:rPr>
          <w:rFonts w:ascii="Times New Roman" w:hAnsi="Times New Roman" w:cs="Times New Roman"/>
          <w:sz w:val="28"/>
          <w:szCs w:val="28"/>
          <w:lang w:val="uk-UA"/>
        </w:rPr>
        <w:t xml:space="preserve">поліморфізму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 за даним показником не відрізнялись. Тим не менш, слід відзначити, що гомозиготи за С алелем (</w:t>
      </w:r>
      <w:r w:rsidRPr="00AC5AD6">
        <w:rPr>
          <w:rFonts w:ascii="Times New Roman" w:hAnsi="Times New Roman" w:cs="Times New Roman"/>
          <w:sz w:val="28"/>
          <w:szCs w:val="28"/>
        </w:rPr>
        <w:t>Ser</w:t>
      </w:r>
      <w:r w:rsidRPr="00AC5AD6">
        <w:rPr>
          <w:rFonts w:ascii="Times New Roman" w:hAnsi="Times New Roman" w:cs="Times New Roman"/>
          <w:sz w:val="28"/>
          <w:szCs w:val="28"/>
          <w:lang w:val="ru-RU"/>
        </w:rPr>
        <w:t>/</w:t>
      </w:r>
      <w:r w:rsidRPr="00AC5AD6">
        <w:rPr>
          <w:rFonts w:ascii="Times New Roman" w:hAnsi="Times New Roman" w:cs="Times New Roman"/>
          <w:sz w:val="28"/>
          <w:szCs w:val="28"/>
        </w:rPr>
        <w:t>Ser</w:t>
      </w:r>
      <w:r w:rsidRPr="00AC5AD6">
        <w:rPr>
          <w:rFonts w:ascii="Times New Roman" w:hAnsi="Times New Roman" w:cs="Times New Roman"/>
          <w:sz w:val="28"/>
          <w:szCs w:val="28"/>
          <w:lang w:val="ru-RU"/>
        </w:rPr>
        <w:t xml:space="preserve">) </w:t>
      </w:r>
      <w:r w:rsidRPr="00AC5AD6">
        <w:rPr>
          <w:rFonts w:ascii="Times New Roman" w:hAnsi="Times New Roman" w:cs="Times New Roman"/>
          <w:sz w:val="28"/>
          <w:szCs w:val="28"/>
          <w:lang w:val="uk-UA"/>
        </w:rPr>
        <w:t>демонструють найменшу варіабельн</w:t>
      </w:r>
      <w:r w:rsidR="00CD0C56">
        <w:rPr>
          <w:rFonts w:ascii="Times New Roman" w:hAnsi="Times New Roman" w:cs="Times New Roman"/>
          <w:sz w:val="28"/>
          <w:szCs w:val="28"/>
          <w:lang w:val="uk-UA"/>
        </w:rPr>
        <w:t>ість за даним показником (рис. 6.4); для ге</w:t>
      </w:r>
      <w:r w:rsidRPr="00AC5AD6">
        <w:rPr>
          <w:rFonts w:ascii="Times New Roman" w:hAnsi="Times New Roman" w:cs="Times New Roman"/>
          <w:sz w:val="28"/>
          <w:szCs w:val="28"/>
          <w:lang w:val="uk-UA"/>
        </w:rPr>
        <w:t xml:space="preserve">терозигот характерна тенденція до більш низьких значень показника, а в гомозигот за алелем А спостерігається тенденція до більших значень показника. Отже доцільним є продовження генотипування хворих на атопічні захворювання, ускладненими гінгівітом, за поліморфізмом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 щоб</w:t>
      </w:r>
      <w:r w:rsidRPr="007F5F67">
        <w:rPr>
          <w:rFonts w:ascii="Times New Roman" w:hAnsi="Times New Roman" w:cs="Times New Roman"/>
          <w:sz w:val="28"/>
          <w:szCs w:val="28"/>
          <w:lang w:val="uk-UA"/>
        </w:rPr>
        <w:t xml:space="preserve"> з</w:t>
      </w:r>
      <w:r w:rsidR="0006458A">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ясувати чи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гомозиготність </w:t>
      </w:r>
      <w:r w:rsidRPr="00A511D5">
        <w:rPr>
          <w:rFonts w:ascii="Times New Roman" w:hAnsi="Times New Roman" w:cs="Times New Roman"/>
          <w:sz w:val="28"/>
          <w:szCs w:val="28"/>
          <w:lang w:val="uk-UA"/>
        </w:rPr>
        <w:t xml:space="preserve">може бути маркером більш агресивного протікання в них запальних процесів. </w:t>
      </w:r>
    </w:p>
    <w:p w14:paraId="1C5E0FA2" w14:textId="77777777" w:rsidR="009C46D3" w:rsidRPr="009C46D3" w:rsidRDefault="009C46D3" w:rsidP="009C46D3">
      <w:pPr>
        <w:spacing w:line="360" w:lineRule="auto"/>
        <w:ind w:firstLine="709"/>
        <w:jc w:val="both"/>
        <w:rPr>
          <w:rFonts w:ascii="Times New Roman" w:hAnsi="Times New Roman" w:cs="Times New Roman"/>
          <w:sz w:val="28"/>
          <w:szCs w:val="28"/>
          <w:lang w:val="uk-UA"/>
        </w:rPr>
      </w:pPr>
    </w:p>
    <w:p w14:paraId="5F8A829B" w14:textId="77777777" w:rsidR="007F5F67" w:rsidRPr="009C46D3" w:rsidRDefault="007F5F67" w:rsidP="009C46D3">
      <w:pPr>
        <w:spacing w:line="360" w:lineRule="auto"/>
        <w:ind w:firstLine="709"/>
        <w:jc w:val="both"/>
        <w:rPr>
          <w:rFonts w:ascii="Times New Roman" w:hAnsi="Times New Roman" w:cs="Times New Roman"/>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1804E0C7" w14:textId="77777777" w:rsidTr="00F428D4">
        <w:tc>
          <w:tcPr>
            <w:tcW w:w="9571" w:type="dxa"/>
          </w:tcPr>
          <w:p w14:paraId="5FC15C75" w14:textId="77777777" w:rsidR="007F5F67" w:rsidRPr="007F5F67" w:rsidRDefault="007F5F67" w:rsidP="007F5F67">
            <w:pPr>
              <w:spacing w:line="360" w:lineRule="auto"/>
              <w:jc w:val="center"/>
              <w:rPr>
                <w:rFonts w:cs="Times New Roman"/>
                <w:sz w:val="28"/>
                <w:szCs w:val="28"/>
                <w:lang w:val="uk-UA"/>
              </w:rPr>
            </w:pPr>
            <w:r w:rsidRPr="007F5F67">
              <w:rPr>
                <w:rFonts w:cs="Times New Roman"/>
                <w:noProof/>
                <w:sz w:val="28"/>
                <w:szCs w:val="28"/>
              </w:rPr>
              <w:drawing>
                <wp:inline distT="0" distB="0" distL="0" distR="0" wp14:anchorId="1EF4B783" wp14:editId="2D30E93E">
                  <wp:extent cx="5390730" cy="367122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388294" cy="3669569"/>
                          </a:xfrm>
                          <a:prstGeom prst="rect">
                            <a:avLst/>
                          </a:prstGeom>
                        </pic:spPr>
                      </pic:pic>
                    </a:graphicData>
                  </a:graphic>
                </wp:inline>
              </w:drawing>
            </w:r>
          </w:p>
        </w:tc>
      </w:tr>
      <w:tr w:rsidR="007F5F67" w:rsidRPr="00852E54" w14:paraId="6D571532" w14:textId="77777777" w:rsidTr="00F428D4">
        <w:tc>
          <w:tcPr>
            <w:tcW w:w="9571" w:type="dxa"/>
          </w:tcPr>
          <w:p w14:paraId="0E2FF7D4" w14:textId="77777777" w:rsidR="007F5F67" w:rsidRPr="007F5F67" w:rsidRDefault="007F5F67" w:rsidP="007F5F67">
            <w:pPr>
              <w:spacing w:line="360" w:lineRule="auto"/>
              <w:jc w:val="center"/>
              <w:rPr>
                <w:rFonts w:cs="Times New Roman"/>
                <w:b/>
                <w:sz w:val="28"/>
                <w:szCs w:val="28"/>
              </w:rPr>
            </w:pPr>
          </w:p>
          <w:p w14:paraId="61434912" w14:textId="47FE5E6E" w:rsidR="007F5F67" w:rsidRPr="00A511D5" w:rsidRDefault="00D0270E" w:rsidP="007F5F67">
            <w:pPr>
              <w:spacing w:line="360" w:lineRule="auto"/>
              <w:rPr>
                <w:rFonts w:cs="Times New Roman"/>
                <w:sz w:val="28"/>
                <w:szCs w:val="28"/>
                <w:lang w:val="uk-UA"/>
              </w:rPr>
            </w:pPr>
            <w:r>
              <w:rPr>
                <w:rFonts w:cs="Times New Roman"/>
                <w:sz w:val="28"/>
                <w:szCs w:val="28"/>
              </w:rPr>
              <w:t>Рис. 6</w:t>
            </w:r>
            <w:r w:rsidR="00A511D5" w:rsidRPr="00A511D5">
              <w:rPr>
                <w:rFonts w:cs="Times New Roman"/>
                <w:sz w:val="28"/>
                <w:szCs w:val="28"/>
              </w:rPr>
              <w:t xml:space="preserve">. </w:t>
            </w:r>
            <w:r w:rsidR="00A511D5">
              <w:rPr>
                <w:rFonts w:cs="Times New Roman"/>
                <w:sz w:val="28"/>
                <w:szCs w:val="28"/>
              </w:rPr>
              <w:t>4</w:t>
            </w:r>
            <w:r w:rsidR="007F5F67" w:rsidRPr="00A511D5">
              <w:rPr>
                <w:rFonts w:cs="Times New Roman"/>
                <w:sz w:val="28"/>
                <w:szCs w:val="28"/>
              </w:rPr>
              <w:t xml:space="preserve">. Характеристика </w:t>
            </w:r>
            <w:r w:rsidR="007F5F67" w:rsidRPr="00A511D5">
              <w:rPr>
                <w:rFonts w:cs="Times New Roman"/>
                <w:sz w:val="28"/>
                <w:szCs w:val="28"/>
                <w:lang w:val="uk-UA"/>
              </w:rPr>
              <w:t xml:space="preserve">пацієнтів основної групи за рівнем секреторного імуноглобуліну А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40D52151" w14:textId="77777777" w:rsidR="007F5F67" w:rsidRPr="007F5F67" w:rsidRDefault="007F5F67" w:rsidP="007F5F67">
      <w:pPr>
        <w:spacing w:line="360" w:lineRule="auto"/>
        <w:jc w:val="both"/>
        <w:rPr>
          <w:rFonts w:ascii="Times New Roman" w:hAnsi="Times New Roman" w:cs="Times New Roman"/>
          <w:sz w:val="28"/>
          <w:szCs w:val="28"/>
          <w:lang w:val="uk-UA"/>
        </w:rPr>
      </w:pPr>
    </w:p>
    <w:p w14:paraId="4B6BE788" w14:textId="4B6CCA99"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Дещо протилежну тенденцію спостерігаємо відносно сироваткового</w:t>
      </w:r>
      <w:r w:rsidR="00A511D5">
        <w:rPr>
          <w:rFonts w:ascii="Times New Roman" w:hAnsi="Times New Roman" w:cs="Times New Roman"/>
          <w:sz w:val="28"/>
          <w:szCs w:val="28"/>
          <w:lang w:val="uk-UA"/>
        </w:rPr>
        <w:t xml:space="preserve"> імуноглобуліну А (р</w:t>
      </w:r>
      <w:r w:rsidRPr="007F5F67">
        <w:rPr>
          <w:rFonts w:ascii="Times New Roman" w:hAnsi="Times New Roman" w:cs="Times New Roman"/>
          <w:sz w:val="28"/>
          <w:szCs w:val="28"/>
          <w:lang w:val="uk-UA"/>
        </w:rPr>
        <w:t xml:space="preserve">ис. </w:t>
      </w:r>
      <w:r w:rsidR="00D0270E">
        <w:rPr>
          <w:rFonts w:ascii="Times New Roman" w:hAnsi="Times New Roman" w:cs="Times New Roman"/>
          <w:sz w:val="28"/>
          <w:szCs w:val="28"/>
          <w:lang w:val="uk-UA"/>
        </w:rPr>
        <w:t>6</w:t>
      </w:r>
      <w:r w:rsidR="00A511D5">
        <w:rPr>
          <w:rFonts w:ascii="Times New Roman" w:hAnsi="Times New Roman" w:cs="Times New Roman"/>
          <w:sz w:val="28"/>
          <w:szCs w:val="28"/>
          <w:lang w:val="uk-UA"/>
        </w:rPr>
        <w:t>.4</w:t>
      </w:r>
      <w:r w:rsidRPr="007F5F67">
        <w:rPr>
          <w:rFonts w:ascii="Times New Roman" w:hAnsi="Times New Roman" w:cs="Times New Roman"/>
          <w:sz w:val="28"/>
          <w:szCs w:val="28"/>
          <w:lang w:val="uk-UA"/>
        </w:rPr>
        <w:t xml:space="preserve">). Найбільші значення показника характерні для гетерозигот </w:t>
      </w:r>
      <w:r w:rsidRPr="007F5F67">
        <w:rPr>
          <w:rFonts w:ascii="Times New Roman" w:hAnsi="Times New Roman" w:cs="Times New Roman"/>
          <w:i/>
          <w:sz w:val="28"/>
          <w:szCs w:val="28"/>
          <w:lang w:val="uk-UA"/>
        </w:rPr>
        <w:t>СА</w:t>
      </w:r>
      <w:r w:rsidRPr="007F5F67">
        <w:rPr>
          <w:rFonts w:ascii="Times New Roman" w:hAnsi="Times New Roman" w:cs="Times New Roman"/>
          <w:sz w:val="28"/>
          <w:szCs w:val="28"/>
          <w:lang w:val="uk-UA"/>
        </w:rPr>
        <w:t xml:space="preserve">. Статистично вірогідно від них відрізняються гомозиготи </w:t>
      </w:r>
      <w:r w:rsidRPr="007F5F67">
        <w:rPr>
          <w:rFonts w:ascii="Times New Roman" w:hAnsi="Times New Roman" w:cs="Times New Roman"/>
          <w:i/>
          <w:sz w:val="28"/>
          <w:szCs w:val="28"/>
          <w:lang w:val="uk-UA"/>
        </w:rPr>
        <w:t>СС</w:t>
      </w:r>
      <w:r w:rsidRPr="007F5F67">
        <w:rPr>
          <w:rFonts w:ascii="Times New Roman" w:hAnsi="Times New Roman" w:cs="Times New Roman"/>
          <w:sz w:val="28"/>
          <w:szCs w:val="28"/>
          <w:lang w:val="uk-UA"/>
        </w:rPr>
        <w:t xml:space="preserve"> (Критерій Краскелла-Уолліса з поправкою на множинні парні порівняння: </w:t>
      </w:r>
      <w:r w:rsidRPr="007F5F67">
        <w:rPr>
          <w:rFonts w:ascii="Times New Roman" w:hAnsi="Times New Roman" w:cs="Times New Roman"/>
          <w:sz w:val="28"/>
          <w:szCs w:val="28"/>
        </w:rPr>
        <w:t>H</w:t>
      </w:r>
      <w:r w:rsidRPr="007F5F67">
        <w:rPr>
          <w:rFonts w:ascii="Times New Roman" w:hAnsi="Times New Roman" w:cs="Times New Roman"/>
          <w:sz w:val="28"/>
          <w:szCs w:val="28"/>
          <w:lang w:val="uk-UA"/>
        </w:rPr>
        <w:t xml:space="preserve">=6,106;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 xml:space="preserve">=0,0472; </w:t>
      </w:r>
      <w:r w:rsidRPr="007F5F67">
        <w:rPr>
          <w:rFonts w:ascii="Times New Roman" w:hAnsi="Times New Roman" w:cs="Times New Roman"/>
          <w:sz w:val="28"/>
          <w:szCs w:val="28"/>
        </w:rPr>
        <w:t>z</w:t>
      </w:r>
      <w:r w:rsidR="0006458A">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=2,47; </w:t>
      </w:r>
      <w:r w:rsidRPr="007F5F67">
        <w:rPr>
          <w:rFonts w:ascii="Times New Roman" w:hAnsi="Times New Roman" w:cs="Times New Roman"/>
          <w:sz w:val="28"/>
          <w:szCs w:val="28"/>
        </w:rPr>
        <w:t>p</w:t>
      </w:r>
      <w:r w:rsidRPr="007F5F67">
        <w:rPr>
          <w:rFonts w:ascii="Times New Roman" w:hAnsi="Times New Roman" w:cs="Times New Roman"/>
          <w:sz w:val="28"/>
          <w:szCs w:val="28"/>
          <w:lang w:val="uk-UA"/>
        </w:rPr>
        <w:t xml:space="preserve">=0,04), при чому більш низькими значеннями. У той же час гомозиготи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характеризуються найбільшою варіабельністю даного показника з тенденцією до більш низьких значень. Отримані нами результати підтверджують дані інших досліджень про те, що рівні секреторного та сироваткового імуноглобуліну А не завжди прямо корелюють при різних запальних процесах.</w:t>
      </w:r>
    </w:p>
    <w:p w14:paraId="059E34B6" w14:textId="77777777" w:rsidR="007F5F67" w:rsidRPr="007F5F67" w:rsidRDefault="007F5F67" w:rsidP="007F5F67">
      <w:pPr>
        <w:spacing w:line="360" w:lineRule="auto"/>
        <w:jc w:val="both"/>
        <w:rPr>
          <w:rFonts w:ascii="Times New Roman" w:hAnsi="Times New Roman" w:cs="Times New Roman"/>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8612"/>
      </w:tblGrid>
      <w:tr w:rsidR="007F5F67" w:rsidRPr="007F5F67" w14:paraId="769AA9F6" w14:textId="77777777" w:rsidTr="00F428D4">
        <w:trPr>
          <w:cantSplit/>
          <w:trHeight w:val="1134"/>
        </w:trPr>
        <w:tc>
          <w:tcPr>
            <w:tcW w:w="959" w:type="dxa"/>
            <w:textDirection w:val="btLr"/>
            <w:vAlign w:val="bottom"/>
          </w:tcPr>
          <w:p w14:paraId="2158D79A" w14:textId="77777777" w:rsidR="007F5F67" w:rsidRPr="007F5F67" w:rsidRDefault="007F5F67" w:rsidP="007F5F67">
            <w:pPr>
              <w:spacing w:line="360" w:lineRule="auto"/>
              <w:ind w:left="113" w:right="113"/>
              <w:jc w:val="center"/>
              <w:rPr>
                <w:rFonts w:cs="Times New Roman"/>
                <w:b/>
                <w:sz w:val="28"/>
                <w:szCs w:val="28"/>
              </w:rPr>
            </w:pPr>
            <w:r w:rsidRPr="007F5F67">
              <w:rPr>
                <w:rFonts w:cs="Times New Roman"/>
                <w:b/>
                <w:sz w:val="28"/>
                <w:szCs w:val="28"/>
                <w:lang w:val="uk-UA"/>
              </w:rPr>
              <w:t xml:space="preserve">Рівень імуноглобулінів А та </w:t>
            </w:r>
            <w:r w:rsidRPr="007F5F67">
              <w:rPr>
                <w:rFonts w:cs="Times New Roman"/>
                <w:b/>
                <w:sz w:val="28"/>
                <w:szCs w:val="28"/>
                <w:lang w:val="en-US"/>
              </w:rPr>
              <w:t>G</w:t>
            </w:r>
          </w:p>
        </w:tc>
        <w:tc>
          <w:tcPr>
            <w:tcW w:w="8612" w:type="dxa"/>
          </w:tcPr>
          <w:p w14:paraId="6853EC3C" w14:textId="77777777" w:rsidR="007F5F67" w:rsidRPr="007F5F67" w:rsidRDefault="007F5F67" w:rsidP="007F5F67">
            <w:pPr>
              <w:spacing w:line="360" w:lineRule="auto"/>
              <w:rPr>
                <w:rFonts w:cs="Times New Roman"/>
                <w:sz w:val="28"/>
                <w:szCs w:val="28"/>
                <w:lang w:val="uk-UA"/>
              </w:rPr>
            </w:pPr>
            <w:r w:rsidRPr="007F5F67">
              <w:rPr>
                <w:rFonts w:cs="Times New Roman"/>
                <w:noProof/>
                <w:sz w:val="28"/>
                <w:szCs w:val="28"/>
              </w:rPr>
              <w:drawing>
                <wp:inline distT="0" distB="0" distL="0" distR="0" wp14:anchorId="4870C265" wp14:editId="28DE727C">
                  <wp:extent cx="5029200" cy="325137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031696" cy="3252987"/>
                          </a:xfrm>
                          <a:prstGeom prst="rect">
                            <a:avLst/>
                          </a:prstGeom>
                        </pic:spPr>
                      </pic:pic>
                    </a:graphicData>
                  </a:graphic>
                </wp:inline>
              </w:drawing>
            </w:r>
          </w:p>
        </w:tc>
      </w:tr>
      <w:tr w:rsidR="007F5F67" w:rsidRPr="00852E54" w14:paraId="14B7D236" w14:textId="77777777" w:rsidTr="00F428D4">
        <w:tc>
          <w:tcPr>
            <w:tcW w:w="9571" w:type="dxa"/>
            <w:gridSpan w:val="2"/>
          </w:tcPr>
          <w:p w14:paraId="26773F59" w14:textId="77777777" w:rsidR="007F5F67" w:rsidRPr="00A511D5" w:rsidRDefault="007F5F67" w:rsidP="007F5F67">
            <w:pPr>
              <w:spacing w:line="360" w:lineRule="auto"/>
              <w:jc w:val="both"/>
              <w:rPr>
                <w:rFonts w:cs="Times New Roman"/>
                <w:sz w:val="28"/>
                <w:szCs w:val="28"/>
              </w:rPr>
            </w:pPr>
          </w:p>
          <w:p w14:paraId="47C61246" w14:textId="07F8102D" w:rsidR="007F5F67" w:rsidRPr="00A511D5" w:rsidRDefault="00D0270E" w:rsidP="007F5F67">
            <w:pPr>
              <w:spacing w:line="360" w:lineRule="auto"/>
              <w:jc w:val="both"/>
              <w:rPr>
                <w:rFonts w:cs="Times New Roman"/>
                <w:sz w:val="28"/>
                <w:szCs w:val="28"/>
                <w:lang w:val="uk-UA"/>
              </w:rPr>
            </w:pPr>
            <w:r>
              <w:rPr>
                <w:rFonts w:cs="Times New Roman"/>
                <w:sz w:val="28"/>
                <w:szCs w:val="28"/>
              </w:rPr>
              <w:t>Рис. 6</w:t>
            </w:r>
            <w:r w:rsidR="00A511D5" w:rsidRPr="00A511D5">
              <w:rPr>
                <w:rFonts w:cs="Times New Roman"/>
                <w:sz w:val="28"/>
                <w:szCs w:val="28"/>
              </w:rPr>
              <w:t>.5</w:t>
            </w:r>
            <w:r w:rsidR="007F5F67" w:rsidRPr="00A511D5">
              <w:rPr>
                <w:rFonts w:cs="Times New Roman"/>
                <w:sz w:val="28"/>
                <w:szCs w:val="28"/>
              </w:rPr>
              <w:t xml:space="preserve">. Характеристика </w:t>
            </w:r>
            <w:r w:rsidR="007F5F67" w:rsidRPr="00A511D5">
              <w:rPr>
                <w:rFonts w:cs="Times New Roman"/>
                <w:sz w:val="28"/>
                <w:szCs w:val="28"/>
                <w:lang w:val="uk-UA"/>
              </w:rPr>
              <w:t xml:space="preserve">пацієнтів основної групи за рівнями сироваткових імуноглобулінів А та </w:t>
            </w:r>
            <w:r w:rsidR="007F5F67" w:rsidRPr="00A511D5">
              <w:rPr>
                <w:rFonts w:cs="Times New Roman"/>
                <w:sz w:val="28"/>
                <w:szCs w:val="28"/>
                <w:lang w:val="en-US"/>
              </w:rPr>
              <w:t>G</w:t>
            </w:r>
            <w:r w:rsidR="007F5F67" w:rsidRPr="00A511D5">
              <w:rPr>
                <w:rFonts w:cs="Times New Roman"/>
                <w:sz w:val="28"/>
                <w:szCs w:val="28"/>
                <w:lang w:val="uk-UA"/>
              </w:rPr>
              <w:t xml:space="preserve">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6B081FBB" w14:textId="77777777" w:rsidR="007F5F67" w:rsidRPr="007F5F67" w:rsidRDefault="007F5F67" w:rsidP="007F5F67">
      <w:pPr>
        <w:spacing w:line="360" w:lineRule="auto"/>
        <w:jc w:val="both"/>
        <w:rPr>
          <w:rFonts w:ascii="Times New Roman" w:hAnsi="Times New Roman" w:cs="Times New Roman"/>
          <w:sz w:val="28"/>
          <w:szCs w:val="28"/>
          <w:lang w:val="uk-UA"/>
        </w:rPr>
      </w:pPr>
    </w:p>
    <w:p w14:paraId="31B63907" w14:textId="511208A6"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 xml:space="preserve">Щодо рівня імуноглобуліну </w:t>
      </w:r>
      <w:r w:rsidRPr="007F5F67">
        <w:rPr>
          <w:rFonts w:ascii="Times New Roman" w:hAnsi="Times New Roman" w:cs="Times New Roman"/>
          <w:sz w:val="28"/>
          <w:szCs w:val="28"/>
        </w:rPr>
        <w:t>G</w:t>
      </w:r>
      <w:r w:rsidR="00D0270E">
        <w:rPr>
          <w:rFonts w:ascii="Times New Roman" w:hAnsi="Times New Roman" w:cs="Times New Roman"/>
          <w:sz w:val="28"/>
          <w:szCs w:val="28"/>
          <w:lang w:val="uk-UA"/>
        </w:rPr>
        <w:t xml:space="preserve"> (рис. 6.5</w:t>
      </w:r>
      <w:r w:rsidRPr="007F5F67">
        <w:rPr>
          <w:rFonts w:ascii="Times New Roman" w:hAnsi="Times New Roman" w:cs="Times New Roman"/>
          <w:sz w:val="28"/>
          <w:szCs w:val="28"/>
          <w:lang w:val="uk-UA"/>
        </w:rPr>
        <w:t xml:space="preserve">), гомозиготи </w:t>
      </w:r>
      <w:r w:rsidRPr="007F5F67">
        <w:rPr>
          <w:rFonts w:ascii="Times New Roman" w:hAnsi="Times New Roman" w:cs="Times New Roman"/>
          <w:i/>
          <w:sz w:val="28"/>
          <w:szCs w:val="28"/>
          <w:lang w:val="uk-UA"/>
        </w:rPr>
        <w:t>СС</w:t>
      </w:r>
      <w:r w:rsidRPr="007F5F67">
        <w:rPr>
          <w:rFonts w:ascii="Times New Roman" w:hAnsi="Times New Roman" w:cs="Times New Roman"/>
          <w:sz w:val="28"/>
          <w:szCs w:val="28"/>
          <w:lang w:val="uk-UA"/>
        </w:rPr>
        <w:t xml:space="preserve"> та гетерозиготи </w:t>
      </w:r>
      <w:r w:rsidRPr="007F5F67">
        <w:rPr>
          <w:rFonts w:ascii="Times New Roman" w:hAnsi="Times New Roman" w:cs="Times New Roman"/>
          <w:i/>
          <w:sz w:val="28"/>
          <w:szCs w:val="28"/>
          <w:lang w:val="uk-UA"/>
        </w:rPr>
        <w:t>СА</w:t>
      </w:r>
      <w:r w:rsidRPr="007F5F67">
        <w:rPr>
          <w:rFonts w:ascii="Times New Roman" w:hAnsi="Times New Roman" w:cs="Times New Roman"/>
          <w:sz w:val="28"/>
          <w:szCs w:val="28"/>
          <w:lang w:val="uk-UA"/>
        </w:rPr>
        <w:t xml:space="preserve"> не відрізняються між собою за середніми значеннями показника, але гетерозиготи є більш варіабельними. Гомозиготам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властива тенденція до більшого рівня даного імуноглобуліну.</w:t>
      </w:r>
    </w:p>
    <w:p w14:paraId="36B69131" w14:textId="2F2A723F" w:rsidR="007F5F67" w:rsidRPr="007F5F67" w:rsidRDefault="007F5F67" w:rsidP="007F5F67">
      <w:pPr>
        <w:spacing w:line="360" w:lineRule="auto"/>
        <w:ind w:firstLine="708"/>
        <w:jc w:val="both"/>
        <w:rPr>
          <w:rFonts w:ascii="Times New Roman" w:hAnsi="Times New Roman" w:cs="Times New Roman"/>
          <w:sz w:val="28"/>
          <w:szCs w:val="28"/>
          <w:lang w:val="uk-UA"/>
        </w:rPr>
      </w:pPr>
      <w:r w:rsidRPr="007F5F67">
        <w:rPr>
          <w:rFonts w:ascii="Times New Roman" w:hAnsi="Times New Roman" w:cs="Times New Roman"/>
          <w:sz w:val="28"/>
          <w:szCs w:val="28"/>
          <w:lang w:val="uk-UA"/>
        </w:rPr>
        <w:t>Аналогічним розподілом характеризується</w:t>
      </w:r>
      <w:r w:rsidR="00A511D5">
        <w:rPr>
          <w:rFonts w:ascii="Times New Roman" w:hAnsi="Times New Roman" w:cs="Times New Roman"/>
          <w:sz w:val="28"/>
          <w:szCs w:val="28"/>
          <w:lang w:val="uk-UA"/>
        </w:rPr>
        <w:t xml:space="preserve"> показ</w:t>
      </w:r>
      <w:r w:rsidR="00D0270E">
        <w:rPr>
          <w:rFonts w:ascii="Times New Roman" w:hAnsi="Times New Roman" w:cs="Times New Roman"/>
          <w:sz w:val="28"/>
          <w:szCs w:val="28"/>
          <w:lang w:val="uk-UA"/>
        </w:rPr>
        <w:t>ник кровоточивості ясен (рис. 6</w:t>
      </w:r>
      <w:r w:rsidR="00CD0C56">
        <w:rPr>
          <w:rFonts w:ascii="Times New Roman" w:hAnsi="Times New Roman" w:cs="Times New Roman"/>
          <w:sz w:val="28"/>
          <w:szCs w:val="28"/>
          <w:lang w:val="uk-UA"/>
        </w:rPr>
        <w:t>.6</w:t>
      </w:r>
      <w:r w:rsidRPr="007F5F67">
        <w:rPr>
          <w:rFonts w:ascii="Times New Roman" w:hAnsi="Times New Roman" w:cs="Times New Roman"/>
          <w:sz w:val="28"/>
          <w:szCs w:val="28"/>
          <w:lang w:val="uk-UA"/>
        </w:rPr>
        <w:t>). І хоча статистично вірогідного впливу генотипу (</w:t>
      </w:r>
      <w:r w:rsidRPr="00AC5AD6">
        <w:rPr>
          <w:rFonts w:ascii="Times New Roman" w:hAnsi="Times New Roman" w:cs="Times New Roman"/>
          <w:i/>
          <w:sz w:val="28"/>
          <w:szCs w:val="28"/>
          <w:lang w:val="uk-UA"/>
        </w:rPr>
        <w:t xml:space="preserve">за </w:t>
      </w:r>
      <w:r w:rsidRPr="00AC5AD6">
        <w:rPr>
          <w:rFonts w:ascii="Times New Roman" w:hAnsi="Times New Roman" w:cs="Times New Roman"/>
          <w:i/>
          <w:sz w:val="28"/>
          <w:szCs w:val="28"/>
        </w:rPr>
        <w:t>rs</w:t>
      </w:r>
      <w:r w:rsidRPr="00AC5AD6">
        <w:rPr>
          <w:rFonts w:ascii="Times New Roman" w:hAnsi="Times New Roman" w:cs="Times New Roman"/>
          <w:i/>
          <w:sz w:val="28"/>
          <w:szCs w:val="28"/>
          <w:lang w:val="uk-UA"/>
        </w:rPr>
        <w:t>1801270)</w:t>
      </w:r>
      <w:r w:rsidRPr="007F5F67">
        <w:rPr>
          <w:rFonts w:ascii="Times New Roman" w:hAnsi="Times New Roman" w:cs="Times New Roman"/>
          <w:sz w:val="28"/>
          <w:szCs w:val="28"/>
          <w:lang w:val="uk-UA"/>
        </w:rPr>
        <w:t xml:space="preserve"> доведено не було (</w:t>
      </w:r>
      <w:r w:rsidRPr="007F5F67">
        <w:rPr>
          <w:rFonts w:ascii="Times New Roman" w:hAnsi="Times New Roman" w:cs="Times New Roman"/>
          <w:sz w:val="28"/>
          <w:szCs w:val="28"/>
        </w:rPr>
        <w:t>H</w:t>
      </w:r>
      <w:r w:rsidRPr="007F5F67">
        <w:rPr>
          <w:rFonts w:ascii="Times New Roman" w:hAnsi="Times New Roman" w:cs="Times New Roman"/>
          <w:sz w:val="28"/>
          <w:szCs w:val="28"/>
          <w:lang w:val="ru-RU"/>
        </w:rPr>
        <w:t>=</w:t>
      </w:r>
      <w:r w:rsidRPr="007F5F67">
        <w:rPr>
          <w:rFonts w:ascii="Times New Roman" w:hAnsi="Times New Roman" w:cs="Times New Roman"/>
          <w:sz w:val="28"/>
          <w:szCs w:val="28"/>
          <w:lang w:val="uk-UA"/>
        </w:rPr>
        <w:t>3</w:t>
      </w:r>
      <w:r w:rsidRPr="007F5F67">
        <w:rPr>
          <w:rFonts w:ascii="Times New Roman" w:hAnsi="Times New Roman" w:cs="Times New Roman"/>
          <w:sz w:val="28"/>
          <w:szCs w:val="28"/>
          <w:lang w:val="ru-RU"/>
        </w:rPr>
        <w:t>,</w:t>
      </w:r>
      <w:r w:rsidRPr="007F5F67">
        <w:rPr>
          <w:rFonts w:ascii="Times New Roman" w:hAnsi="Times New Roman" w:cs="Times New Roman"/>
          <w:sz w:val="28"/>
          <w:szCs w:val="28"/>
          <w:lang w:val="uk-UA"/>
        </w:rPr>
        <w:t>8189</w:t>
      </w:r>
      <w:r w:rsidRPr="007F5F67">
        <w:rPr>
          <w:rFonts w:ascii="Times New Roman" w:hAnsi="Times New Roman" w:cs="Times New Roman"/>
          <w:sz w:val="28"/>
          <w:szCs w:val="28"/>
          <w:lang w:val="ru-RU"/>
        </w:rPr>
        <w:t xml:space="preserve">; </w:t>
      </w:r>
      <w:r w:rsidRPr="007F5F67">
        <w:rPr>
          <w:rFonts w:ascii="Times New Roman" w:hAnsi="Times New Roman" w:cs="Times New Roman"/>
          <w:sz w:val="28"/>
          <w:szCs w:val="28"/>
        </w:rPr>
        <w:t>p</w:t>
      </w:r>
      <w:r w:rsidRPr="007F5F67">
        <w:rPr>
          <w:rFonts w:ascii="Times New Roman" w:hAnsi="Times New Roman" w:cs="Times New Roman"/>
          <w:sz w:val="28"/>
          <w:szCs w:val="28"/>
          <w:lang w:val="ru-RU"/>
        </w:rPr>
        <w:t>=0,</w:t>
      </w:r>
      <w:r w:rsidRPr="007F5F67">
        <w:rPr>
          <w:rFonts w:ascii="Times New Roman" w:hAnsi="Times New Roman" w:cs="Times New Roman"/>
          <w:sz w:val="28"/>
          <w:szCs w:val="28"/>
          <w:lang w:val="uk-UA"/>
        </w:rPr>
        <w:t xml:space="preserve">1482), досить чітко виражена тенденція до більших значень даного показника в гомозигот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Отже доцільним є продовження генотипування хворих на атопічні захворювання, ускладнені гінгівітом, за поліморфізмом </w:t>
      </w:r>
      <w:r w:rsidRPr="00AC5AD6">
        <w:rPr>
          <w:rFonts w:ascii="Times New Roman" w:hAnsi="Times New Roman" w:cs="Times New Roman"/>
          <w:sz w:val="28"/>
          <w:szCs w:val="28"/>
        </w:rPr>
        <w:t>rs</w:t>
      </w:r>
      <w:r w:rsidRPr="00AC5AD6">
        <w:rPr>
          <w:rFonts w:ascii="Times New Roman" w:hAnsi="Times New Roman" w:cs="Times New Roman"/>
          <w:sz w:val="28"/>
          <w:szCs w:val="28"/>
          <w:lang w:val="uk-UA"/>
        </w:rPr>
        <w:t>1801270,</w:t>
      </w:r>
      <w:r w:rsidRPr="007F5F67">
        <w:rPr>
          <w:rFonts w:ascii="Times New Roman" w:hAnsi="Times New Roman" w:cs="Times New Roman"/>
          <w:sz w:val="28"/>
          <w:szCs w:val="28"/>
          <w:lang w:val="uk-UA"/>
        </w:rPr>
        <w:t xml:space="preserve"> щоб підтвердити або спростувати асоціацію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гомозиготності за досліджуваним поліморфізмом із більш агресивним протіканням гінгівіту.</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5EA1A5B0" w14:textId="77777777" w:rsidTr="00F428D4">
        <w:tc>
          <w:tcPr>
            <w:tcW w:w="9571" w:type="dxa"/>
          </w:tcPr>
          <w:p w14:paraId="14ECE1DD" w14:textId="77777777" w:rsidR="007F5F67" w:rsidRPr="007F5F67" w:rsidRDefault="007F5F67" w:rsidP="007F5F67">
            <w:pPr>
              <w:spacing w:line="360" w:lineRule="auto"/>
              <w:jc w:val="both"/>
              <w:rPr>
                <w:rFonts w:cs="Times New Roman"/>
                <w:sz w:val="28"/>
                <w:szCs w:val="28"/>
                <w:lang w:val="uk-UA"/>
              </w:rPr>
            </w:pPr>
            <w:r w:rsidRPr="007F5F67">
              <w:rPr>
                <w:rFonts w:cs="Times New Roman"/>
                <w:noProof/>
                <w:sz w:val="28"/>
                <w:szCs w:val="28"/>
              </w:rPr>
              <w:drawing>
                <wp:inline distT="0" distB="0" distL="0" distR="0" wp14:anchorId="78DAD80F" wp14:editId="7E9FAF8E">
                  <wp:extent cx="5940425" cy="404241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940425" cy="4042410"/>
                          </a:xfrm>
                          <a:prstGeom prst="rect">
                            <a:avLst/>
                          </a:prstGeom>
                        </pic:spPr>
                      </pic:pic>
                    </a:graphicData>
                  </a:graphic>
                </wp:inline>
              </w:drawing>
            </w:r>
          </w:p>
        </w:tc>
      </w:tr>
      <w:tr w:rsidR="007F5F67" w:rsidRPr="00852E54" w14:paraId="26CE3B88" w14:textId="77777777" w:rsidTr="00F428D4">
        <w:tc>
          <w:tcPr>
            <w:tcW w:w="9571" w:type="dxa"/>
          </w:tcPr>
          <w:p w14:paraId="7A5E38EF" w14:textId="77777777" w:rsidR="007F5F67" w:rsidRPr="00A511D5" w:rsidRDefault="007F5F67" w:rsidP="007F5F67">
            <w:pPr>
              <w:spacing w:line="360" w:lineRule="auto"/>
              <w:jc w:val="both"/>
              <w:rPr>
                <w:rFonts w:cs="Times New Roman"/>
                <w:sz w:val="28"/>
                <w:szCs w:val="28"/>
              </w:rPr>
            </w:pPr>
          </w:p>
          <w:p w14:paraId="0BBB2D87" w14:textId="020F4FFD" w:rsidR="007F5F67" w:rsidRPr="00A511D5" w:rsidRDefault="00D0270E" w:rsidP="007F5F67">
            <w:pPr>
              <w:spacing w:line="360" w:lineRule="auto"/>
              <w:jc w:val="both"/>
              <w:rPr>
                <w:rFonts w:cs="Times New Roman"/>
                <w:sz w:val="28"/>
                <w:szCs w:val="28"/>
                <w:lang w:val="uk-UA"/>
              </w:rPr>
            </w:pPr>
            <w:r>
              <w:rPr>
                <w:rFonts w:cs="Times New Roman"/>
                <w:sz w:val="28"/>
                <w:szCs w:val="28"/>
              </w:rPr>
              <w:t>Рис. 6</w:t>
            </w:r>
            <w:r w:rsidR="00A511D5" w:rsidRPr="00A511D5">
              <w:rPr>
                <w:rFonts w:cs="Times New Roman"/>
                <w:sz w:val="28"/>
                <w:szCs w:val="28"/>
              </w:rPr>
              <w:t>.6</w:t>
            </w:r>
            <w:r w:rsidR="007F5F67" w:rsidRPr="00A511D5">
              <w:rPr>
                <w:rFonts w:cs="Times New Roman"/>
                <w:sz w:val="28"/>
                <w:szCs w:val="28"/>
              </w:rPr>
              <w:t xml:space="preserve">. Характеристика </w:t>
            </w:r>
            <w:r w:rsidR="007F5F67" w:rsidRPr="00A511D5">
              <w:rPr>
                <w:rFonts w:cs="Times New Roman"/>
                <w:sz w:val="28"/>
                <w:szCs w:val="28"/>
                <w:lang w:val="uk-UA"/>
              </w:rPr>
              <w:t>пацієнтів основної групи за показником кровоточивості</w:t>
            </w:r>
            <w:r w:rsidR="007F5F67" w:rsidRPr="00A511D5">
              <w:rPr>
                <w:rFonts w:cs="Times New Roman"/>
                <w:sz w:val="28"/>
                <w:szCs w:val="28"/>
              </w:rPr>
              <w:t xml:space="preserve"> ясен</w:t>
            </w:r>
            <w:r w:rsidR="007F5F67" w:rsidRPr="00A511D5">
              <w:rPr>
                <w:rFonts w:cs="Times New Roman"/>
                <w:sz w:val="28"/>
                <w:szCs w:val="28"/>
                <w:lang w:val="uk-UA"/>
              </w:rPr>
              <w:t xml:space="preserve"> залежно від генотипу за </w:t>
            </w:r>
            <w:r w:rsidR="007F5F67" w:rsidRPr="00A511D5">
              <w:rPr>
                <w:rFonts w:cs="Times New Roman"/>
                <w:i/>
                <w:sz w:val="28"/>
                <w:szCs w:val="28"/>
                <w:lang w:val="en-US"/>
              </w:rPr>
              <w:t>rs</w:t>
            </w:r>
            <w:r w:rsidR="007F5F67" w:rsidRPr="00A511D5">
              <w:rPr>
                <w:rFonts w:cs="Times New Roman"/>
                <w:i/>
                <w:sz w:val="28"/>
                <w:szCs w:val="28"/>
                <w:lang w:val="uk-UA"/>
              </w:rPr>
              <w:t xml:space="preserve">1801270 </w:t>
            </w:r>
            <w:r w:rsidR="007F5F67" w:rsidRPr="00A511D5">
              <w:rPr>
                <w:rFonts w:cs="Times New Roman"/>
                <w:sz w:val="28"/>
                <w:szCs w:val="28"/>
                <w:lang w:val="uk-UA"/>
              </w:rPr>
              <w:t>поліморфізмом</w:t>
            </w:r>
          </w:p>
        </w:tc>
      </w:tr>
    </w:tbl>
    <w:p w14:paraId="50CE9FAE" w14:textId="77777777" w:rsidR="007F5F67" w:rsidRPr="00A511D5" w:rsidRDefault="007F5F67" w:rsidP="007F5F67">
      <w:pPr>
        <w:spacing w:line="360" w:lineRule="auto"/>
        <w:jc w:val="both"/>
        <w:rPr>
          <w:rFonts w:ascii="Times New Roman" w:hAnsi="Times New Roman" w:cs="Times New Roman"/>
          <w:sz w:val="28"/>
          <w:szCs w:val="28"/>
          <w:lang w:val="uk-UA"/>
        </w:rPr>
      </w:pPr>
    </w:p>
    <w:p w14:paraId="21D0B6CC" w14:textId="3D994D13" w:rsidR="007F5F67" w:rsidRPr="007F5F67" w:rsidRDefault="007F5F67" w:rsidP="0006458A">
      <w:pPr>
        <w:pStyle w:val="NormalWeb"/>
        <w:shd w:val="clear" w:color="auto" w:fill="FFFFFF"/>
        <w:spacing w:line="360" w:lineRule="auto"/>
        <w:ind w:firstLine="709"/>
        <w:jc w:val="both"/>
        <w:rPr>
          <w:sz w:val="28"/>
          <w:szCs w:val="28"/>
          <w:lang w:val="uk-UA"/>
        </w:rPr>
      </w:pPr>
      <w:r w:rsidRPr="007F5F67">
        <w:rPr>
          <w:sz w:val="28"/>
          <w:szCs w:val="28"/>
          <w:lang w:val="uk-UA"/>
        </w:rPr>
        <w:t>У всіх генотипових підрупах було виявлено прямий зв</w:t>
      </w:r>
      <w:r w:rsidR="0006458A">
        <w:rPr>
          <w:sz w:val="28"/>
          <w:szCs w:val="28"/>
          <w:lang w:val="uk-UA"/>
        </w:rPr>
        <w:t>’</w:t>
      </w:r>
      <w:r w:rsidRPr="007F5F67">
        <w:rPr>
          <w:sz w:val="28"/>
          <w:szCs w:val="28"/>
          <w:lang w:val="uk-UA"/>
        </w:rPr>
        <w:t>язок між індексом кровоточивості ясен та кожним з типів досліджуваних імуноглобулінів</w:t>
      </w:r>
      <w:r w:rsidR="00D0270E">
        <w:rPr>
          <w:sz w:val="28"/>
          <w:szCs w:val="28"/>
          <w:lang w:val="uk-UA"/>
        </w:rPr>
        <w:t xml:space="preserve"> (рис. 6.5</w:t>
      </w:r>
      <w:r w:rsidR="00A511D5">
        <w:rPr>
          <w:sz w:val="28"/>
          <w:szCs w:val="28"/>
          <w:lang w:val="uk-UA"/>
        </w:rPr>
        <w:t xml:space="preserve">, </w:t>
      </w:r>
      <w:r w:rsidR="00D0270E">
        <w:rPr>
          <w:sz w:val="28"/>
          <w:szCs w:val="28"/>
          <w:lang w:val="uk-UA"/>
        </w:rPr>
        <w:t>рис. 6.6</w:t>
      </w:r>
      <w:r w:rsidR="00A511D5">
        <w:rPr>
          <w:sz w:val="28"/>
          <w:szCs w:val="28"/>
          <w:lang w:val="uk-UA"/>
        </w:rPr>
        <w:t xml:space="preserve">). Найбільш сильним </w:t>
      </w:r>
      <w:r w:rsidRPr="007F5F67">
        <w:rPr>
          <w:sz w:val="28"/>
          <w:szCs w:val="28"/>
          <w:lang w:val="uk-UA"/>
        </w:rPr>
        <w:t>цей зв</w:t>
      </w:r>
      <w:r w:rsidR="0006458A">
        <w:rPr>
          <w:sz w:val="28"/>
          <w:szCs w:val="28"/>
          <w:lang w:val="uk-UA"/>
        </w:rPr>
        <w:t>’</w:t>
      </w:r>
      <w:r w:rsidRPr="007F5F67">
        <w:rPr>
          <w:sz w:val="28"/>
          <w:szCs w:val="28"/>
          <w:lang w:val="uk-UA"/>
        </w:rPr>
        <w:t xml:space="preserve">язок є із рівнем імуноглобуліну </w:t>
      </w:r>
      <w:r w:rsidRPr="007F5F67">
        <w:rPr>
          <w:sz w:val="28"/>
          <w:szCs w:val="28"/>
          <w:lang w:val="en-US"/>
        </w:rPr>
        <w:t>G</w:t>
      </w:r>
      <w:r w:rsidRPr="007F5F67">
        <w:rPr>
          <w:sz w:val="28"/>
          <w:szCs w:val="28"/>
          <w:lang w:val="uk-UA"/>
        </w:rPr>
        <w:t xml:space="preserve"> (</w:t>
      </w:r>
      <w:r w:rsidRPr="007F5F67">
        <w:rPr>
          <w:sz w:val="28"/>
          <w:szCs w:val="28"/>
          <w:lang w:val="en-US"/>
        </w:rPr>
        <w:t>R</w:t>
      </w:r>
      <w:r w:rsidRPr="007F5F67">
        <w:rPr>
          <w:sz w:val="28"/>
          <w:szCs w:val="28"/>
          <w:lang w:val="uk-UA"/>
        </w:rPr>
        <w:t>(</w:t>
      </w:r>
      <w:r w:rsidRPr="007F5F67">
        <w:rPr>
          <w:sz w:val="28"/>
          <w:szCs w:val="28"/>
          <w:lang w:val="en-US"/>
        </w:rPr>
        <w:t>z</w:t>
      </w:r>
      <w:r w:rsidRPr="007F5F67">
        <w:rPr>
          <w:sz w:val="28"/>
          <w:szCs w:val="28"/>
          <w:lang w:val="uk-UA"/>
        </w:rPr>
        <w:t>/</w:t>
      </w:r>
      <w:r w:rsidRPr="007F5F67">
        <w:rPr>
          <w:sz w:val="28"/>
          <w:szCs w:val="28"/>
          <w:lang w:val="en-US"/>
        </w:rPr>
        <w:t>xy</w:t>
      </w:r>
      <w:r w:rsidRPr="007F5F67">
        <w:rPr>
          <w:sz w:val="28"/>
          <w:szCs w:val="28"/>
          <w:lang w:val="uk-UA"/>
        </w:rPr>
        <w:t xml:space="preserve">)=0,89; </w:t>
      </w:r>
      <w:r w:rsidRPr="007F5F67">
        <w:rPr>
          <w:sz w:val="28"/>
          <w:szCs w:val="28"/>
          <w:lang w:val="en-US"/>
        </w:rPr>
        <w:t>p</w:t>
      </w:r>
      <w:r w:rsidRPr="007F5F67">
        <w:rPr>
          <w:sz w:val="28"/>
          <w:szCs w:val="28"/>
          <w:lang w:val="uk-UA"/>
        </w:rPr>
        <w:t xml:space="preserve">&lt;0,001). Імуноглобулін G (IgG) </w:t>
      </w:r>
      <w:r w:rsidR="0006458A">
        <w:rPr>
          <w:sz w:val="28"/>
          <w:szCs w:val="28"/>
          <w:lang w:val="uk-UA"/>
        </w:rPr>
        <w:t>–</w:t>
      </w:r>
      <w:r w:rsidRPr="007F5F67">
        <w:rPr>
          <w:sz w:val="28"/>
          <w:szCs w:val="28"/>
          <w:lang w:val="uk-UA"/>
        </w:rPr>
        <w:t xml:space="preserve"> головний ізотип сироватки людини. У кількісному відношенні він домінує серед усіх видів імуноглобулінів. До цього класу відносяться основні антитіла, які забезпечують тривалий гуморальний імунітет людини до інфекцій. Імуноглобуліни класу G виробляються у відповідь під час вторинного контакту з антигеном. </w:t>
      </w:r>
    </w:p>
    <w:p w14:paraId="5F0168C1" w14:textId="77777777" w:rsidR="007F5F67" w:rsidRPr="007F5F67" w:rsidRDefault="007F5F67" w:rsidP="007F5F67">
      <w:pPr>
        <w:spacing w:line="360" w:lineRule="auto"/>
        <w:jc w:val="both"/>
        <w:rPr>
          <w:rFonts w:ascii="Times New Roman" w:hAnsi="Times New Roman" w:cs="Times New Roman"/>
          <w:sz w:val="28"/>
          <w:szCs w:val="28"/>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5022"/>
      </w:tblGrid>
      <w:tr w:rsidR="007F5F67" w:rsidRPr="007F5F67" w14:paraId="4734FB85" w14:textId="77777777" w:rsidTr="00BD034E">
        <w:tc>
          <w:tcPr>
            <w:tcW w:w="4667" w:type="dxa"/>
          </w:tcPr>
          <w:p w14:paraId="541C9A3D" w14:textId="77777777" w:rsidR="007F5F67" w:rsidRPr="007F5F67" w:rsidRDefault="007F5F67" w:rsidP="007F5F67">
            <w:pPr>
              <w:spacing w:line="360" w:lineRule="auto"/>
              <w:rPr>
                <w:rFonts w:cs="Times New Roman"/>
                <w:sz w:val="28"/>
                <w:szCs w:val="28"/>
              </w:rPr>
            </w:pPr>
            <w:r w:rsidRPr="007F5F67">
              <w:rPr>
                <w:rFonts w:cs="Times New Roman"/>
                <w:noProof/>
                <w:sz w:val="28"/>
                <w:szCs w:val="28"/>
              </w:rPr>
              <w:drawing>
                <wp:inline distT="0" distB="0" distL="0" distR="0" wp14:anchorId="4F1EE162" wp14:editId="6EB93DBF">
                  <wp:extent cx="2853546" cy="3009834"/>
                  <wp:effectExtent l="19050" t="0" r="3954" b="0"/>
                  <wp:docPr id="12" name="Рисунок 5" descr="fig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5.png"/>
                          <pic:cNvPicPr/>
                        </pic:nvPicPr>
                        <pic:blipFill>
                          <a:blip r:embed="rId50" cstate="print"/>
                          <a:srcRect l="9269" t="6532" r="15933" b="9015"/>
                          <a:stretch>
                            <a:fillRect/>
                          </a:stretch>
                        </pic:blipFill>
                        <pic:spPr>
                          <a:xfrm>
                            <a:off x="0" y="0"/>
                            <a:ext cx="2861565" cy="3018293"/>
                          </a:xfrm>
                          <a:prstGeom prst="rect">
                            <a:avLst/>
                          </a:prstGeom>
                        </pic:spPr>
                      </pic:pic>
                    </a:graphicData>
                  </a:graphic>
                </wp:inline>
              </w:drawing>
            </w:r>
          </w:p>
        </w:tc>
        <w:tc>
          <w:tcPr>
            <w:tcW w:w="5022" w:type="dxa"/>
          </w:tcPr>
          <w:p w14:paraId="6856061A" w14:textId="77777777" w:rsidR="007F5F67" w:rsidRPr="007F5F67" w:rsidRDefault="007F5F67" w:rsidP="007F5F67">
            <w:pPr>
              <w:spacing w:line="360" w:lineRule="auto"/>
              <w:rPr>
                <w:rFonts w:cs="Times New Roman"/>
                <w:sz w:val="28"/>
                <w:szCs w:val="28"/>
              </w:rPr>
            </w:pPr>
            <w:r w:rsidRPr="007F5F67">
              <w:rPr>
                <w:rFonts w:cs="Times New Roman"/>
                <w:noProof/>
                <w:sz w:val="28"/>
                <w:szCs w:val="28"/>
              </w:rPr>
              <w:drawing>
                <wp:inline distT="0" distB="0" distL="0" distR="0" wp14:anchorId="5382BDB9" wp14:editId="59B54D6E">
                  <wp:extent cx="3087678" cy="3010619"/>
                  <wp:effectExtent l="19050" t="0" r="0" b="0"/>
                  <wp:docPr id="11" name="Рисунок 6" descr="fig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a.png"/>
                          <pic:cNvPicPr/>
                        </pic:nvPicPr>
                        <pic:blipFill>
                          <a:blip r:embed="rId51" cstate="print"/>
                          <a:srcRect l="9413" t="7355" r="22542" b="10158"/>
                          <a:stretch>
                            <a:fillRect/>
                          </a:stretch>
                        </pic:blipFill>
                        <pic:spPr>
                          <a:xfrm>
                            <a:off x="0" y="0"/>
                            <a:ext cx="3087678" cy="3010619"/>
                          </a:xfrm>
                          <a:prstGeom prst="rect">
                            <a:avLst/>
                          </a:prstGeom>
                        </pic:spPr>
                      </pic:pic>
                    </a:graphicData>
                  </a:graphic>
                </wp:inline>
              </w:drawing>
            </w:r>
          </w:p>
        </w:tc>
      </w:tr>
      <w:tr w:rsidR="007F5F67" w:rsidRPr="007F5F67" w14:paraId="05656C8E" w14:textId="77777777" w:rsidTr="00BD034E">
        <w:tc>
          <w:tcPr>
            <w:tcW w:w="4667" w:type="dxa"/>
          </w:tcPr>
          <w:p w14:paraId="56A2029E" w14:textId="77777777" w:rsidR="007F5F67" w:rsidRPr="007F5F67" w:rsidRDefault="007F5F67" w:rsidP="007F5F67">
            <w:pPr>
              <w:spacing w:line="360" w:lineRule="auto"/>
              <w:jc w:val="center"/>
              <w:rPr>
                <w:rFonts w:cs="Times New Roman"/>
                <w:sz w:val="28"/>
                <w:szCs w:val="28"/>
              </w:rPr>
            </w:pPr>
            <w:r w:rsidRPr="007F5F67">
              <w:rPr>
                <w:rFonts w:cs="Times New Roman"/>
                <w:sz w:val="28"/>
                <w:szCs w:val="28"/>
              </w:rPr>
              <w:t>А</w:t>
            </w:r>
          </w:p>
        </w:tc>
        <w:tc>
          <w:tcPr>
            <w:tcW w:w="5022" w:type="dxa"/>
          </w:tcPr>
          <w:p w14:paraId="204B576B" w14:textId="77777777" w:rsidR="007F5F67" w:rsidRPr="007F5F67" w:rsidRDefault="007F5F67" w:rsidP="007F5F67">
            <w:pPr>
              <w:spacing w:line="360" w:lineRule="auto"/>
              <w:jc w:val="center"/>
              <w:rPr>
                <w:rFonts w:cs="Times New Roman"/>
                <w:sz w:val="28"/>
                <w:szCs w:val="28"/>
              </w:rPr>
            </w:pPr>
            <w:r w:rsidRPr="007F5F67">
              <w:rPr>
                <w:rFonts w:cs="Times New Roman"/>
                <w:sz w:val="28"/>
                <w:szCs w:val="28"/>
              </w:rPr>
              <w:t>Б</w:t>
            </w:r>
          </w:p>
        </w:tc>
      </w:tr>
      <w:tr w:rsidR="007F5F67" w:rsidRPr="007F5F67" w14:paraId="3420E5D0" w14:textId="77777777" w:rsidTr="00BD034E">
        <w:tc>
          <w:tcPr>
            <w:tcW w:w="9689" w:type="dxa"/>
            <w:gridSpan w:val="2"/>
          </w:tcPr>
          <w:p w14:paraId="1F023E68" w14:textId="482EA651" w:rsidR="007F5F67" w:rsidRPr="00A511D5" w:rsidRDefault="007F5F67" w:rsidP="007F5F67">
            <w:pPr>
              <w:spacing w:line="360" w:lineRule="auto"/>
              <w:jc w:val="both"/>
              <w:rPr>
                <w:rFonts w:cs="Times New Roman"/>
                <w:sz w:val="28"/>
                <w:szCs w:val="28"/>
                <w:lang w:val="uk-UA"/>
              </w:rPr>
            </w:pPr>
            <w:r w:rsidRPr="00A511D5">
              <w:rPr>
                <w:rFonts w:cs="Times New Roman"/>
                <w:sz w:val="28"/>
                <w:szCs w:val="28"/>
              </w:rPr>
              <w:t>Рис</w:t>
            </w:r>
            <w:r w:rsidR="00D0270E">
              <w:rPr>
                <w:rFonts w:cs="Times New Roman"/>
                <w:sz w:val="28"/>
                <w:szCs w:val="28"/>
                <w:lang w:val="de-DE"/>
              </w:rPr>
              <w:t>. 6</w:t>
            </w:r>
            <w:r w:rsidRPr="00A511D5">
              <w:rPr>
                <w:rFonts w:cs="Times New Roman"/>
                <w:sz w:val="28"/>
                <w:szCs w:val="28"/>
                <w:lang w:val="de-DE"/>
              </w:rPr>
              <w:t>.</w:t>
            </w:r>
            <w:r w:rsidR="00A511D5" w:rsidRPr="00A511D5">
              <w:rPr>
                <w:rFonts w:cs="Times New Roman"/>
                <w:sz w:val="28"/>
                <w:szCs w:val="28"/>
                <w:lang w:val="uk-UA"/>
              </w:rPr>
              <w:t>7</w:t>
            </w:r>
            <w:r w:rsidRPr="00A511D5">
              <w:rPr>
                <w:rFonts w:cs="Times New Roman"/>
                <w:sz w:val="28"/>
                <w:szCs w:val="28"/>
                <w:lang w:val="de-DE"/>
              </w:rPr>
              <w:t xml:space="preserve"> </w:t>
            </w:r>
            <w:r w:rsidRPr="00A511D5">
              <w:rPr>
                <w:rFonts w:cs="Times New Roman"/>
                <w:sz w:val="28"/>
                <w:szCs w:val="28"/>
              </w:rPr>
              <w:t>Розподіл</w:t>
            </w:r>
            <w:r w:rsidRPr="00A511D5">
              <w:rPr>
                <w:rFonts w:cs="Times New Roman"/>
                <w:sz w:val="28"/>
                <w:szCs w:val="28"/>
                <w:lang w:val="de-DE"/>
              </w:rPr>
              <w:t xml:space="preserve"> </w:t>
            </w:r>
            <w:r w:rsidRPr="00A511D5">
              <w:rPr>
                <w:rFonts w:cs="Times New Roman"/>
                <w:sz w:val="28"/>
                <w:szCs w:val="28"/>
              </w:rPr>
              <w:t>пацієнтів</w:t>
            </w:r>
            <w:r w:rsidRPr="00A511D5">
              <w:rPr>
                <w:rFonts w:cs="Times New Roman"/>
                <w:sz w:val="28"/>
                <w:szCs w:val="28"/>
                <w:lang w:val="de-DE"/>
              </w:rPr>
              <w:t xml:space="preserve"> </w:t>
            </w:r>
            <w:r w:rsidRPr="00A511D5">
              <w:rPr>
                <w:rFonts w:cs="Times New Roman"/>
                <w:sz w:val="28"/>
                <w:szCs w:val="28"/>
              </w:rPr>
              <w:t>основної</w:t>
            </w:r>
            <w:r w:rsidRPr="00A511D5">
              <w:rPr>
                <w:rFonts w:cs="Times New Roman"/>
                <w:sz w:val="28"/>
                <w:szCs w:val="28"/>
                <w:lang w:val="de-DE"/>
              </w:rPr>
              <w:t xml:space="preserve"> </w:t>
            </w:r>
            <w:r w:rsidRPr="00A511D5">
              <w:rPr>
                <w:rFonts w:cs="Times New Roman"/>
                <w:sz w:val="28"/>
                <w:szCs w:val="28"/>
              </w:rPr>
              <w:t>групи</w:t>
            </w:r>
            <w:r w:rsidRPr="00A511D5">
              <w:rPr>
                <w:rFonts w:cs="Times New Roman"/>
                <w:sz w:val="28"/>
                <w:szCs w:val="28"/>
                <w:lang w:val="de-DE"/>
              </w:rPr>
              <w:t xml:space="preserve"> </w:t>
            </w:r>
            <w:r w:rsidRPr="00A511D5">
              <w:rPr>
                <w:rFonts w:cs="Times New Roman"/>
                <w:sz w:val="28"/>
                <w:szCs w:val="28"/>
              </w:rPr>
              <w:t>з</w:t>
            </w:r>
            <w:r w:rsidRPr="00A511D5">
              <w:rPr>
                <w:rFonts w:cs="Times New Roman"/>
                <w:sz w:val="28"/>
                <w:szCs w:val="28"/>
                <w:lang w:val="de-DE"/>
              </w:rPr>
              <w:t xml:space="preserve"> </w:t>
            </w:r>
            <w:r w:rsidRPr="00A511D5">
              <w:rPr>
                <w:rFonts w:cs="Times New Roman"/>
                <w:sz w:val="28"/>
                <w:szCs w:val="28"/>
              </w:rPr>
              <w:t>різними</w:t>
            </w:r>
            <w:r w:rsidRPr="00A511D5">
              <w:rPr>
                <w:rFonts w:cs="Times New Roman"/>
                <w:sz w:val="28"/>
                <w:szCs w:val="28"/>
                <w:lang w:val="de-DE"/>
              </w:rPr>
              <w:t xml:space="preserve"> </w:t>
            </w:r>
            <w:r w:rsidRPr="00A511D5">
              <w:rPr>
                <w:rFonts w:cs="Times New Roman"/>
                <w:sz w:val="28"/>
                <w:szCs w:val="28"/>
              </w:rPr>
              <w:t>генотипами</w:t>
            </w:r>
            <w:r w:rsidRPr="00A511D5">
              <w:rPr>
                <w:rFonts w:cs="Times New Roman"/>
                <w:sz w:val="28"/>
                <w:szCs w:val="28"/>
                <w:lang w:val="de-DE"/>
              </w:rPr>
              <w:t xml:space="preserve"> </w:t>
            </w:r>
            <w:r w:rsidRPr="00A511D5">
              <w:rPr>
                <w:rFonts w:cs="Times New Roman"/>
                <w:sz w:val="28"/>
                <w:szCs w:val="28"/>
              </w:rPr>
              <w:t>за</w:t>
            </w:r>
            <w:r w:rsidRPr="00A511D5">
              <w:rPr>
                <w:rFonts w:cs="Times New Roman"/>
                <w:sz w:val="28"/>
                <w:szCs w:val="28"/>
                <w:lang w:val="de-DE"/>
              </w:rPr>
              <w:t xml:space="preserve"> </w:t>
            </w:r>
            <w:r w:rsidRPr="00A511D5">
              <w:rPr>
                <w:rFonts w:cs="Times New Roman"/>
                <w:i/>
                <w:sz w:val="28"/>
                <w:szCs w:val="28"/>
                <w:lang w:val="de-DE"/>
              </w:rPr>
              <w:t>rs</w:t>
            </w:r>
            <w:r w:rsidRPr="00A511D5">
              <w:rPr>
                <w:rFonts w:cs="Times New Roman"/>
                <w:i/>
                <w:sz w:val="28"/>
                <w:szCs w:val="28"/>
                <w:lang w:val="uk-UA"/>
              </w:rPr>
              <w:t xml:space="preserve">1801270 </w:t>
            </w:r>
            <w:r w:rsidRPr="00A511D5">
              <w:rPr>
                <w:rFonts w:cs="Times New Roman"/>
                <w:sz w:val="28"/>
                <w:szCs w:val="28"/>
                <w:lang w:val="uk-UA"/>
              </w:rPr>
              <w:t xml:space="preserve">поліморфізмом за індексом кровоточивості ясен та рівнями сироваткових імуноглобулінів А </w:t>
            </w:r>
            <w:r w:rsidRPr="00A511D5">
              <w:rPr>
                <w:rFonts w:cs="Times New Roman"/>
                <w:sz w:val="28"/>
                <w:szCs w:val="28"/>
                <w:lang w:val="de-DE"/>
              </w:rPr>
              <w:t xml:space="preserve">(A) </w:t>
            </w:r>
            <w:r w:rsidRPr="00A511D5">
              <w:rPr>
                <w:rFonts w:cs="Times New Roman"/>
                <w:sz w:val="28"/>
                <w:szCs w:val="28"/>
                <w:lang w:val="uk-UA"/>
              </w:rPr>
              <w:t xml:space="preserve">та </w:t>
            </w:r>
            <w:r w:rsidRPr="00A511D5">
              <w:rPr>
                <w:rFonts w:cs="Times New Roman"/>
                <w:sz w:val="28"/>
                <w:szCs w:val="28"/>
                <w:lang w:val="de-DE"/>
              </w:rPr>
              <w:t>G (</w:t>
            </w:r>
            <w:r w:rsidRPr="00A511D5">
              <w:rPr>
                <w:rFonts w:cs="Times New Roman"/>
                <w:sz w:val="28"/>
                <w:szCs w:val="28"/>
                <w:lang w:val="uk-UA"/>
              </w:rPr>
              <w:t>Б)</w:t>
            </w:r>
          </w:p>
        </w:tc>
      </w:tr>
    </w:tbl>
    <w:p w14:paraId="6D1D21B8" w14:textId="58E9E13F" w:rsidR="007F5F67" w:rsidRPr="007F5F67" w:rsidRDefault="00BD034E" w:rsidP="00BD034E">
      <w:pPr>
        <w:spacing w:line="360" w:lineRule="auto"/>
        <w:jc w:val="center"/>
        <w:rPr>
          <w:rFonts w:ascii="Times New Roman" w:hAnsi="Times New Roman" w:cs="Times New Roman"/>
          <w:sz w:val="28"/>
          <w:szCs w:val="28"/>
          <w:lang w:val="de-DE"/>
        </w:rPr>
      </w:pPr>
      <w:r w:rsidRPr="007F5F67">
        <w:rPr>
          <w:rFonts w:cs="Times New Roman"/>
          <w:noProof/>
          <w:sz w:val="28"/>
          <w:szCs w:val="28"/>
        </w:rPr>
        <w:drawing>
          <wp:inline distT="0" distB="0" distL="0" distR="0" wp14:anchorId="1F7302DC" wp14:editId="3A5ECBE9">
            <wp:extent cx="2707537" cy="2730878"/>
            <wp:effectExtent l="0" t="0" r="0" b="0"/>
            <wp:docPr id="10" name="Рисунок 9" descr="fig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6.png"/>
                    <pic:cNvPicPr/>
                  </pic:nvPicPr>
                  <pic:blipFill>
                    <a:blip r:embed="rId52" cstate="print"/>
                    <a:srcRect l="12901" t="7355" r="19685" b="10683"/>
                    <a:stretch>
                      <a:fillRect/>
                    </a:stretch>
                  </pic:blipFill>
                  <pic:spPr>
                    <a:xfrm>
                      <a:off x="0" y="0"/>
                      <a:ext cx="2723582" cy="2747061"/>
                    </a:xfrm>
                    <a:prstGeom prst="rect">
                      <a:avLst/>
                    </a:prstGeom>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7F5F67" w:rsidRPr="007F5F67" w14:paraId="48DD2512" w14:textId="77777777" w:rsidTr="00F428D4">
        <w:tc>
          <w:tcPr>
            <w:tcW w:w="9571" w:type="dxa"/>
          </w:tcPr>
          <w:p w14:paraId="11A382C9" w14:textId="49F1FEF1" w:rsidR="007F5F67" w:rsidRPr="00A511D5" w:rsidRDefault="007F5F67" w:rsidP="007F5F67">
            <w:pPr>
              <w:spacing w:line="360" w:lineRule="auto"/>
              <w:jc w:val="center"/>
              <w:rPr>
                <w:rFonts w:cs="Times New Roman"/>
                <w:sz w:val="28"/>
                <w:szCs w:val="28"/>
                <w:lang w:val="en-US"/>
              </w:rPr>
            </w:pPr>
          </w:p>
        </w:tc>
      </w:tr>
      <w:tr w:rsidR="007F5F67" w:rsidRPr="007F5F67" w14:paraId="5595CBBA" w14:textId="77777777" w:rsidTr="00F428D4">
        <w:tc>
          <w:tcPr>
            <w:tcW w:w="9571" w:type="dxa"/>
          </w:tcPr>
          <w:p w14:paraId="66E40B63" w14:textId="1E6BD273" w:rsidR="007F5F67" w:rsidRPr="00424899" w:rsidRDefault="007F5F67" w:rsidP="007F5F67">
            <w:pPr>
              <w:spacing w:line="360" w:lineRule="auto"/>
              <w:jc w:val="both"/>
              <w:rPr>
                <w:rFonts w:cs="Times New Roman"/>
                <w:sz w:val="28"/>
                <w:szCs w:val="28"/>
                <w:lang w:val="de-DE"/>
              </w:rPr>
            </w:pPr>
            <w:r w:rsidRPr="00424899">
              <w:rPr>
                <w:rFonts w:cs="Times New Roman"/>
                <w:sz w:val="28"/>
                <w:szCs w:val="28"/>
              </w:rPr>
              <w:t>Рис</w:t>
            </w:r>
            <w:r w:rsidR="00D0270E">
              <w:rPr>
                <w:rFonts w:cs="Times New Roman"/>
                <w:sz w:val="28"/>
                <w:szCs w:val="28"/>
                <w:lang w:val="de-DE"/>
              </w:rPr>
              <w:t>. 6</w:t>
            </w:r>
            <w:r w:rsidR="00424899">
              <w:rPr>
                <w:rFonts w:cs="Times New Roman"/>
                <w:sz w:val="28"/>
                <w:szCs w:val="28"/>
                <w:lang w:val="de-DE"/>
              </w:rPr>
              <w:t>.8</w:t>
            </w:r>
            <w:r w:rsidRPr="00424899">
              <w:rPr>
                <w:rFonts w:cs="Times New Roman"/>
                <w:sz w:val="28"/>
                <w:szCs w:val="28"/>
                <w:lang w:val="de-DE"/>
              </w:rPr>
              <w:t xml:space="preserve">. </w:t>
            </w:r>
            <w:r w:rsidRPr="00424899">
              <w:rPr>
                <w:rFonts w:cs="Times New Roman"/>
                <w:sz w:val="28"/>
                <w:szCs w:val="28"/>
              </w:rPr>
              <w:t>Розподіл</w:t>
            </w:r>
            <w:r w:rsidRPr="00424899">
              <w:rPr>
                <w:rFonts w:cs="Times New Roman"/>
                <w:sz w:val="28"/>
                <w:szCs w:val="28"/>
                <w:lang w:val="de-DE"/>
              </w:rPr>
              <w:t xml:space="preserve"> </w:t>
            </w:r>
            <w:r w:rsidRPr="00424899">
              <w:rPr>
                <w:rFonts w:cs="Times New Roman"/>
                <w:sz w:val="28"/>
                <w:szCs w:val="28"/>
              </w:rPr>
              <w:t>пацієнтів</w:t>
            </w:r>
            <w:r w:rsidRPr="00424899">
              <w:rPr>
                <w:rFonts w:cs="Times New Roman"/>
                <w:sz w:val="28"/>
                <w:szCs w:val="28"/>
                <w:lang w:val="de-DE"/>
              </w:rPr>
              <w:t xml:space="preserve"> </w:t>
            </w:r>
            <w:r w:rsidRPr="00424899">
              <w:rPr>
                <w:rFonts w:cs="Times New Roman"/>
                <w:sz w:val="28"/>
                <w:szCs w:val="28"/>
              </w:rPr>
              <w:t>основної</w:t>
            </w:r>
            <w:r w:rsidRPr="00424899">
              <w:rPr>
                <w:rFonts w:cs="Times New Roman"/>
                <w:sz w:val="28"/>
                <w:szCs w:val="28"/>
                <w:lang w:val="de-DE"/>
              </w:rPr>
              <w:t xml:space="preserve"> </w:t>
            </w:r>
            <w:r w:rsidRPr="00424899">
              <w:rPr>
                <w:rFonts w:cs="Times New Roman"/>
                <w:sz w:val="28"/>
                <w:szCs w:val="28"/>
              </w:rPr>
              <w:t>групи</w:t>
            </w:r>
            <w:r w:rsidRPr="00424899">
              <w:rPr>
                <w:rFonts w:cs="Times New Roman"/>
                <w:sz w:val="28"/>
                <w:szCs w:val="28"/>
                <w:lang w:val="de-DE"/>
              </w:rPr>
              <w:t xml:space="preserve"> </w:t>
            </w:r>
            <w:r w:rsidRPr="00424899">
              <w:rPr>
                <w:rFonts w:cs="Times New Roman"/>
                <w:sz w:val="28"/>
                <w:szCs w:val="28"/>
              </w:rPr>
              <w:t>з</w:t>
            </w:r>
            <w:r w:rsidRPr="00424899">
              <w:rPr>
                <w:rFonts w:cs="Times New Roman"/>
                <w:sz w:val="28"/>
                <w:szCs w:val="28"/>
                <w:lang w:val="de-DE"/>
              </w:rPr>
              <w:t xml:space="preserve"> </w:t>
            </w:r>
            <w:r w:rsidRPr="00424899">
              <w:rPr>
                <w:rFonts w:cs="Times New Roman"/>
                <w:sz w:val="28"/>
                <w:szCs w:val="28"/>
              </w:rPr>
              <w:t>різними</w:t>
            </w:r>
            <w:r w:rsidRPr="00424899">
              <w:rPr>
                <w:rFonts w:cs="Times New Roman"/>
                <w:sz w:val="28"/>
                <w:szCs w:val="28"/>
                <w:lang w:val="de-DE"/>
              </w:rPr>
              <w:t xml:space="preserve"> </w:t>
            </w:r>
            <w:r w:rsidRPr="00424899">
              <w:rPr>
                <w:rFonts w:cs="Times New Roman"/>
                <w:sz w:val="28"/>
                <w:szCs w:val="28"/>
              </w:rPr>
              <w:t>генотипами</w:t>
            </w:r>
            <w:r w:rsidRPr="00424899">
              <w:rPr>
                <w:rFonts w:cs="Times New Roman"/>
                <w:sz w:val="28"/>
                <w:szCs w:val="28"/>
                <w:lang w:val="de-DE"/>
              </w:rPr>
              <w:t xml:space="preserve"> </w:t>
            </w:r>
            <w:r w:rsidRPr="00424899">
              <w:rPr>
                <w:rFonts w:cs="Times New Roman"/>
                <w:sz w:val="28"/>
                <w:szCs w:val="28"/>
              </w:rPr>
              <w:t>за</w:t>
            </w:r>
            <w:r w:rsidRPr="00424899">
              <w:rPr>
                <w:rFonts w:cs="Times New Roman"/>
                <w:sz w:val="28"/>
                <w:szCs w:val="28"/>
                <w:lang w:val="de-DE"/>
              </w:rPr>
              <w:t xml:space="preserve"> </w:t>
            </w:r>
            <w:r w:rsidRPr="00424899">
              <w:rPr>
                <w:rFonts w:cs="Times New Roman"/>
                <w:i/>
                <w:sz w:val="28"/>
                <w:szCs w:val="28"/>
                <w:lang w:val="de-DE"/>
              </w:rPr>
              <w:t>rs</w:t>
            </w:r>
            <w:r w:rsidRPr="00424899">
              <w:rPr>
                <w:rFonts w:cs="Times New Roman"/>
                <w:i/>
                <w:sz w:val="28"/>
                <w:szCs w:val="28"/>
                <w:lang w:val="uk-UA"/>
              </w:rPr>
              <w:t xml:space="preserve">1801270 </w:t>
            </w:r>
            <w:r w:rsidRPr="00424899">
              <w:rPr>
                <w:rFonts w:cs="Times New Roman"/>
                <w:sz w:val="28"/>
                <w:szCs w:val="28"/>
                <w:lang w:val="uk-UA"/>
              </w:rPr>
              <w:t>поліморфізмом за індексом кровоточивості ясен та рівнем секреторного імуноглобуліну А</w:t>
            </w:r>
          </w:p>
        </w:tc>
      </w:tr>
    </w:tbl>
    <w:p w14:paraId="42468C6A" w14:textId="65119BC1" w:rsidR="007F5F67" w:rsidRPr="007F5F67" w:rsidRDefault="007F5F67" w:rsidP="00D0270E">
      <w:pPr>
        <w:spacing w:line="360" w:lineRule="auto"/>
        <w:ind w:firstLine="709"/>
        <w:jc w:val="both"/>
        <w:rPr>
          <w:rFonts w:ascii="Times New Roman" w:hAnsi="Times New Roman" w:cs="Times New Roman"/>
          <w:sz w:val="28"/>
          <w:szCs w:val="28"/>
          <w:lang w:val="ru-RU"/>
        </w:rPr>
      </w:pPr>
      <w:r w:rsidRPr="007F5F67">
        <w:rPr>
          <w:rFonts w:ascii="Times New Roman" w:hAnsi="Times New Roman" w:cs="Times New Roman"/>
          <w:sz w:val="28"/>
          <w:szCs w:val="28"/>
          <w:lang w:val="uk-UA"/>
        </w:rPr>
        <w:t>Отже</w:t>
      </w:r>
      <w:r w:rsidR="00D0270E">
        <w:rPr>
          <w:rFonts w:ascii="Times New Roman" w:hAnsi="Times New Roman" w:cs="Times New Roman"/>
          <w:sz w:val="28"/>
          <w:szCs w:val="28"/>
          <w:lang w:val="uk-UA"/>
        </w:rPr>
        <w:t>,</w:t>
      </w:r>
      <w:r w:rsidRPr="007F5F67">
        <w:rPr>
          <w:rFonts w:ascii="Times New Roman" w:hAnsi="Times New Roman" w:cs="Times New Roman"/>
          <w:sz w:val="28"/>
          <w:szCs w:val="28"/>
          <w:lang w:val="uk-UA"/>
        </w:rPr>
        <w:t xml:space="preserve"> спостерігаємо тенденцію до різного формування імунної відповіді (за трьома різними імуноглобулинами) у пацієнтів з атопічними захворюваннями та різними генотипами </w:t>
      </w:r>
      <w:r w:rsidRPr="00424899">
        <w:rPr>
          <w:rFonts w:ascii="Times New Roman" w:hAnsi="Times New Roman" w:cs="Times New Roman"/>
          <w:sz w:val="28"/>
          <w:szCs w:val="28"/>
          <w:lang w:val="uk-UA"/>
        </w:rPr>
        <w:t xml:space="preserve">за </w:t>
      </w:r>
      <w:r w:rsidRPr="00424899">
        <w:rPr>
          <w:rFonts w:ascii="Times New Roman" w:hAnsi="Times New Roman" w:cs="Times New Roman"/>
          <w:sz w:val="28"/>
          <w:szCs w:val="28"/>
          <w:lang w:val="de-DE"/>
        </w:rPr>
        <w:t>rs</w:t>
      </w:r>
      <w:r w:rsidRPr="00424899">
        <w:rPr>
          <w:rFonts w:ascii="Times New Roman" w:hAnsi="Times New Roman" w:cs="Times New Roman"/>
          <w:sz w:val="28"/>
          <w:szCs w:val="28"/>
          <w:lang w:val="uk-UA"/>
        </w:rPr>
        <w:t>1801270 поліморфізмом</w:t>
      </w:r>
      <w:r w:rsidRPr="007F5F67">
        <w:rPr>
          <w:rFonts w:ascii="Times New Roman" w:hAnsi="Times New Roman" w:cs="Times New Roman"/>
          <w:sz w:val="28"/>
          <w:szCs w:val="28"/>
          <w:lang w:val="uk-UA"/>
        </w:rPr>
        <w:t xml:space="preserve">, зокрема гомозиготи </w:t>
      </w:r>
      <w:r w:rsidRPr="007F5F67">
        <w:rPr>
          <w:rFonts w:ascii="Times New Roman" w:hAnsi="Times New Roman" w:cs="Times New Roman"/>
          <w:i/>
          <w:sz w:val="28"/>
          <w:szCs w:val="28"/>
          <w:lang w:val="uk-UA"/>
        </w:rPr>
        <w:t>АА</w:t>
      </w:r>
      <w:r w:rsidRPr="007F5F67">
        <w:rPr>
          <w:rFonts w:ascii="Times New Roman" w:hAnsi="Times New Roman" w:cs="Times New Roman"/>
          <w:sz w:val="28"/>
          <w:szCs w:val="28"/>
          <w:lang w:val="uk-UA"/>
        </w:rPr>
        <w:t xml:space="preserve"> тяжіють до більш агресивного протікання гінгівіту. Тобто даний поліморфізм може бути перспективним для подальшого аналізу (на більших виборках) його асоціації з характером розвитку запальних процесів ясен в таких пацієнтів.</w:t>
      </w:r>
    </w:p>
    <w:p w14:paraId="3BC95D7E" w14:textId="02E57929" w:rsidR="007F5F67" w:rsidRPr="007F5F67" w:rsidRDefault="00AE0FB9" w:rsidP="007F5F6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007F5F67" w:rsidRPr="007F5F67">
        <w:rPr>
          <w:rFonts w:ascii="Times New Roman" w:hAnsi="Times New Roman" w:cs="Times New Roman"/>
          <w:sz w:val="28"/>
          <w:szCs w:val="28"/>
          <w:lang w:val="uk-UA"/>
        </w:rPr>
        <w:t xml:space="preserve"> ході дослідження прогенотиповано 48 осіб за </w:t>
      </w:r>
      <w:r w:rsidR="007F5F67" w:rsidRPr="00424899">
        <w:rPr>
          <w:rFonts w:ascii="Times New Roman" w:hAnsi="Times New Roman" w:cs="Times New Roman"/>
          <w:sz w:val="28"/>
          <w:szCs w:val="28"/>
          <w:lang w:val="uk-UA"/>
        </w:rPr>
        <w:t xml:space="preserve">поліморфізмом </w:t>
      </w:r>
      <w:r w:rsidR="007F5F67" w:rsidRPr="00424899">
        <w:rPr>
          <w:rFonts w:ascii="Times New Roman" w:hAnsi="Times New Roman" w:cs="Times New Roman"/>
          <w:sz w:val="28"/>
          <w:szCs w:val="28"/>
        </w:rPr>
        <w:t>rs</w:t>
      </w:r>
      <w:r w:rsidR="007F5F67" w:rsidRPr="00424899">
        <w:rPr>
          <w:rFonts w:ascii="Times New Roman" w:hAnsi="Times New Roman" w:cs="Times New Roman"/>
          <w:sz w:val="28"/>
          <w:szCs w:val="28"/>
          <w:lang w:val="uk-UA"/>
        </w:rPr>
        <w:t>1801270</w:t>
      </w:r>
      <w:r w:rsidR="0024764B" w:rsidRPr="0024764B">
        <w:rPr>
          <w:rFonts w:ascii="Times New Roman" w:hAnsi="Times New Roman" w:cs="Times New Roman"/>
          <w:sz w:val="28"/>
          <w:szCs w:val="28"/>
          <w:lang w:val="ru-RU"/>
        </w:rPr>
        <w:t xml:space="preserve"> [290]</w:t>
      </w:r>
      <w:r w:rsidR="007F5F67" w:rsidRPr="007F5F67">
        <w:rPr>
          <w:rFonts w:ascii="Times New Roman" w:hAnsi="Times New Roman" w:cs="Times New Roman"/>
          <w:sz w:val="28"/>
          <w:szCs w:val="28"/>
          <w:lang w:val="uk-UA"/>
        </w:rPr>
        <w:t xml:space="preserve">. Розраховані частоти генотипів та алелів за даним поліморфізмом загалом та в контрольній та основній (з діагонозом гінгівіт на тлі атопічних захворювань) групах окремо. Частота алелю </w:t>
      </w:r>
      <w:r w:rsidR="007F5F67" w:rsidRPr="007F5F67">
        <w:rPr>
          <w:rFonts w:ascii="Times New Roman" w:hAnsi="Times New Roman" w:cs="Times New Roman"/>
          <w:i/>
          <w:sz w:val="28"/>
          <w:szCs w:val="28"/>
          <w:lang w:val="uk-UA"/>
        </w:rPr>
        <w:t>С</w:t>
      </w:r>
      <w:r w:rsidR="007F5F67" w:rsidRPr="007F5F67">
        <w:rPr>
          <w:rFonts w:ascii="Times New Roman" w:hAnsi="Times New Roman" w:cs="Times New Roman"/>
          <w:sz w:val="28"/>
          <w:szCs w:val="28"/>
          <w:lang w:val="uk-UA"/>
        </w:rPr>
        <w:t xml:space="preserve"> склала в середньому 0,76, частота алелю </w:t>
      </w:r>
      <w:r w:rsidR="007F5F67" w:rsidRPr="007F5F67">
        <w:rPr>
          <w:rFonts w:ascii="Times New Roman" w:hAnsi="Times New Roman" w:cs="Times New Roman"/>
          <w:i/>
          <w:sz w:val="28"/>
          <w:szCs w:val="28"/>
          <w:lang w:val="uk-UA"/>
        </w:rPr>
        <w:t>А</w:t>
      </w:r>
      <w:r w:rsidR="007F5F67" w:rsidRPr="007F5F67">
        <w:rPr>
          <w:rFonts w:ascii="Times New Roman" w:hAnsi="Times New Roman" w:cs="Times New Roman"/>
          <w:sz w:val="28"/>
          <w:szCs w:val="28"/>
          <w:lang w:val="uk-UA"/>
        </w:rPr>
        <w:t xml:space="preserve"> – 0,24, що відповідає частотам алелів за цим поліморфізмом, що були розраховані за даними різних світових досліджень, але відрізняються від частот алелів, встановлених для європейських популяцій (за рахунок підвищеної частоти алелю </w:t>
      </w:r>
      <w:r w:rsidR="007F5F67" w:rsidRPr="007F5F67">
        <w:rPr>
          <w:rFonts w:ascii="Times New Roman" w:hAnsi="Times New Roman" w:cs="Times New Roman"/>
          <w:i/>
          <w:sz w:val="28"/>
          <w:szCs w:val="28"/>
          <w:lang w:val="uk-UA"/>
        </w:rPr>
        <w:t>А</w:t>
      </w:r>
      <w:r w:rsidR="007F5F67" w:rsidRPr="007F5F67">
        <w:rPr>
          <w:rFonts w:ascii="Times New Roman" w:hAnsi="Times New Roman" w:cs="Times New Roman"/>
          <w:sz w:val="28"/>
          <w:szCs w:val="28"/>
          <w:lang w:val="uk-UA"/>
        </w:rPr>
        <w:t xml:space="preserve">). Встановлено, що у основній групі частоти генотипів відхиляються від очікуваних за законом Харді-Вайнберга. Також </w:t>
      </w:r>
      <w:r w:rsidR="007F5F67" w:rsidRPr="00424899">
        <w:rPr>
          <w:rFonts w:ascii="Times New Roman" w:hAnsi="Times New Roman" w:cs="Times New Roman"/>
          <w:sz w:val="28"/>
          <w:szCs w:val="28"/>
          <w:lang w:val="uk-UA"/>
        </w:rPr>
        <w:t xml:space="preserve">спостерігається тенденція до різного формування імунної відповіді (за трьома різними імуноглобулинами) у пацієнтів основної групи з різними генотипами за </w:t>
      </w:r>
      <w:r w:rsidR="007F5F67" w:rsidRPr="00424899">
        <w:rPr>
          <w:rFonts w:ascii="Times New Roman" w:hAnsi="Times New Roman" w:cs="Times New Roman"/>
          <w:sz w:val="28"/>
          <w:szCs w:val="28"/>
        </w:rPr>
        <w:t>rs</w:t>
      </w:r>
      <w:r w:rsidR="007F5F67" w:rsidRPr="00424899">
        <w:rPr>
          <w:rFonts w:ascii="Times New Roman" w:hAnsi="Times New Roman" w:cs="Times New Roman"/>
          <w:sz w:val="28"/>
          <w:szCs w:val="28"/>
          <w:lang w:val="uk-UA"/>
        </w:rPr>
        <w:t xml:space="preserve">1801270 поліморфізмом, зокрема гомозиготи АА з атопічними захворюваннями тяжіють до більш агресивного протікання гінгівіту. </w:t>
      </w:r>
      <w:r w:rsidR="007F5F67" w:rsidRPr="007F5F67">
        <w:rPr>
          <w:rFonts w:ascii="Times New Roman" w:hAnsi="Times New Roman" w:cs="Times New Roman"/>
          <w:sz w:val="28"/>
          <w:szCs w:val="28"/>
          <w:lang w:val="uk-UA"/>
        </w:rPr>
        <w:t>Вважаємо даний поліморфізм перспективним для подальшого аналізу асоціації з характером розвитку запальних процесів ясен в пацієнтів з астмою, алергічним ринітом чи атопічним дерматитом.</w:t>
      </w:r>
    </w:p>
    <w:p w14:paraId="48EDCC58" w14:textId="6F52C0F0" w:rsidR="00135E6A" w:rsidRPr="009C46D3" w:rsidRDefault="00135E6A" w:rsidP="00135E6A">
      <w:pPr>
        <w:autoSpaceDE w:val="0"/>
        <w:spacing w:after="0" w:line="360" w:lineRule="auto"/>
        <w:ind w:firstLine="709"/>
        <w:jc w:val="both"/>
        <w:rPr>
          <w:rFonts w:ascii="Times New Roman" w:hAnsi="Times New Roman" w:cs="Times New Roman"/>
          <w:sz w:val="28"/>
          <w:szCs w:val="28"/>
          <w:lang w:val="uk-UA"/>
        </w:rPr>
      </w:pPr>
      <w:r w:rsidRPr="009C46D3">
        <w:rPr>
          <w:rFonts w:ascii="Times New Roman" w:hAnsi="Times New Roman" w:cs="Times New Roman"/>
          <w:sz w:val="28"/>
          <w:szCs w:val="28"/>
          <w:lang w:val="uk-UA"/>
        </w:rPr>
        <w:t xml:space="preserve">Результати генотипування обстежених щодо </w:t>
      </w:r>
      <w:r w:rsidRPr="009C46D3">
        <w:rPr>
          <w:rFonts w:ascii="Times New Roman" w:hAnsi="Times New Roman" w:cs="Times New Roman"/>
          <w:sz w:val="28"/>
          <w:szCs w:val="28"/>
        </w:rPr>
        <w:t>VNTR</w:t>
      </w:r>
      <w:r w:rsidRPr="009C46D3">
        <w:rPr>
          <w:rFonts w:ascii="Times New Roman" w:hAnsi="Times New Roman" w:cs="Times New Roman"/>
          <w:sz w:val="28"/>
          <w:szCs w:val="28"/>
          <w:lang w:val="uk-UA"/>
        </w:rPr>
        <w:t xml:space="preserve"> поліморфізму (кількості копій повторів розміром 59 п.н.) в інтроні 36 гена </w:t>
      </w:r>
      <w:r w:rsidRPr="009C46D3">
        <w:rPr>
          <w:rFonts w:ascii="Times New Roman" w:hAnsi="Times New Roman" w:cs="Times New Roman"/>
          <w:sz w:val="28"/>
          <w:szCs w:val="28"/>
        </w:rPr>
        <w:t>MUC</w:t>
      </w:r>
      <w:r w:rsidRPr="009C46D3">
        <w:rPr>
          <w:rFonts w:ascii="Times New Roman" w:hAnsi="Times New Roman" w:cs="Times New Roman"/>
          <w:sz w:val="28"/>
          <w:szCs w:val="28"/>
          <w:lang w:val="uk-UA"/>
        </w:rPr>
        <w:t>5</w:t>
      </w:r>
      <w:r w:rsidRPr="009C46D3">
        <w:rPr>
          <w:rFonts w:ascii="Times New Roman" w:hAnsi="Times New Roman" w:cs="Times New Roman"/>
          <w:sz w:val="28"/>
          <w:szCs w:val="28"/>
        </w:rPr>
        <w:t>B</w:t>
      </w:r>
      <w:r w:rsidRPr="009C46D3">
        <w:rPr>
          <w:rFonts w:ascii="Times New Roman" w:hAnsi="Times New Roman" w:cs="Times New Roman"/>
          <w:sz w:val="28"/>
          <w:szCs w:val="28"/>
          <w:lang w:val="uk-UA"/>
        </w:rPr>
        <w:t xml:space="preserve"> вказують на те, що у контрольній групі здебільшого (50%) простежувався генотип 2/2, тобто гомозиготний за алелем з двома копіями зазначеної ділянки. Всі інші — гетерозиготи (2/3, 2/7, 6/9 — по 8%; 7/9 — 16%; 2/7/9 — 8%). Слід відзначити, що різна кількість алелів </w:t>
      </w:r>
      <w:r w:rsidRPr="009C46D3">
        <w:rPr>
          <w:rFonts w:ascii="Times New Roman" w:hAnsi="Times New Roman" w:cs="Times New Roman"/>
          <w:sz w:val="28"/>
          <w:szCs w:val="28"/>
        </w:rPr>
        <w:t>VNTR</w:t>
      </w:r>
      <w:r w:rsidRPr="009C46D3">
        <w:rPr>
          <w:rFonts w:ascii="Times New Roman" w:hAnsi="Times New Roman" w:cs="Times New Roman"/>
          <w:sz w:val="28"/>
          <w:szCs w:val="28"/>
          <w:lang w:val="uk-UA"/>
        </w:rPr>
        <w:t xml:space="preserve"> є наслідком нестабільної передачі кількості повторів з покоління в покоління через збільшення імовірності нерівного кросинговеру (у мейозі) та імовірності мітотичного кросинговеру (при поділі сома</w:t>
      </w:r>
      <w:r w:rsidR="00B86F5C">
        <w:rPr>
          <w:rFonts w:ascii="Times New Roman" w:hAnsi="Times New Roman" w:cs="Times New Roman"/>
          <w:sz w:val="28"/>
          <w:szCs w:val="28"/>
          <w:lang w:val="uk-UA"/>
        </w:rPr>
        <w:t xml:space="preserve">тичних клітин в онтогенезі) </w:t>
      </w:r>
      <w:r w:rsidR="00E04DB8">
        <w:rPr>
          <w:rFonts w:ascii="Times New Roman" w:hAnsi="Times New Roman" w:cs="Times New Roman"/>
          <w:noProof/>
          <w:sz w:val="28"/>
          <w:szCs w:val="28"/>
          <w:lang w:val="uk-UA"/>
        </w:rPr>
        <w:t>[195</w:t>
      </w:r>
      <w:r w:rsidR="00E04DB8" w:rsidRPr="000953B6">
        <w:rPr>
          <w:rFonts w:ascii="Times New Roman" w:hAnsi="Times New Roman" w:cs="Times New Roman"/>
          <w:noProof/>
          <w:sz w:val="28"/>
          <w:szCs w:val="28"/>
          <w:lang w:val="uk-UA"/>
        </w:rPr>
        <w:t>]</w:t>
      </w:r>
      <w:r w:rsidRPr="009C46D3">
        <w:rPr>
          <w:rFonts w:ascii="Times New Roman" w:hAnsi="Times New Roman" w:cs="Times New Roman"/>
          <w:sz w:val="28"/>
          <w:szCs w:val="28"/>
          <w:lang w:val="uk-UA"/>
        </w:rPr>
        <w:t>. На нашу думку, саме поява генотипів із трьома алелями може свідчити про підвищений рівень нестабі</w:t>
      </w:r>
      <w:r w:rsidR="00E04DB8">
        <w:rPr>
          <w:rFonts w:ascii="Times New Roman" w:hAnsi="Times New Roman" w:cs="Times New Roman"/>
          <w:sz w:val="28"/>
          <w:szCs w:val="28"/>
          <w:lang w:val="uk-UA"/>
        </w:rPr>
        <w:t xml:space="preserve">льності геному в цих індивідів. </w:t>
      </w:r>
      <w:r w:rsidRPr="009C46D3">
        <w:rPr>
          <w:rFonts w:ascii="Times New Roman" w:hAnsi="Times New Roman" w:cs="Times New Roman"/>
          <w:sz w:val="28"/>
          <w:szCs w:val="28"/>
          <w:lang w:val="uk-UA"/>
        </w:rPr>
        <w:t>Звертаємо увагу, що кількість осіб з трьома алелями у цій групі більша, що відповідає загальнобіологічним уявленням про будь-яке захворювання як про стрес, який може бути фактором або індикатором дестабілізації геному.</w:t>
      </w:r>
    </w:p>
    <w:p w14:paraId="65C51A1E" w14:textId="43C71AF4" w:rsidR="00135E6A" w:rsidRPr="009C46D3" w:rsidRDefault="00135E6A" w:rsidP="00135E6A">
      <w:pPr>
        <w:spacing w:line="360" w:lineRule="auto"/>
        <w:ind w:firstLine="709"/>
        <w:jc w:val="both"/>
        <w:rPr>
          <w:rFonts w:ascii="Times New Roman" w:eastAsia="Times New Roman" w:hAnsi="Times New Roman" w:cs="Times New Roman"/>
          <w:sz w:val="28"/>
          <w:szCs w:val="28"/>
          <w:lang w:val="uk-UA"/>
        </w:rPr>
      </w:pPr>
      <w:r w:rsidRPr="009C46D3">
        <w:rPr>
          <w:rFonts w:ascii="Times New Roman" w:hAnsi="Times New Roman" w:cs="Times New Roman"/>
          <w:sz w:val="28"/>
          <w:szCs w:val="28"/>
          <w:lang w:val="uk-UA"/>
        </w:rPr>
        <w:t xml:space="preserve">Поліморфізми муцину та структурні варіації олігосахаридів уможливлюють широкий спектр індивідуальних відмінностей у будові муцинів. Ці відмінності, ймовірно, сприяють адаптації видів до умов середовища, що змінюються. Поліморфізми муцинів справді можуть мати адаптивне значення у межах популяції, але цілком вірогідно, що при цьому деякі індивіди чутливіші до бактеріальної колонізації або атаки антигенів. Так, у дослідженнях </w:t>
      </w:r>
      <w:r w:rsidRPr="009C46D3">
        <w:rPr>
          <w:rFonts w:ascii="Times New Roman" w:eastAsia="Times New Roman" w:hAnsi="Times New Roman" w:cs="Times New Roman"/>
          <w:sz w:val="28"/>
          <w:szCs w:val="28"/>
        </w:rPr>
        <w:t>Peacocke</w:t>
      </w:r>
      <w:r w:rsidRPr="009C46D3">
        <w:rPr>
          <w:rFonts w:ascii="Times New Roman" w:eastAsia="Times New Roman" w:hAnsi="Times New Roman" w:cs="Times New Roman"/>
          <w:sz w:val="28"/>
          <w:szCs w:val="28"/>
          <w:lang w:val="uk-UA"/>
        </w:rPr>
        <w:t xml:space="preserve"> та співавт. </w:t>
      </w:r>
      <w:r w:rsidR="0006458A" w:rsidRPr="009C46D3">
        <w:rPr>
          <w:rFonts w:ascii="Times New Roman" w:hAnsi="Times New Roman" w:cs="Times New Roman"/>
          <w:sz w:val="28"/>
          <w:szCs w:val="28"/>
          <w:lang w:val="uk-UA"/>
        </w:rPr>
        <w:t>П</w:t>
      </w:r>
      <w:r w:rsidRPr="009C46D3">
        <w:rPr>
          <w:rFonts w:ascii="Times New Roman" w:hAnsi="Times New Roman" w:cs="Times New Roman"/>
          <w:sz w:val="28"/>
          <w:szCs w:val="28"/>
          <w:lang w:val="uk-UA"/>
        </w:rPr>
        <w:t xml:space="preserve">евну варіацію кількості повторів спостерігали у зразках обстежених контрольної групи, порівняно з ВІЛ-позитивною групою </w:t>
      </w:r>
      <w:r w:rsidR="0024764B">
        <w:rPr>
          <w:rFonts w:ascii="Times New Roman" w:hAnsi="Times New Roman" w:cs="Times New Roman"/>
          <w:noProof/>
          <w:sz w:val="28"/>
          <w:szCs w:val="28"/>
          <w:lang w:val="uk-UA"/>
        </w:rPr>
        <w:t>[275</w:t>
      </w:r>
      <w:r w:rsidR="0024764B" w:rsidRPr="000953B6">
        <w:rPr>
          <w:rFonts w:ascii="Times New Roman" w:hAnsi="Times New Roman" w:cs="Times New Roman"/>
          <w:noProof/>
          <w:sz w:val="28"/>
          <w:szCs w:val="28"/>
          <w:lang w:val="uk-UA"/>
        </w:rPr>
        <w:t>]</w:t>
      </w:r>
      <w:r w:rsidR="00B86F5C" w:rsidRPr="00B86F5C">
        <w:rPr>
          <w:rFonts w:ascii="Times New Roman" w:hAnsi="Times New Roman" w:cs="Times New Roman"/>
          <w:sz w:val="28"/>
          <w:szCs w:val="28"/>
          <w:lang w:val="uk-UA"/>
        </w:rPr>
        <w:t>.</w:t>
      </w:r>
    </w:p>
    <w:p w14:paraId="11FDAF1C" w14:textId="31674AA7" w:rsidR="00346B70" w:rsidRPr="00AE0FB9" w:rsidRDefault="0024764B" w:rsidP="00AE0FB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Таким чином, з</w:t>
      </w:r>
      <w:r w:rsidR="00135E6A" w:rsidRPr="009C46D3">
        <w:rPr>
          <w:rFonts w:ascii="Times New Roman" w:eastAsia="Times New Roman" w:hAnsi="Times New Roman" w:cs="Times New Roman"/>
          <w:sz w:val="28"/>
          <w:szCs w:val="28"/>
          <w:lang w:val="uk-UA"/>
        </w:rPr>
        <w:t xml:space="preserve">а результатами власних досліджень спостерігали, </w:t>
      </w:r>
      <w:r w:rsidR="006C563D">
        <w:rPr>
          <w:rFonts w:ascii="Times New Roman" w:hAnsi="Times New Roman" w:cs="Times New Roman"/>
          <w:sz w:val="28"/>
          <w:szCs w:val="28"/>
          <w:lang w:val="uk-UA"/>
        </w:rPr>
        <w:t xml:space="preserve">що більшість </w:t>
      </w:r>
      <w:r w:rsidR="00135E6A" w:rsidRPr="009C46D3">
        <w:rPr>
          <w:rFonts w:ascii="Times New Roman" w:hAnsi="Times New Roman" w:cs="Times New Roman"/>
          <w:sz w:val="28"/>
          <w:szCs w:val="28"/>
          <w:lang w:val="uk-UA"/>
        </w:rPr>
        <w:t xml:space="preserve">осіб контрольної групи є носіями «короткого» варіанту (2 повтори) інтрона 36 гена </w:t>
      </w:r>
      <w:r w:rsidR="00135E6A" w:rsidRPr="009C46D3">
        <w:rPr>
          <w:rFonts w:ascii="Times New Roman" w:hAnsi="Times New Roman" w:cs="Times New Roman"/>
          <w:sz w:val="28"/>
          <w:szCs w:val="28"/>
        </w:rPr>
        <w:t>MUC</w:t>
      </w:r>
      <w:r w:rsidR="00135E6A" w:rsidRPr="009C46D3">
        <w:rPr>
          <w:rFonts w:ascii="Times New Roman" w:hAnsi="Times New Roman" w:cs="Times New Roman"/>
          <w:sz w:val="28"/>
          <w:szCs w:val="28"/>
          <w:lang w:val="ru-RU"/>
        </w:rPr>
        <w:t>5</w:t>
      </w:r>
      <w:r w:rsidR="00135E6A" w:rsidRPr="009C46D3">
        <w:rPr>
          <w:rFonts w:ascii="Times New Roman" w:hAnsi="Times New Roman" w:cs="Times New Roman"/>
          <w:sz w:val="28"/>
          <w:szCs w:val="28"/>
        </w:rPr>
        <w:t>B</w:t>
      </w:r>
      <w:r w:rsidR="00135E6A" w:rsidRPr="009C46D3">
        <w:rPr>
          <w:rFonts w:ascii="Times New Roman" w:hAnsi="Times New Roman" w:cs="Times New Roman"/>
          <w:sz w:val="28"/>
          <w:szCs w:val="28"/>
          <w:lang w:val="uk-UA"/>
        </w:rPr>
        <w:t>. Серед них є як гомозиготи за цим алелем, так і гетерозиготи. В осіб дослідної групи (з гінгівітом та атопічними захворюваннями) такий алель майже відсутній (94%). Це підтверджено за допомогою критерія Краскела–Волліса (</w:t>
      </w:r>
      <w:r w:rsidR="00135E6A" w:rsidRPr="009C46D3">
        <w:rPr>
          <w:rFonts w:ascii="Times New Roman" w:hAnsi="Times New Roman" w:cs="Times New Roman"/>
          <w:color w:val="000000"/>
          <w:sz w:val="28"/>
          <w:szCs w:val="28"/>
        </w:rPr>
        <w:t>H</w:t>
      </w:r>
      <w:r w:rsidR="00135E6A" w:rsidRPr="009C46D3">
        <w:rPr>
          <w:rFonts w:ascii="Times New Roman" w:hAnsi="Times New Roman" w:cs="Times New Roman"/>
          <w:color w:val="000000"/>
          <w:sz w:val="28"/>
          <w:szCs w:val="28"/>
          <w:lang w:val="uk-UA"/>
        </w:rPr>
        <w:t xml:space="preserve">=26,48; </w:t>
      </w:r>
      <w:r w:rsidR="00135E6A" w:rsidRPr="009C46D3">
        <w:rPr>
          <w:rFonts w:ascii="Times New Roman" w:hAnsi="Times New Roman" w:cs="Times New Roman"/>
          <w:color w:val="000000"/>
          <w:sz w:val="28"/>
          <w:szCs w:val="28"/>
        </w:rPr>
        <w:t>p</w:t>
      </w:r>
      <w:r w:rsidR="00135E6A" w:rsidRPr="009C46D3">
        <w:rPr>
          <w:rFonts w:ascii="Times New Roman" w:hAnsi="Times New Roman" w:cs="Times New Roman"/>
          <w:color w:val="000000"/>
          <w:sz w:val="28"/>
          <w:szCs w:val="28"/>
          <w:lang w:val="uk-UA"/>
        </w:rPr>
        <w:t>&lt;0,001). Отже, це</w:t>
      </w:r>
      <w:r w:rsidR="00135E6A" w:rsidRPr="009C46D3">
        <w:rPr>
          <w:rFonts w:ascii="Times New Roman" w:hAnsi="Times New Roman" w:cs="Times New Roman"/>
          <w:sz w:val="28"/>
          <w:szCs w:val="28"/>
          <w:lang w:val="uk-UA"/>
        </w:rPr>
        <w:t>й алель можна запропонувати як протективний щодо гінгівіту та атопічних захворювань. Слід, однак, зауважити, що носійство алеля з двома повторами не має асоціації з рівнем досліджуваних імуноглобулінів як самостійно, так і у взаємодії з іншими контрольованими в дослідженні факторами (наявність діагнозу, гомо/гетерозиготність). У дослідній групі, порівняно з контрольною, частіше спостерігали алель із 8-ма повторами (</w:t>
      </w:r>
      <w:r w:rsidR="00135E6A" w:rsidRPr="009C46D3">
        <w:rPr>
          <w:rFonts w:ascii="Times New Roman" w:hAnsi="Times New Roman" w:cs="Times New Roman"/>
          <w:color w:val="000000"/>
          <w:sz w:val="28"/>
          <w:szCs w:val="28"/>
        </w:rPr>
        <w:t>H</w:t>
      </w:r>
      <w:r w:rsidR="00135E6A" w:rsidRPr="009C46D3">
        <w:rPr>
          <w:rFonts w:ascii="Times New Roman" w:hAnsi="Times New Roman" w:cs="Times New Roman"/>
          <w:color w:val="000000"/>
          <w:sz w:val="28"/>
          <w:szCs w:val="28"/>
          <w:lang w:val="ru-RU"/>
        </w:rPr>
        <w:t>=4,99</w:t>
      </w:r>
      <w:r w:rsidR="00135E6A" w:rsidRPr="009C46D3">
        <w:rPr>
          <w:rFonts w:ascii="Times New Roman" w:hAnsi="Times New Roman" w:cs="Times New Roman"/>
          <w:color w:val="000000"/>
          <w:sz w:val="28"/>
          <w:szCs w:val="28"/>
          <w:lang w:val="uk-UA"/>
        </w:rPr>
        <w:t>;</w:t>
      </w:r>
      <w:r w:rsidR="00135E6A" w:rsidRPr="009C46D3">
        <w:rPr>
          <w:rFonts w:ascii="Times New Roman" w:hAnsi="Times New Roman" w:cs="Times New Roman"/>
          <w:color w:val="000000"/>
          <w:sz w:val="28"/>
          <w:szCs w:val="28"/>
          <w:lang w:val="ru-RU"/>
        </w:rPr>
        <w:t xml:space="preserve"> </w:t>
      </w:r>
      <w:r w:rsidR="00135E6A" w:rsidRPr="009C46D3">
        <w:rPr>
          <w:rFonts w:ascii="Times New Roman" w:hAnsi="Times New Roman" w:cs="Times New Roman"/>
          <w:color w:val="000000"/>
          <w:sz w:val="28"/>
          <w:szCs w:val="28"/>
        </w:rPr>
        <w:t>p</w:t>
      </w:r>
      <w:r w:rsidR="00135E6A" w:rsidRPr="009C46D3">
        <w:rPr>
          <w:rFonts w:ascii="Times New Roman" w:hAnsi="Times New Roman" w:cs="Times New Roman"/>
          <w:color w:val="000000"/>
          <w:sz w:val="28"/>
          <w:szCs w:val="28"/>
          <w:lang w:val="ru-RU"/>
        </w:rPr>
        <w:t>&lt;0,0</w:t>
      </w:r>
      <w:r w:rsidR="00135E6A" w:rsidRPr="009C46D3">
        <w:rPr>
          <w:rFonts w:ascii="Times New Roman" w:hAnsi="Times New Roman" w:cs="Times New Roman"/>
          <w:color w:val="000000"/>
          <w:sz w:val="28"/>
          <w:szCs w:val="28"/>
          <w:lang w:val="uk-UA"/>
        </w:rPr>
        <w:t xml:space="preserve">5). До того ж </w:t>
      </w:r>
      <w:r w:rsidR="00135E6A" w:rsidRPr="009C46D3">
        <w:rPr>
          <w:rFonts w:ascii="Times New Roman" w:hAnsi="Times New Roman" w:cs="Times New Roman"/>
          <w:sz w:val="28"/>
          <w:szCs w:val="28"/>
          <w:lang w:val="uk-UA"/>
        </w:rPr>
        <w:t>фактор носійства цього алеля також не мав асоціації з рівнем досліджуваних імуноглобулінів як самостійно, так і у взаємодії з іншими контрольованими в дослідженні факторами (наявність діагнозу, гомо/гетерозиготність).</w:t>
      </w:r>
    </w:p>
    <w:p w14:paraId="047C72ED" w14:textId="07248135" w:rsidR="00346B70" w:rsidRPr="00AC5AD6" w:rsidRDefault="00346B70" w:rsidP="00AE0FB9">
      <w:pPr>
        <w:spacing w:after="0" w:line="360" w:lineRule="auto"/>
        <w:ind w:firstLine="709"/>
        <w:jc w:val="both"/>
        <w:rPr>
          <w:rFonts w:ascii="Times New Roman" w:hAnsi="Times New Roman"/>
          <w:sz w:val="28"/>
          <w:szCs w:val="28"/>
          <w:lang w:val="uk-UA"/>
        </w:rPr>
      </w:pPr>
      <w:r w:rsidRPr="00AE0FB9">
        <w:rPr>
          <w:rFonts w:ascii="Times New Roman" w:hAnsi="Times New Roman"/>
          <w:sz w:val="28"/>
          <w:szCs w:val="28"/>
          <w:lang w:val="uk-UA"/>
        </w:rPr>
        <w:t xml:space="preserve">Досвід генотипування стоматологічних пацієнтів з атопічними захворюваннями за SNP </w:t>
      </w:r>
      <w:r w:rsidRPr="00AC5AD6">
        <w:rPr>
          <w:rFonts w:ascii="Times New Roman" w:hAnsi="Times New Roman"/>
          <w:sz w:val="28"/>
          <w:szCs w:val="28"/>
          <w:lang w:val="uk-UA"/>
        </w:rPr>
        <w:t>rs63750399 у порівнянні із контрольною групою</w:t>
      </w:r>
      <w:r w:rsidR="00AE0FB9" w:rsidRPr="00AC5AD6">
        <w:rPr>
          <w:rFonts w:ascii="Times New Roman" w:hAnsi="Times New Roman"/>
          <w:sz w:val="28"/>
          <w:szCs w:val="28"/>
          <w:lang w:val="uk-UA"/>
        </w:rPr>
        <w:t xml:space="preserve"> виявив дещо інші закономірності.</w:t>
      </w:r>
    </w:p>
    <w:p w14:paraId="3551A7DE" w14:textId="6BD8BD6D" w:rsidR="00346B70" w:rsidRDefault="00346B70" w:rsidP="00346B70">
      <w:pPr>
        <w:spacing w:after="0" w:line="360" w:lineRule="auto"/>
        <w:ind w:firstLine="708"/>
        <w:jc w:val="both"/>
        <w:rPr>
          <w:rFonts w:ascii="Times New Roman" w:hAnsi="Times New Roman"/>
          <w:sz w:val="28"/>
          <w:szCs w:val="28"/>
          <w:lang w:val="uk-UA"/>
        </w:rPr>
      </w:pPr>
      <w:r w:rsidRPr="00AC5AD6">
        <w:rPr>
          <w:rFonts w:ascii="Times New Roman" w:hAnsi="Times New Roman"/>
          <w:sz w:val="28"/>
          <w:szCs w:val="28"/>
          <w:lang w:val="uk-UA"/>
        </w:rPr>
        <w:t xml:space="preserve">Аналіз </w:t>
      </w:r>
      <w:r w:rsidR="00AE0FB9" w:rsidRPr="00AC5AD6">
        <w:rPr>
          <w:rFonts w:ascii="Times New Roman" w:hAnsi="Times New Roman"/>
          <w:sz w:val="28"/>
          <w:szCs w:val="28"/>
          <w:lang w:val="uk-UA"/>
        </w:rPr>
        <w:t>поліморфізму довжин рестрикційних фрагментів</w:t>
      </w:r>
      <w:r w:rsidRPr="00AC5AD6">
        <w:rPr>
          <w:rFonts w:ascii="Times New Roman" w:hAnsi="Times New Roman"/>
          <w:sz w:val="28"/>
          <w:szCs w:val="28"/>
          <w:lang w:val="uk-UA"/>
        </w:rPr>
        <w:t xml:space="preserve"> дозволив встановити генотип 49 осіб за поліморфізмом </w:t>
      </w:r>
      <w:r w:rsidRPr="00AC5AD6">
        <w:rPr>
          <w:rFonts w:ascii="Times New Roman" w:hAnsi="Times New Roman"/>
          <w:sz w:val="28"/>
          <w:szCs w:val="28"/>
        </w:rPr>
        <w:t>rs</w:t>
      </w:r>
      <w:r w:rsidRPr="00AC5AD6">
        <w:rPr>
          <w:rFonts w:ascii="Times New Roman" w:hAnsi="Times New Roman"/>
          <w:sz w:val="28"/>
          <w:szCs w:val="28"/>
          <w:lang w:val="uk-UA"/>
        </w:rPr>
        <w:t>63750399, з</w:t>
      </w:r>
      <w:r>
        <w:rPr>
          <w:rFonts w:ascii="Times New Roman" w:hAnsi="Times New Roman"/>
          <w:sz w:val="28"/>
          <w:szCs w:val="28"/>
          <w:lang w:val="uk-UA"/>
        </w:rPr>
        <w:t xml:space="preserve"> яких 35 – пацієнти основної групи, 14 </w:t>
      </w:r>
      <w:r w:rsidR="0006458A">
        <w:rPr>
          <w:rFonts w:ascii="Times New Roman" w:hAnsi="Times New Roman"/>
          <w:sz w:val="28"/>
          <w:szCs w:val="28"/>
          <w:lang w:val="uk-UA"/>
        </w:rPr>
        <w:t>–</w:t>
      </w:r>
      <w:r>
        <w:rPr>
          <w:rFonts w:ascii="Times New Roman" w:hAnsi="Times New Roman"/>
          <w:sz w:val="28"/>
          <w:szCs w:val="28"/>
          <w:lang w:val="uk-UA"/>
        </w:rPr>
        <w:t xml:space="preserve"> контрольної</w:t>
      </w:r>
      <w:r w:rsidRPr="00715756">
        <w:rPr>
          <w:rFonts w:ascii="Times New Roman" w:hAnsi="Times New Roman"/>
          <w:sz w:val="28"/>
          <w:szCs w:val="28"/>
          <w:lang w:val="uk-UA"/>
        </w:rPr>
        <w:t xml:space="preserve">. </w:t>
      </w:r>
      <w:r>
        <w:rPr>
          <w:rFonts w:ascii="Times New Roman" w:hAnsi="Times New Roman"/>
          <w:sz w:val="28"/>
          <w:szCs w:val="28"/>
          <w:lang w:val="uk-UA"/>
        </w:rPr>
        <w:t xml:space="preserve">В жодного пацієнта не було виявлено очікуваного мутантного алелю </w:t>
      </w:r>
      <w:r w:rsidRPr="004D2CF4">
        <w:rPr>
          <w:rFonts w:ascii="Times New Roman" w:hAnsi="Times New Roman"/>
          <w:i/>
          <w:sz w:val="28"/>
          <w:szCs w:val="28"/>
        </w:rPr>
        <w:t>G</w:t>
      </w:r>
      <w:r>
        <w:rPr>
          <w:rFonts w:ascii="Times New Roman" w:hAnsi="Times New Roman"/>
          <w:sz w:val="28"/>
          <w:szCs w:val="28"/>
          <w:lang w:val="uk-UA"/>
        </w:rPr>
        <w:t>. Але в одного з пацієнтів контрольної групи після рестрикції спостерігався додатковий продукт довжиною приблизно 90 п.н. Ще в двох пацієнтів основної групи після рестрикції не було виявлено жодного продукту. Серед можливих механізмів виникнення таких варіантів є поява додаткових сайтів рестрикції внаслідок мутацій різного типу (заміни нуклеотидів, інсерцій, випадіння, тощо). Аналіз подібних змін може бути предметом самостійного дослідження.</w:t>
      </w:r>
    </w:p>
    <w:p w14:paraId="78DE5554" w14:textId="7E5E474F" w:rsidR="00346B70" w:rsidRPr="00AC5AD6" w:rsidRDefault="00346B70" w:rsidP="00AC5AD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Слід наголосити, що подібна однорідність вибірки (відсутність варіабельності генотипів за досліджуваним поліморфізмом) незалежно від приналежності особи до контрольної чи основної групі, а також від стоматологічного статусу, свідчить про безперспективність даного поліморфізму відносно пошуку асоціацій із показниками, що характеризують здоров</w:t>
      </w:r>
      <w:r w:rsidR="0006458A">
        <w:rPr>
          <w:rFonts w:ascii="Times New Roman" w:hAnsi="Times New Roman"/>
          <w:sz w:val="28"/>
          <w:szCs w:val="28"/>
          <w:lang w:val="uk-UA"/>
        </w:rPr>
        <w:t>’</w:t>
      </w:r>
      <w:r>
        <w:rPr>
          <w:rFonts w:ascii="Times New Roman" w:hAnsi="Times New Roman"/>
          <w:sz w:val="28"/>
          <w:szCs w:val="28"/>
          <w:lang w:val="uk-UA"/>
        </w:rPr>
        <w:t>я ротової порожнини пацієн</w:t>
      </w:r>
      <w:r w:rsidR="00AC5AD6">
        <w:rPr>
          <w:rFonts w:ascii="Times New Roman" w:hAnsi="Times New Roman"/>
          <w:sz w:val="28"/>
          <w:szCs w:val="28"/>
          <w:lang w:val="uk-UA"/>
        </w:rPr>
        <w:t>тів з атопічними захворюваннями.</w:t>
      </w:r>
    </w:p>
    <w:p w14:paraId="34E60142" w14:textId="2FC8F1ED" w:rsidR="00770E10" w:rsidRPr="00AE0FB9" w:rsidRDefault="00770E10" w:rsidP="00AC5AD6">
      <w:pPr>
        <w:autoSpaceDE w:val="0"/>
        <w:autoSpaceDN w:val="0"/>
        <w:adjustRightInd w:val="0"/>
        <w:spacing w:after="0" w:line="360" w:lineRule="auto"/>
        <w:ind w:firstLine="709"/>
        <w:jc w:val="both"/>
        <w:rPr>
          <w:rFonts w:ascii="Times New Roman" w:hAnsi="Times New Roman"/>
          <w:sz w:val="28"/>
          <w:szCs w:val="28"/>
          <w:lang w:val="uk-UA"/>
        </w:rPr>
      </w:pPr>
      <w:r w:rsidRPr="00AE0FB9">
        <w:rPr>
          <w:rFonts w:ascii="Times New Roman" w:hAnsi="Times New Roman"/>
          <w:sz w:val="28"/>
          <w:szCs w:val="28"/>
          <w:lang w:val="uk-UA"/>
        </w:rPr>
        <w:t>Характеристика дітей мешканців Харківської області зі стоматологічною патологією на тлі атопічних захворювань за SNP rs1800896</w:t>
      </w:r>
      <w:r w:rsidR="00AE0FB9" w:rsidRPr="00AE0FB9">
        <w:rPr>
          <w:rFonts w:ascii="Times New Roman" w:hAnsi="Times New Roman"/>
          <w:sz w:val="28"/>
          <w:szCs w:val="28"/>
          <w:lang w:val="uk-UA"/>
        </w:rPr>
        <w:t xml:space="preserve"> також відрізнявся від попередніх результатів.</w:t>
      </w:r>
    </w:p>
    <w:p w14:paraId="77757150" w14:textId="50EA0550" w:rsidR="00BD034E" w:rsidRPr="00887419" w:rsidRDefault="00770E10" w:rsidP="00887419">
      <w:pPr>
        <w:spacing w:after="0" w:line="360" w:lineRule="auto"/>
        <w:ind w:firstLine="709"/>
        <w:jc w:val="both"/>
        <w:rPr>
          <w:rFonts w:ascii="Times New Roman" w:hAnsi="Times New Roman"/>
          <w:sz w:val="28"/>
          <w:szCs w:val="28"/>
          <w:lang w:val="ru-RU"/>
        </w:rPr>
      </w:pPr>
      <w:r w:rsidRPr="001B171A">
        <w:rPr>
          <w:rFonts w:ascii="Times New Roman" w:hAnsi="Times New Roman"/>
          <w:sz w:val="28"/>
          <w:szCs w:val="28"/>
          <w:lang w:val="uk-UA"/>
        </w:rPr>
        <w:t xml:space="preserve">Аналіз ПДРФ дозволив встановити генотип </w:t>
      </w:r>
      <w:r>
        <w:rPr>
          <w:rFonts w:ascii="Times New Roman" w:hAnsi="Times New Roman"/>
          <w:sz w:val="28"/>
          <w:szCs w:val="28"/>
          <w:lang w:val="uk-UA"/>
        </w:rPr>
        <w:t>36</w:t>
      </w:r>
      <w:r w:rsidRPr="001B171A">
        <w:rPr>
          <w:rFonts w:ascii="Times New Roman" w:hAnsi="Times New Roman"/>
          <w:sz w:val="28"/>
          <w:szCs w:val="28"/>
          <w:lang w:val="uk-UA"/>
        </w:rPr>
        <w:t xml:space="preserve"> осіб за поліморфізмом </w:t>
      </w:r>
      <w:r w:rsidRPr="00AC5AD6">
        <w:rPr>
          <w:rFonts w:ascii="Times New Roman" w:hAnsi="Times New Roman"/>
          <w:sz w:val="28"/>
          <w:szCs w:val="28"/>
          <w:lang w:val="uk-UA"/>
        </w:rPr>
        <w:t>rs1800896.</w:t>
      </w:r>
      <w:r w:rsidRPr="001B171A">
        <w:rPr>
          <w:rFonts w:ascii="Times New Roman" w:hAnsi="Times New Roman"/>
          <w:sz w:val="28"/>
          <w:szCs w:val="28"/>
          <w:lang w:val="uk-UA"/>
        </w:rPr>
        <w:t xml:space="preserve"> </w:t>
      </w:r>
      <w:r>
        <w:rPr>
          <w:rFonts w:ascii="Times New Roman" w:hAnsi="Times New Roman"/>
          <w:sz w:val="28"/>
          <w:szCs w:val="28"/>
          <w:lang w:val="uk-UA"/>
        </w:rPr>
        <w:t>Генотип інших осіб не вдалося встановити через відсутність продукту ампліфікації.</w:t>
      </w:r>
      <w:r w:rsidRPr="001B171A">
        <w:rPr>
          <w:rFonts w:ascii="Times New Roman" w:hAnsi="Times New Roman"/>
          <w:sz w:val="28"/>
          <w:szCs w:val="28"/>
          <w:lang w:val="uk-UA"/>
        </w:rPr>
        <w:t xml:space="preserve"> Можна припустити наявність </w:t>
      </w:r>
      <w:r>
        <w:rPr>
          <w:rFonts w:ascii="Times New Roman" w:hAnsi="Times New Roman"/>
          <w:sz w:val="28"/>
          <w:szCs w:val="28"/>
          <w:lang w:val="uk-UA"/>
        </w:rPr>
        <w:t>у цих пацієнтів мутацій у ділянках гібридизації праймерів</w:t>
      </w:r>
      <w:r w:rsidRPr="001B171A">
        <w:rPr>
          <w:rFonts w:ascii="Times New Roman" w:hAnsi="Times New Roman"/>
          <w:sz w:val="28"/>
          <w:szCs w:val="28"/>
          <w:lang w:val="uk-UA"/>
        </w:rPr>
        <w:t xml:space="preserve">, що </w:t>
      </w:r>
      <w:r>
        <w:rPr>
          <w:rFonts w:ascii="Times New Roman" w:hAnsi="Times New Roman"/>
          <w:sz w:val="28"/>
          <w:szCs w:val="28"/>
          <w:lang w:val="uk-UA"/>
        </w:rPr>
        <w:t>унеможливлює ПЛР</w:t>
      </w:r>
      <w:r w:rsidRPr="001B171A">
        <w:rPr>
          <w:rFonts w:ascii="Times New Roman" w:hAnsi="Times New Roman"/>
          <w:spacing w:val="15"/>
          <w:sz w:val="28"/>
          <w:szCs w:val="28"/>
          <w:lang w:val="uk-UA"/>
        </w:rPr>
        <w:t xml:space="preserve">, але </w:t>
      </w:r>
      <w:r>
        <w:rPr>
          <w:rFonts w:ascii="Times New Roman" w:hAnsi="Times New Roman"/>
          <w:spacing w:val="15"/>
          <w:sz w:val="28"/>
          <w:szCs w:val="28"/>
          <w:lang w:val="uk-UA"/>
        </w:rPr>
        <w:t>таке</w:t>
      </w:r>
      <w:r w:rsidRPr="001B171A">
        <w:rPr>
          <w:rFonts w:ascii="Times New Roman" w:hAnsi="Times New Roman"/>
          <w:spacing w:val="15"/>
          <w:sz w:val="28"/>
          <w:szCs w:val="28"/>
          <w:lang w:val="uk-UA"/>
        </w:rPr>
        <w:t xml:space="preserve"> припущення потребує детальн</w:t>
      </w:r>
      <w:r>
        <w:rPr>
          <w:rFonts w:ascii="Times New Roman" w:hAnsi="Times New Roman"/>
          <w:spacing w:val="15"/>
          <w:sz w:val="28"/>
          <w:szCs w:val="28"/>
          <w:lang w:val="uk-UA"/>
        </w:rPr>
        <w:t>ішої</w:t>
      </w:r>
      <w:r w:rsidRPr="001B171A">
        <w:rPr>
          <w:rFonts w:ascii="Times New Roman" w:hAnsi="Times New Roman"/>
          <w:spacing w:val="15"/>
          <w:sz w:val="28"/>
          <w:szCs w:val="28"/>
          <w:lang w:val="uk-UA"/>
        </w:rPr>
        <w:t xml:space="preserve"> експериментальної перевірки</w:t>
      </w:r>
      <w:r>
        <w:rPr>
          <w:rFonts w:ascii="Times New Roman" w:hAnsi="Times New Roman"/>
          <w:spacing w:val="15"/>
          <w:sz w:val="28"/>
          <w:szCs w:val="28"/>
          <w:lang w:val="uk-UA"/>
        </w:rPr>
        <w:t xml:space="preserve"> (ампліфікація та</w:t>
      </w:r>
      <w:r w:rsidRPr="007D0303">
        <w:rPr>
          <w:rFonts w:ascii="Times New Roman" w:hAnsi="Times New Roman"/>
          <w:spacing w:val="15"/>
          <w:sz w:val="28"/>
          <w:szCs w:val="28"/>
          <w:lang w:val="uk-UA"/>
        </w:rPr>
        <w:t xml:space="preserve"> </w:t>
      </w:r>
      <w:r>
        <w:rPr>
          <w:rFonts w:ascii="Times New Roman" w:hAnsi="Times New Roman"/>
          <w:spacing w:val="15"/>
          <w:sz w:val="28"/>
          <w:szCs w:val="28"/>
          <w:lang w:val="uk-UA"/>
        </w:rPr>
        <w:t>секвенування ділянок гібридизації праймерів)</w:t>
      </w:r>
      <w:r w:rsidRPr="001B171A">
        <w:rPr>
          <w:rFonts w:ascii="Times New Roman" w:hAnsi="Times New Roman"/>
          <w:spacing w:val="15"/>
          <w:sz w:val="28"/>
          <w:szCs w:val="28"/>
          <w:lang w:val="uk-UA"/>
        </w:rPr>
        <w:t>.</w:t>
      </w:r>
      <w:r w:rsidRPr="001B171A">
        <w:rPr>
          <w:rFonts w:ascii="Times New Roman" w:hAnsi="Times New Roman"/>
          <w:sz w:val="28"/>
          <w:szCs w:val="28"/>
          <w:lang w:val="uk-UA"/>
        </w:rPr>
        <w:t xml:space="preserve"> Серед </w:t>
      </w:r>
      <w:r>
        <w:rPr>
          <w:rFonts w:ascii="Times New Roman" w:hAnsi="Times New Roman"/>
          <w:sz w:val="28"/>
          <w:szCs w:val="28"/>
          <w:lang w:val="uk-UA"/>
        </w:rPr>
        <w:t>36</w:t>
      </w:r>
      <w:r w:rsidRPr="001B171A">
        <w:rPr>
          <w:rFonts w:ascii="Times New Roman" w:hAnsi="Times New Roman"/>
          <w:sz w:val="28"/>
          <w:szCs w:val="28"/>
          <w:lang w:val="uk-UA"/>
        </w:rPr>
        <w:t xml:space="preserve"> пацієнт</w:t>
      </w:r>
      <w:r>
        <w:rPr>
          <w:rFonts w:ascii="Times New Roman" w:hAnsi="Times New Roman"/>
          <w:sz w:val="28"/>
          <w:szCs w:val="28"/>
          <w:lang w:val="uk-UA"/>
        </w:rPr>
        <w:t>ів</w:t>
      </w:r>
      <w:r w:rsidRPr="001B171A">
        <w:rPr>
          <w:rFonts w:ascii="Times New Roman" w:hAnsi="Times New Roman"/>
          <w:sz w:val="28"/>
          <w:szCs w:val="28"/>
          <w:lang w:val="uk-UA"/>
        </w:rPr>
        <w:t xml:space="preserve">, для яких було ідентифіковано генотип за даним поліморфізмом, гомозиготність за алелем </w:t>
      </w:r>
      <w:r>
        <w:rPr>
          <w:rFonts w:ascii="Times New Roman" w:hAnsi="Times New Roman"/>
          <w:i/>
          <w:sz w:val="28"/>
          <w:szCs w:val="28"/>
          <w:lang w:val="uk-UA"/>
        </w:rPr>
        <w:t>А</w:t>
      </w:r>
      <w:r w:rsidRPr="001B171A">
        <w:rPr>
          <w:rFonts w:ascii="Times New Roman" w:hAnsi="Times New Roman"/>
          <w:sz w:val="28"/>
          <w:szCs w:val="28"/>
          <w:lang w:val="uk-UA"/>
        </w:rPr>
        <w:t xml:space="preserve"> встановлено </w:t>
      </w:r>
      <w:r>
        <w:rPr>
          <w:rFonts w:ascii="Times New Roman" w:hAnsi="Times New Roman"/>
          <w:sz w:val="28"/>
          <w:szCs w:val="28"/>
          <w:lang w:val="uk-UA"/>
        </w:rPr>
        <w:t>для</w:t>
      </w:r>
      <w:r w:rsidRPr="001B171A">
        <w:rPr>
          <w:rFonts w:ascii="Times New Roman" w:hAnsi="Times New Roman"/>
          <w:sz w:val="28"/>
          <w:szCs w:val="28"/>
          <w:lang w:val="uk-UA"/>
        </w:rPr>
        <w:t xml:space="preserve"> </w:t>
      </w:r>
      <w:r>
        <w:rPr>
          <w:rFonts w:ascii="Times New Roman" w:hAnsi="Times New Roman"/>
          <w:sz w:val="28"/>
          <w:szCs w:val="28"/>
          <w:lang w:val="uk-UA"/>
        </w:rPr>
        <w:t>18</w:t>
      </w:r>
      <w:r w:rsidRPr="001B171A">
        <w:rPr>
          <w:rFonts w:ascii="Times New Roman" w:hAnsi="Times New Roman"/>
          <w:sz w:val="28"/>
          <w:szCs w:val="28"/>
          <w:lang w:val="uk-UA"/>
        </w:rPr>
        <w:t xml:space="preserve"> осіб, гомозиготність за алелем </w:t>
      </w:r>
      <w:r w:rsidRPr="00E039EF">
        <w:rPr>
          <w:rFonts w:ascii="Times New Roman" w:hAnsi="Times New Roman"/>
          <w:i/>
          <w:sz w:val="28"/>
          <w:szCs w:val="28"/>
        </w:rPr>
        <w:t>G</w:t>
      </w:r>
      <w:r w:rsidRPr="001B171A">
        <w:rPr>
          <w:rFonts w:ascii="Times New Roman" w:hAnsi="Times New Roman"/>
          <w:sz w:val="28"/>
          <w:szCs w:val="28"/>
          <w:lang w:val="uk-UA"/>
        </w:rPr>
        <w:t xml:space="preserve"> – </w:t>
      </w:r>
      <w:r>
        <w:rPr>
          <w:rFonts w:ascii="Times New Roman" w:hAnsi="Times New Roman"/>
          <w:sz w:val="28"/>
          <w:szCs w:val="28"/>
          <w:lang w:val="uk-UA"/>
        </w:rPr>
        <w:t>для</w:t>
      </w:r>
      <w:r w:rsidRPr="001B171A">
        <w:rPr>
          <w:rFonts w:ascii="Times New Roman" w:hAnsi="Times New Roman"/>
          <w:sz w:val="28"/>
          <w:szCs w:val="28"/>
          <w:lang w:val="uk-UA"/>
        </w:rPr>
        <w:t xml:space="preserve"> </w:t>
      </w:r>
      <w:r w:rsidRPr="00770E10">
        <w:rPr>
          <w:rFonts w:ascii="Times New Roman" w:hAnsi="Times New Roman"/>
          <w:sz w:val="28"/>
          <w:szCs w:val="28"/>
          <w:lang w:val="ru-RU"/>
        </w:rPr>
        <w:t>8</w:t>
      </w:r>
      <w:r w:rsidRPr="001B171A">
        <w:rPr>
          <w:rFonts w:ascii="Times New Roman" w:hAnsi="Times New Roman"/>
          <w:sz w:val="28"/>
          <w:szCs w:val="28"/>
          <w:lang w:val="uk-UA"/>
        </w:rPr>
        <w:t xml:space="preserve"> осіб</w:t>
      </w:r>
      <w:r>
        <w:rPr>
          <w:rFonts w:ascii="Times New Roman" w:hAnsi="Times New Roman"/>
          <w:sz w:val="28"/>
          <w:szCs w:val="28"/>
          <w:lang w:val="uk-UA"/>
        </w:rPr>
        <w:t>,</w:t>
      </w:r>
      <w:r w:rsidRPr="001B171A">
        <w:rPr>
          <w:rFonts w:ascii="Times New Roman" w:hAnsi="Times New Roman"/>
          <w:sz w:val="28"/>
          <w:szCs w:val="28"/>
          <w:lang w:val="uk-UA"/>
        </w:rPr>
        <w:t xml:space="preserve"> гетерозиготність</w:t>
      </w:r>
      <w:r>
        <w:rPr>
          <w:rFonts w:ascii="Times New Roman" w:hAnsi="Times New Roman"/>
          <w:sz w:val="28"/>
          <w:szCs w:val="28"/>
          <w:lang w:val="uk-UA"/>
        </w:rPr>
        <w:t xml:space="preserve"> (генотип </w:t>
      </w:r>
      <w:r>
        <w:rPr>
          <w:rFonts w:ascii="Times New Roman" w:hAnsi="Times New Roman"/>
          <w:i/>
          <w:sz w:val="28"/>
          <w:szCs w:val="28"/>
          <w:lang w:val="uk-UA"/>
        </w:rPr>
        <w:t>А</w:t>
      </w:r>
      <w:r w:rsidRPr="00E039EF">
        <w:rPr>
          <w:rFonts w:ascii="Times New Roman" w:hAnsi="Times New Roman"/>
          <w:i/>
          <w:sz w:val="28"/>
          <w:szCs w:val="28"/>
        </w:rPr>
        <w:t>G</w:t>
      </w:r>
      <w:r w:rsidRPr="00B66D87">
        <w:rPr>
          <w:rFonts w:ascii="Times New Roman" w:hAnsi="Times New Roman"/>
          <w:sz w:val="28"/>
          <w:szCs w:val="28"/>
          <w:lang w:val="uk-UA"/>
        </w:rPr>
        <w:t>)</w:t>
      </w:r>
      <w:r w:rsidRPr="001B171A">
        <w:rPr>
          <w:rFonts w:ascii="Times New Roman" w:hAnsi="Times New Roman"/>
          <w:sz w:val="28"/>
          <w:szCs w:val="28"/>
          <w:lang w:val="uk-UA"/>
        </w:rPr>
        <w:t xml:space="preserve"> – </w:t>
      </w:r>
      <w:r>
        <w:rPr>
          <w:rFonts w:ascii="Times New Roman" w:hAnsi="Times New Roman"/>
          <w:sz w:val="28"/>
          <w:szCs w:val="28"/>
          <w:lang w:val="uk-UA"/>
        </w:rPr>
        <w:t>для</w:t>
      </w:r>
      <w:r w:rsidRPr="001B171A">
        <w:rPr>
          <w:rFonts w:ascii="Times New Roman" w:hAnsi="Times New Roman"/>
          <w:sz w:val="28"/>
          <w:szCs w:val="28"/>
          <w:lang w:val="uk-UA"/>
        </w:rPr>
        <w:t xml:space="preserve"> </w:t>
      </w:r>
      <w:r>
        <w:rPr>
          <w:rFonts w:ascii="Times New Roman" w:hAnsi="Times New Roman"/>
          <w:sz w:val="28"/>
          <w:szCs w:val="28"/>
          <w:lang w:val="uk-UA"/>
        </w:rPr>
        <w:t>10</w:t>
      </w:r>
      <w:r w:rsidRPr="001B171A">
        <w:rPr>
          <w:rFonts w:ascii="Times New Roman" w:hAnsi="Times New Roman"/>
          <w:sz w:val="28"/>
          <w:szCs w:val="28"/>
          <w:lang w:val="uk-UA"/>
        </w:rPr>
        <w:t xml:space="preserve"> осіб. </w:t>
      </w:r>
      <w:r>
        <w:rPr>
          <w:rFonts w:ascii="Times New Roman" w:hAnsi="Times New Roman"/>
          <w:sz w:val="28"/>
          <w:szCs w:val="28"/>
          <w:lang w:val="uk-UA"/>
        </w:rPr>
        <w:t>За о</w:t>
      </w:r>
      <w:r w:rsidRPr="001B171A">
        <w:rPr>
          <w:rFonts w:ascii="Times New Roman" w:hAnsi="Times New Roman"/>
          <w:sz w:val="28"/>
          <w:szCs w:val="28"/>
          <w:lang w:val="uk-UA"/>
        </w:rPr>
        <w:t>триман</w:t>
      </w:r>
      <w:r>
        <w:rPr>
          <w:rFonts w:ascii="Times New Roman" w:hAnsi="Times New Roman"/>
          <w:sz w:val="28"/>
          <w:szCs w:val="28"/>
          <w:lang w:val="uk-UA"/>
        </w:rPr>
        <w:t>ими</w:t>
      </w:r>
      <w:r w:rsidRPr="001B171A">
        <w:rPr>
          <w:rFonts w:ascii="Times New Roman" w:hAnsi="Times New Roman"/>
          <w:sz w:val="28"/>
          <w:szCs w:val="28"/>
          <w:lang w:val="uk-UA"/>
        </w:rPr>
        <w:t xml:space="preserve"> дан</w:t>
      </w:r>
      <w:r>
        <w:rPr>
          <w:rFonts w:ascii="Times New Roman" w:hAnsi="Times New Roman"/>
          <w:sz w:val="28"/>
          <w:szCs w:val="28"/>
          <w:lang w:val="uk-UA"/>
        </w:rPr>
        <w:t>ими</w:t>
      </w:r>
      <w:r w:rsidRPr="001B171A">
        <w:rPr>
          <w:rFonts w:ascii="Times New Roman" w:hAnsi="Times New Roman"/>
          <w:sz w:val="28"/>
          <w:szCs w:val="28"/>
          <w:lang w:val="uk-UA"/>
        </w:rPr>
        <w:t xml:space="preserve"> </w:t>
      </w:r>
      <w:r>
        <w:rPr>
          <w:rFonts w:ascii="Times New Roman" w:hAnsi="Times New Roman"/>
          <w:sz w:val="28"/>
          <w:szCs w:val="28"/>
          <w:lang w:val="uk-UA"/>
        </w:rPr>
        <w:t>були</w:t>
      </w:r>
      <w:r w:rsidRPr="001B171A">
        <w:rPr>
          <w:rFonts w:ascii="Times New Roman" w:hAnsi="Times New Roman"/>
          <w:sz w:val="28"/>
          <w:szCs w:val="28"/>
          <w:lang w:val="uk-UA"/>
        </w:rPr>
        <w:t xml:space="preserve"> розрах</w:t>
      </w:r>
      <w:r>
        <w:rPr>
          <w:rFonts w:ascii="Times New Roman" w:hAnsi="Times New Roman"/>
          <w:sz w:val="28"/>
          <w:szCs w:val="28"/>
          <w:lang w:val="uk-UA"/>
        </w:rPr>
        <w:t>овані</w:t>
      </w:r>
      <w:r w:rsidRPr="001B171A">
        <w:rPr>
          <w:rFonts w:ascii="Times New Roman" w:hAnsi="Times New Roman"/>
          <w:sz w:val="28"/>
          <w:szCs w:val="28"/>
          <w:lang w:val="uk-UA"/>
        </w:rPr>
        <w:t xml:space="preserve"> частоти алелів та генотипів </w:t>
      </w:r>
      <w:r>
        <w:rPr>
          <w:rFonts w:ascii="Times New Roman" w:hAnsi="Times New Roman"/>
          <w:sz w:val="28"/>
          <w:szCs w:val="28"/>
          <w:lang w:val="uk-UA"/>
        </w:rPr>
        <w:t xml:space="preserve">у досліджуваній вибірці </w:t>
      </w:r>
      <w:r w:rsidR="00AE0FB9">
        <w:rPr>
          <w:rFonts w:ascii="Times New Roman" w:hAnsi="Times New Roman"/>
          <w:sz w:val="28"/>
          <w:szCs w:val="28"/>
          <w:lang w:val="uk-UA"/>
        </w:rPr>
        <w:t>за даним поліморфізмом (т</w:t>
      </w:r>
      <w:r w:rsidRPr="001B171A">
        <w:rPr>
          <w:rFonts w:ascii="Times New Roman" w:hAnsi="Times New Roman"/>
          <w:sz w:val="28"/>
          <w:szCs w:val="28"/>
          <w:lang w:val="uk-UA"/>
        </w:rPr>
        <w:t>абл.</w:t>
      </w:r>
      <w:r w:rsidR="00D0270E">
        <w:rPr>
          <w:rFonts w:ascii="Times New Roman" w:hAnsi="Times New Roman"/>
          <w:sz w:val="28"/>
          <w:szCs w:val="28"/>
          <w:lang w:val="uk-UA"/>
        </w:rPr>
        <w:t xml:space="preserve"> 6</w:t>
      </w:r>
      <w:r w:rsidR="00AE0FB9">
        <w:rPr>
          <w:rFonts w:ascii="Times New Roman" w:hAnsi="Times New Roman"/>
          <w:sz w:val="28"/>
          <w:szCs w:val="28"/>
          <w:lang w:val="uk-UA"/>
        </w:rPr>
        <w:t>.4</w:t>
      </w:r>
      <w:r w:rsidRPr="001B171A">
        <w:rPr>
          <w:rFonts w:ascii="Times New Roman" w:hAnsi="Times New Roman"/>
          <w:sz w:val="28"/>
          <w:szCs w:val="28"/>
          <w:lang w:val="uk-UA"/>
        </w:rPr>
        <w:t>).</w:t>
      </w:r>
    </w:p>
    <w:p w14:paraId="4FA31BF3" w14:textId="77777777" w:rsidR="00887419" w:rsidRDefault="00887419" w:rsidP="00887419">
      <w:pPr>
        <w:pStyle w:val="ListParagraph"/>
        <w:spacing w:after="120"/>
        <w:ind w:left="1211"/>
        <w:jc w:val="right"/>
        <w:rPr>
          <w:rFonts w:ascii="Times New Roman" w:hAnsi="Times New Roman"/>
          <w:sz w:val="28"/>
          <w:szCs w:val="28"/>
          <w:lang w:val="uk-UA"/>
        </w:rPr>
      </w:pPr>
    </w:p>
    <w:p w14:paraId="65FF160E" w14:textId="3545B7BE" w:rsidR="00770E10" w:rsidRPr="00AE0FB9" w:rsidRDefault="00770E10" w:rsidP="00887419">
      <w:pPr>
        <w:pStyle w:val="ListParagraph"/>
        <w:spacing w:after="120"/>
        <w:ind w:left="1211"/>
        <w:jc w:val="right"/>
        <w:rPr>
          <w:rFonts w:ascii="Times New Roman" w:hAnsi="Times New Roman"/>
          <w:sz w:val="28"/>
          <w:szCs w:val="28"/>
          <w:lang w:val="uk-UA"/>
        </w:rPr>
      </w:pPr>
      <w:r w:rsidRPr="00AE0FB9">
        <w:rPr>
          <w:rFonts w:ascii="Times New Roman" w:hAnsi="Times New Roman"/>
          <w:sz w:val="28"/>
          <w:szCs w:val="28"/>
          <w:lang w:val="uk-UA"/>
        </w:rPr>
        <w:t xml:space="preserve">Таблиця </w:t>
      </w:r>
      <w:r w:rsidR="00D0270E">
        <w:rPr>
          <w:rFonts w:ascii="Times New Roman" w:hAnsi="Times New Roman"/>
          <w:sz w:val="28"/>
          <w:szCs w:val="28"/>
          <w:lang w:val="uk-UA"/>
        </w:rPr>
        <w:t>6</w:t>
      </w:r>
      <w:r w:rsidR="00AE0FB9" w:rsidRPr="00AE0FB9">
        <w:rPr>
          <w:rFonts w:ascii="Times New Roman" w:hAnsi="Times New Roman"/>
          <w:sz w:val="28"/>
          <w:szCs w:val="28"/>
          <w:lang w:val="uk-UA"/>
        </w:rPr>
        <w:t>.4</w:t>
      </w:r>
    </w:p>
    <w:p w14:paraId="05FE157E" w14:textId="77777777" w:rsidR="00770E10" w:rsidRPr="00D0270E" w:rsidRDefault="00770E10" w:rsidP="00887419">
      <w:pPr>
        <w:spacing w:after="120" w:line="276" w:lineRule="auto"/>
        <w:jc w:val="center"/>
        <w:rPr>
          <w:rFonts w:ascii="Times New Roman" w:hAnsi="Times New Roman"/>
          <w:i/>
          <w:sz w:val="28"/>
          <w:szCs w:val="28"/>
          <w:lang w:val="uk-UA"/>
        </w:rPr>
      </w:pPr>
      <w:r w:rsidRPr="00D0270E">
        <w:rPr>
          <w:rFonts w:ascii="Times New Roman" w:hAnsi="Times New Roman"/>
          <w:sz w:val="28"/>
          <w:szCs w:val="28"/>
          <w:lang w:val="uk-UA"/>
        </w:rPr>
        <w:t xml:space="preserve">Характеристика вибірки за частотами генотипів та алелів за поліморфізмом </w:t>
      </w:r>
      <w:r w:rsidRPr="00D0270E">
        <w:rPr>
          <w:rFonts w:ascii="Times New Roman" w:hAnsi="Times New Roman"/>
          <w:i/>
          <w:sz w:val="28"/>
          <w:szCs w:val="28"/>
          <w:lang w:val="uk-UA"/>
        </w:rPr>
        <w:t>rs</w:t>
      </w:r>
      <w:r w:rsidRPr="00AC5AD6">
        <w:rPr>
          <w:rFonts w:ascii="Times New Roman" w:hAnsi="Times New Roman"/>
          <w:sz w:val="28"/>
          <w:szCs w:val="28"/>
          <w:lang w:val="uk-UA"/>
        </w:rPr>
        <w:t>1800896</w:t>
      </w:r>
    </w:p>
    <w:tbl>
      <w:tblPr>
        <w:tblStyle w:val="TableGrid"/>
        <w:tblW w:w="0" w:type="auto"/>
        <w:tblLayout w:type="fixed"/>
        <w:tblLook w:val="04A0" w:firstRow="1" w:lastRow="0" w:firstColumn="1" w:lastColumn="0" w:noHBand="0" w:noVBand="1"/>
      </w:tblPr>
      <w:tblGrid>
        <w:gridCol w:w="2093"/>
        <w:gridCol w:w="1417"/>
        <w:gridCol w:w="1418"/>
        <w:gridCol w:w="1417"/>
        <w:gridCol w:w="992"/>
        <w:gridCol w:w="1276"/>
        <w:gridCol w:w="958"/>
      </w:tblGrid>
      <w:tr w:rsidR="00770E10" w:rsidRPr="001B171A" w14:paraId="45AE00A6" w14:textId="77777777" w:rsidTr="00346B70">
        <w:tc>
          <w:tcPr>
            <w:tcW w:w="2093" w:type="dxa"/>
          </w:tcPr>
          <w:p w14:paraId="7F8B46A8" w14:textId="77777777" w:rsidR="00770E10" w:rsidRPr="001B171A" w:rsidRDefault="00770E10" w:rsidP="00887419">
            <w:pPr>
              <w:spacing w:after="120" w:line="276" w:lineRule="auto"/>
              <w:rPr>
                <w:sz w:val="28"/>
                <w:szCs w:val="28"/>
                <w:lang w:val="uk-UA"/>
              </w:rPr>
            </w:pPr>
          </w:p>
        </w:tc>
        <w:tc>
          <w:tcPr>
            <w:tcW w:w="4252" w:type="dxa"/>
            <w:gridSpan w:val="3"/>
            <w:vAlign w:val="center"/>
          </w:tcPr>
          <w:p w14:paraId="1D228A9A" w14:textId="77777777" w:rsidR="00770E10" w:rsidRPr="001B171A" w:rsidRDefault="00770E10" w:rsidP="00887419">
            <w:pPr>
              <w:spacing w:after="120" w:line="276" w:lineRule="auto"/>
              <w:jc w:val="center"/>
              <w:rPr>
                <w:sz w:val="28"/>
                <w:szCs w:val="28"/>
                <w:lang w:val="uk-UA"/>
              </w:rPr>
            </w:pPr>
            <w:r w:rsidRPr="001B171A">
              <w:rPr>
                <w:sz w:val="28"/>
                <w:szCs w:val="28"/>
                <w:lang w:val="uk-UA"/>
              </w:rPr>
              <w:t>Частоти генотипів (%)</w:t>
            </w:r>
          </w:p>
        </w:tc>
        <w:tc>
          <w:tcPr>
            <w:tcW w:w="2268" w:type="dxa"/>
            <w:gridSpan w:val="2"/>
            <w:vAlign w:val="center"/>
          </w:tcPr>
          <w:p w14:paraId="512BFB41" w14:textId="77777777" w:rsidR="00770E10" w:rsidRPr="001B171A" w:rsidRDefault="00770E10" w:rsidP="00887419">
            <w:pPr>
              <w:spacing w:after="120" w:line="276" w:lineRule="auto"/>
              <w:jc w:val="center"/>
              <w:rPr>
                <w:sz w:val="28"/>
                <w:szCs w:val="28"/>
                <w:lang w:val="uk-UA"/>
              </w:rPr>
            </w:pPr>
            <w:r w:rsidRPr="001B171A">
              <w:rPr>
                <w:sz w:val="28"/>
                <w:szCs w:val="28"/>
                <w:lang w:val="uk-UA"/>
              </w:rPr>
              <w:t>Частоти алелів</w:t>
            </w:r>
          </w:p>
        </w:tc>
        <w:tc>
          <w:tcPr>
            <w:tcW w:w="958" w:type="dxa"/>
            <w:vMerge w:val="restart"/>
            <w:vAlign w:val="center"/>
          </w:tcPr>
          <w:p w14:paraId="1F52C721" w14:textId="77777777" w:rsidR="00770E10" w:rsidRPr="001B171A" w:rsidRDefault="00770E10" w:rsidP="00887419">
            <w:pPr>
              <w:spacing w:after="120" w:line="276" w:lineRule="auto"/>
              <w:jc w:val="center"/>
              <w:rPr>
                <w:sz w:val="28"/>
                <w:szCs w:val="28"/>
                <w:lang w:val="uk-UA"/>
              </w:rPr>
            </w:pPr>
            <w:r w:rsidRPr="001B171A">
              <w:rPr>
                <w:sz w:val="28"/>
                <w:szCs w:val="28"/>
                <w:lang w:val="uk-UA"/>
              </w:rPr>
              <w:t>χ</w:t>
            </w:r>
            <w:r w:rsidRPr="001B171A">
              <w:rPr>
                <w:sz w:val="28"/>
                <w:szCs w:val="28"/>
                <w:vertAlign w:val="superscript"/>
                <w:lang w:val="uk-UA"/>
              </w:rPr>
              <w:t>2</w:t>
            </w:r>
          </w:p>
        </w:tc>
      </w:tr>
      <w:tr w:rsidR="00770E10" w:rsidRPr="001B171A" w14:paraId="14144B99" w14:textId="77777777" w:rsidTr="00346B70">
        <w:tc>
          <w:tcPr>
            <w:tcW w:w="2093" w:type="dxa"/>
          </w:tcPr>
          <w:p w14:paraId="3F5BBAF8" w14:textId="77777777" w:rsidR="00770E10" w:rsidRPr="001B171A" w:rsidRDefault="00770E10" w:rsidP="00887419">
            <w:pPr>
              <w:spacing w:after="120" w:line="276" w:lineRule="auto"/>
              <w:rPr>
                <w:sz w:val="28"/>
                <w:szCs w:val="28"/>
                <w:lang w:val="uk-UA"/>
              </w:rPr>
            </w:pPr>
          </w:p>
        </w:tc>
        <w:tc>
          <w:tcPr>
            <w:tcW w:w="1417" w:type="dxa"/>
            <w:vAlign w:val="center"/>
          </w:tcPr>
          <w:p w14:paraId="3D208DB1" w14:textId="77777777" w:rsidR="00770E10" w:rsidRPr="001B171A" w:rsidRDefault="00770E10" w:rsidP="00887419">
            <w:pPr>
              <w:spacing w:after="120" w:line="276" w:lineRule="auto"/>
              <w:jc w:val="center"/>
              <w:rPr>
                <w:i/>
                <w:sz w:val="28"/>
                <w:szCs w:val="28"/>
                <w:lang w:val="uk-UA"/>
              </w:rPr>
            </w:pPr>
            <w:r w:rsidRPr="001B171A">
              <w:rPr>
                <w:i/>
                <w:sz w:val="28"/>
                <w:szCs w:val="28"/>
                <w:lang w:val="uk-UA"/>
              </w:rPr>
              <w:t>АА</w:t>
            </w:r>
          </w:p>
        </w:tc>
        <w:tc>
          <w:tcPr>
            <w:tcW w:w="1418" w:type="dxa"/>
            <w:vAlign w:val="center"/>
          </w:tcPr>
          <w:p w14:paraId="24E891B9" w14:textId="77777777" w:rsidR="00770E10" w:rsidRPr="00E039EF" w:rsidRDefault="00770E10" w:rsidP="00887419">
            <w:pPr>
              <w:spacing w:after="120" w:line="276" w:lineRule="auto"/>
              <w:jc w:val="center"/>
              <w:rPr>
                <w:i/>
                <w:sz w:val="28"/>
                <w:szCs w:val="28"/>
                <w:lang w:val="en-US"/>
              </w:rPr>
            </w:pPr>
            <w:r>
              <w:rPr>
                <w:i/>
                <w:sz w:val="28"/>
                <w:szCs w:val="28"/>
                <w:lang w:val="en-US"/>
              </w:rPr>
              <w:t>AG</w:t>
            </w:r>
          </w:p>
        </w:tc>
        <w:tc>
          <w:tcPr>
            <w:tcW w:w="1417" w:type="dxa"/>
            <w:vAlign w:val="center"/>
          </w:tcPr>
          <w:p w14:paraId="092B388F" w14:textId="77777777" w:rsidR="00770E10" w:rsidRPr="00E039EF" w:rsidRDefault="00770E10" w:rsidP="00887419">
            <w:pPr>
              <w:spacing w:after="120" w:line="276" w:lineRule="auto"/>
              <w:jc w:val="center"/>
              <w:rPr>
                <w:i/>
                <w:sz w:val="28"/>
                <w:szCs w:val="28"/>
                <w:lang w:val="en-US"/>
              </w:rPr>
            </w:pPr>
            <w:r>
              <w:rPr>
                <w:i/>
                <w:sz w:val="28"/>
                <w:szCs w:val="28"/>
                <w:lang w:val="en-US"/>
              </w:rPr>
              <w:t>GG</w:t>
            </w:r>
          </w:p>
        </w:tc>
        <w:tc>
          <w:tcPr>
            <w:tcW w:w="992" w:type="dxa"/>
            <w:vAlign w:val="center"/>
          </w:tcPr>
          <w:p w14:paraId="5A256AF6" w14:textId="77777777" w:rsidR="00770E10" w:rsidRPr="00E039EF" w:rsidRDefault="00770E10" w:rsidP="00887419">
            <w:pPr>
              <w:spacing w:after="120" w:line="276" w:lineRule="auto"/>
              <w:jc w:val="center"/>
              <w:rPr>
                <w:i/>
                <w:sz w:val="28"/>
                <w:szCs w:val="28"/>
                <w:lang w:val="en-US"/>
              </w:rPr>
            </w:pPr>
            <w:r>
              <w:rPr>
                <w:i/>
                <w:sz w:val="28"/>
                <w:szCs w:val="28"/>
                <w:lang w:val="en-US"/>
              </w:rPr>
              <w:t>A</w:t>
            </w:r>
          </w:p>
        </w:tc>
        <w:tc>
          <w:tcPr>
            <w:tcW w:w="1276" w:type="dxa"/>
            <w:vAlign w:val="center"/>
          </w:tcPr>
          <w:p w14:paraId="6885553A" w14:textId="77777777" w:rsidR="00770E10" w:rsidRPr="00E039EF" w:rsidRDefault="00770E10" w:rsidP="00887419">
            <w:pPr>
              <w:spacing w:after="120" w:line="276" w:lineRule="auto"/>
              <w:jc w:val="center"/>
              <w:rPr>
                <w:i/>
                <w:sz w:val="28"/>
                <w:szCs w:val="28"/>
                <w:lang w:val="en-US"/>
              </w:rPr>
            </w:pPr>
            <w:r>
              <w:rPr>
                <w:i/>
                <w:sz w:val="28"/>
                <w:szCs w:val="28"/>
                <w:lang w:val="en-US"/>
              </w:rPr>
              <w:t>G</w:t>
            </w:r>
          </w:p>
        </w:tc>
        <w:tc>
          <w:tcPr>
            <w:tcW w:w="958" w:type="dxa"/>
            <w:vMerge/>
          </w:tcPr>
          <w:p w14:paraId="5E23878E" w14:textId="77777777" w:rsidR="00770E10" w:rsidRPr="001B171A" w:rsidRDefault="00770E10" w:rsidP="00887419">
            <w:pPr>
              <w:spacing w:after="120" w:line="276" w:lineRule="auto"/>
              <w:rPr>
                <w:sz w:val="28"/>
                <w:szCs w:val="28"/>
                <w:lang w:val="uk-UA"/>
              </w:rPr>
            </w:pPr>
          </w:p>
        </w:tc>
      </w:tr>
      <w:tr w:rsidR="00770E10" w:rsidRPr="001B171A" w14:paraId="7736F9F8" w14:textId="77777777" w:rsidTr="00346B70">
        <w:tc>
          <w:tcPr>
            <w:tcW w:w="9571" w:type="dxa"/>
            <w:gridSpan w:val="7"/>
            <w:vAlign w:val="center"/>
          </w:tcPr>
          <w:p w14:paraId="69A4ED78" w14:textId="77777777" w:rsidR="00770E10" w:rsidRPr="001B171A" w:rsidRDefault="00770E10" w:rsidP="00887419">
            <w:pPr>
              <w:spacing w:after="120" w:line="276" w:lineRule="auto"/>
              <w:jc w:val="center"/>
              <w:rPr>
                <w:sz w:val="28"/>
                <w:szCs w:val="28"/>
                <w:lang w:val="uk-UA"/>
              </w:rPr>
            </w:pPr>
            <w:r w:rsidRPr="001B171A">
              <w:rPr>
                <w:sz w:val="28"/>
                <w:szCs w:val="28"/>
                <w:lang w:val="uk-UA"/>
              </w:rPr>
              <w:t>Загалом по всій вибірці</w:t>
            </w:r>
          </w:p>
        </w:tc>
      </w:tr>
      <w:tr w:rsidR="00770E10" w:rsidRPr="001B171A" w14:paraId="1172EB50" w14:textId="77777777" w:rsidTr="00346B70">
        <w:tc>
          <w:tcPr>
            <w:tcW w:w="2093" w:type="dxa"/>
          </w:tcPr>
          <w:p w14:paraId="13209615" w14:textId="77777777" w:rsidR="00770E10" w:rsidRPr="001B171A" w:rsidRDefault="00770E10" w:rsidP="00887419">
            <w:pPr>
              <w:spacing w:after="120" w:line="276" w:lineRule="auto"/>
              <w:rPr>
                <w:sz w:val="28"/>
                <w:szCs w:val="28"/>
                <w:lang w:val="uk-UA"/>
              </w:rPr>
            </w:pPr>
            <w:r w:rsidRPr="001B171A">
              <w:rPr>
                <w:sz w:val="28"/>
                <w:szCs w:val="28"/>
                <w:lang w:val="uk-UA"/>
              </w:rPr>
              <w:t>Фактичні</w:t>
            </w:r>
          </w:p>
          <w:p w14:paraId="642A6830"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3</w:t>
            </w:r>
            <w:r>
              <w:rPr>
                <w:sz w:val="28"/>
                <w:szCs w:val="28"/>
                <w:lang w:val="uk-UA"/>
              </w:rPr>
              <w:t>6</w:t>
            </w:r>
            <w:r w:rsidRPr="001B171A">
              <w:rPr>
                <w:sz w:val="28"/>
                <w:szCs w:val="28"/>
                <w:lang w:val="uk-UA"/>
              </w:rPr>
              <w:t>)</w:t>
            </w:r>
          </w:p>
        </w:tc>
        <w:tc>
          <w:tcPr>
            <w:tcW w:w="1417" w:type="dxa"/>
          </w:tcPr>
          <w:p w14:paraId="49EBDAFE" w14:textId="77777777" w:rsidR="00770E10" w:rsidRPr="00B66D87" w:rsidRDefault="00770E10" w:rsidP="00887419">
            <w:pPr>
              <w:spacing w:after="120" w:line="276" w:lineRule="auto"/>
              <w:rPr>
                <w:sz w:val="28"/>
                <w:szCs w:val="28"/>
                <w:lang w:val="uk-UA"/>
              </w:rPr>
            </w:pPr>
            <w:r>
              <w:rPr>
                <w:sz w:val="28"/>
                <w:szCs w:val="28"/>
                <w:lang w:val="uk-UA"/>
              </w:rPr>
              <w:t>50,0</w:t>
            </w:r>
          </w:p>
          <w:p w14:paraId="783D2F24"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uk-UA"/>
              </w:rPr>
              <w:t>18</w:t>
            </w:r>
            <w:r w:rsidRPr="001B171A">
              <w:rPr>
                <w:sz w:val="28"/>
                <w:szCs w:val="28"/>
                <w:lang w:val="uk-UA"/>
              </w:rPr>
              <w:t>)</w:t>
            </w:r>
          </w:p>
        </w:tc>
        <w:tc>
          <w:tcPr>
            <w:tcW w:w="1418" w:type="dxa"/>
          </w:tcPr>
          <w:p w14:paraId="5E46755B" w14:textId="77777777" w:rsidR="00770E10" w:rsidRPr="00B66D87" w:rsidRDefault="00770E10" w:rsidP="00887419">
            <w:pPr>
              <w:spacing w:after="120" w:line="276" w:lineRule="auto"/>
              <w:rPr>
                <w:sz w:val="28"/>
                <w:szCs w:val="28"/>
                <w:lang w:val="uk-UA"/>
              </w:rPr>
            </w:pPr>
            <w:r>
              <w:rPr>
                <w:sz w:val="28"/>
                <w:szCs w:val="28"/>
                <w:lang w:val="uk-UA"/>
              </w:rPr>
              <w:t>27,78</w:t>
            </w:r>
          </w:p>
          <w:p w14:paraId="501118DF"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1</w:t>
            </w:r>
            <w:r>
              <w:rPr>
                <w:sz w:val="28"/>
                <w:szCs w:val="28"/>
                <w:lang w:val="uk-UA"/>
              </w:rPr>
              <w:t>0</w:t>
            </w:r>
            <w:r w:rsidRPr="001B171A">
              <w:rPr>
                <w:sz w:val="28"/>
                <w:szCs w:val="28"/>
                <w:lang w:val="uk-UA"/>
              </w:rPr>
              <w:t>)</w:t>
            </w:r>
          </w:p>
        </w:tc>
        <w:tc>
          <w:tcPr>
            <w:tcW w:w="1417" w:type="dxa"/>
          </w:tcPr>
          <w:p w14:paraId="3AF403AB" w14:textId="77777777" w:rsidR="00770E10" w:rsidRPr="00B66D87" w:rsidRDefault="00770E10" w:rsidP="00887419">
            <w:pPr>
              <w:spacing w:after="120" w:line="276" w:lineRule="auto"/>
              <w:rPr>
                <w:sz w:val="28"/>
                <w:szCs w:val="28"/>
                <w:lang w:val="uk-UA"/>
              </w:rPr>
            </w:pPr>
            <w:r>
              <w:rPr>
                <w:sz w:val="28"/>
                <w:szCs w:val="28"/>
                <w:lang w:val="en-US"/>
              </w:rPr>
              <w:t>22,</w:t>
            </w:r>
            <w:r>
              <w:rPr>
                <w:sz w:val="28"/>
                <w:szCs w:val="28"/>
                <w:lang w:val="uk-UA"/>
              </w:rPr>
              <w:t>22</w:t>
            </w:r>
          </w:p>
          <w:p w14:paraId="3E3D9D19" w14:textId="77777777" w:rsidR="00770E10" w:rsidRPr="001B171A" w:rsidRDefault="00770E10" w:rsidP="00887419">
            <w:pPr>
              <w:spacing w:after="120" w:line="276" w:lineRule="auto"/>
              <w:rPr>
                <w:sz w:val="28"/>
                <w:szCs w:val="28"/>
                <w:lang w:val="uk-UA"/>
              </w:rPr>
            </w:pPr>
            <w:r w:rsidRPr="001B171A">
              <w:rPr>
                <w:sz w:val="28"/>
                <w:szCs w:val="28"/>
                <w:lang w:val="uk-UA"/>
              </w:rPr>
              <w:t>(n=</w:t>
            </w:r>
            <w:r>
              <w:rPr>
                <w:sz w:val="28"/>
                <w:szCs w:val="28"/>
                <w:lang w:val="en-US"/>
              </w:rPr>
              <w:t>8</w:t>
            </w:r>
            <w:r w:rsidRPr="001B171A">
              <w:rPr>
                <w:sz w:val="28"/>
                <w:szCs w:val="28"/>
                <w:lang w:val="uk-UA"/>
              </w:rPr>
              <w:t>)</w:t>
            </w:r>
          </w:p>
        </w:tc>
        <w:tc>
          <w:tcPr>
            <w:tcW w:w="992" w:type="dxa"/>
            <w:vMerge w:val="restart"/>
            <w:vAlign w:val="center"/>
          </w:tcPr>
          <w:p w14:paraId="5CC0AA16" w14:textId="77777777" w:rsidR="00770E10" w:rsidRPr="00B66D87" w:rsidRDefault="00770E10" w:rsidP="00887419">
            <w:pPr>
              <w:spacing w:after="120" w:line="276" w:lineRule="auto"/>
              <w:jc w:val="center"/>
              <w:rPr>
                <w:sz w:val="28"/>
                <w:szCs w:val="28"/>
                <w:lang w:val="uk-UA"/>
              </w:rPr>
            </w:pPr>
            <w:r w:rsidRPr="001B171A">
              <w:rPr>
                <w:sz w:val="28"/>
                <w:szCs w:val="28"/>
                <w:lang w:val="uk-UA"/>
              </w:rPr>
              <w:t>0,</w:t>
            </w:r>
            <w:r>
              <w:rPr>
                <w:sz w:val="28"/>
                <w:szCs w:val="28"/>
                <w:lang w:val="en-US"/>
              </w:rPr>
              <w:t>6</w:t>
            </w:r>
            <w:r>
              <w:rPr>
                <w:sz w:val="28"/>
                <w:szCs w:val="28"/>
                <w:lang w:val="uk-UA"/>
              </w:rPr>
              <w:t>4</w:t>
            </w:r>
          </w:p>
        </w:tc>
        <w:tc>
          <w:tcPr>
            <w:tcW w:w="1276" w:type="dxa"/>
            <w:vMerge w:val="restart"/>
            <w:vAlign w:val="center"/>
          </w:tcPr>
          <w:p w14:paraId="6649FE4F" w14:textId="77777777" w:rsidR="00770E10" w:rsidRPr="00B66D87" w:rsidRDefault="00770E10" w:rsidP="00887419">
            <w:pPr>
              <w:spacing w:after="120" w:line="276" w:lineRule="auto"/>
              <w:jc w:val="center"/>
              <w:rPr>
                <w:sz w:val="28"/>
                <w:szCs w:val="28"/>
                <w:lang w:val="uk-UA"/>
              </w:rPr>
            </w:pPr>
            <w:r w:rsidRPr="001B171A">
              <w:rPr>
                <w:sz w:val="28"/>
                <w:szCs w:val="28"/>
                <w:lang w:val="uk-UA"/>
              </w:rPr>
              <w:t>0,</w:t>
            </w:r>
            <w:r>
              <w:rPr>
                <w:sz w:val="28"/>
                <w:szCs w:val="28"/>
                <w:lang w:val="en-US"/>
              </w:rPr>
              <w:t>3</w:t>
            </w:r>
            <w:r>
              <w:rPr>
                <w:sz w:val="28"/>
                <w:szCs w:val="28"/>
                <w:lang w:val="uk-UA"/>
              </w:rPr>
              <w:t>6</w:t>
            </w:r>
          </w:p>
        </w:tc>
        <w:tc>
          <w:tcPr>
            <w:tcW w:w="958" w:type="dxa"/>
            <w:vMerge w:val="restart"/>
            <w:vAlign w:val="center"/>
          </w:tcPr>
          <w:p w14:paraId="3FAE0141" w14:textId="77777777" w:rsidR="00770E10" w:rsidRPr="00B66D87" w:rsidRDefault="00770E10" w:rsidP="00887419">
            <w:pPr>
              <w:spacing w:after="120"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71</w:t>
            </w:r>
          </w:p>
        </w:tc>
      </w:tr>
      <w:tr w:rsidR="00770E10" w:rsidRPr="001B171A" w14:paraId="0F21378D" w14:textId="77777777" w:rsidTr="00346B70">
        <w:tc>
          <w:tcPr>
            <w:tcW w:w="2093" w:type="dxa"/>
          </w:tcPr>
          <w:p w14:paraId="00BA2798"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008DA94C" w14:textId="77777777" w:rsidR="00770E10" w:rsidRPr="00B66D87" w:rsidRDefault="00770E10" w:rsidP="00887419">
            <w:pPr>
              <w:spacing w:line="276" w:lineRule="auto"/>
              <w:rPr>
                <w:sz w:val="28"/>
                <w:szCs w:val="28"/>
                <w:lang w:val="uk-UA"/>
              </w:rPr>
            </w:pPr>
            <w:r>
              <w:rPr>
                <w:sz w:val="28"/>
                <w:szCs w:val="28"/>
                <w:lang w:val="uk-UA"/>
              </w:rPr>
              <w:t>40,96</w:t>
            </w:r>
          </w:p>
          <w:p w14:paraId="55A46921"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14,75</w:t>
            </w:r>
            <w:r w:rsidRPr="001B171A">
              <w:rPr>
                <w:sz w:val="28"/>
                <w:szCs w:val="28"/>
                <w:lang w:val="uk-UA"/>
              </w:rPr>
              <w:t>)</w:t>
            </w:r>
          </w:p>
        </w:tc>
        <w:tc>
          <w:tcPr>
            <w:tcW w:w="1418" w:type="dxa"/>
          </w:tcPr>
          <w:p w14:paraId="1F61F5E3" w14:textId="77777777" w:rsidR="00770E10" w:rsidRPr="00B66D87" w:rsidRDefault="00770E10" w:rsidP="00887419">
            <w:pPr>
              <w:spacing w:line="276" w:lineRule="auto"/>
              <w:rPr>
                <w:sz w:val="28"/>
                <w:szCs w:val="28"/>
                <w:lang w:val="uk-UA"/>
              </w:rPr>
            </w:pPr>
            <w:r>
              <w:rPr>
                <w:sz w:val="28"/>
                <w:szCs w:val="28"/>
                <w:lang w:val="en-US"/>
              </w:rPr>
              <w:t>4</w:t>
            </w:r>
            <w:r>
              <w:rPr>
                <w:sz w:val="28"/>
                <w:szCs w:val="28"/>
                <w:lang w:val="uk-UA"/>
              </w:rPr>
              <w:t>6</w:t>
            </w:r>
            <w:r>
              <w:rPr>
                <w:sz w:val="28"/>
                <w:szCs w:val="28"/>
                <w:lang w:val="en-US"/>
              </w:rPr>
              <w:t>,</w:t>
            </w:r>
            <w:r>
              <w:rPr>
                <w:sz w:val="28"/>
                <w:szCs w:val="28"/>
                <w:lang w:val="uk-UA"/>
              </w:rPr>
              <w:t>08</w:t>
            </w:r>
          </w:p>
          <w:p w14:paraId="0C22B6FF"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16,</w:t>
            </w:r>
            <w:r>
              <w:rPr>
                <w:sz w:val="28"/>
                <w:szCs w:val="28"/>
                <w:lang w:val="uk-UA"/>
              </w:rPr>
              <w:t>59</w:t>
            </w:r>
            <w:r w:rsidRPr="001B171A">
              <w:rPr>
                <w:sz w:val="28"/>
                <w:szCs w:val="28"/>
                <w:lang w:val="uk-UA"/>
              </w:rPr>
              <w:t>)</w:t>
            </w:r>
          </w:p>
        </w:tc>
        <w:tc>
          <w:tcPr>
            <w:tcW w:w="1417" w:type="dxa"/>
          </w:tcPr>
          <w:p w14:paraId="2AD30A96" w14:textId="77777777" w:rsidR="00770E10" w:rsidRPr="00B66D87" w:rsidRDefault="00770E10" w:rsidP="00887419">
            <w:pPr>
              <w:spacing w:line="276" w:lineRule="auto"/>
              <w:rPr>
                <w:sz w:val="28"/>
                <w:szCs w:val="28"/>
                <w:lang w:val="uk-UA"/>
              </w:rPr>
            </w:pPr>
            <w:r w:rsidRPr="001B171A">
              <w:rPr>
                <w:sz w:val="28"/>
                <w:szCs w:val="28"/>
                <w:lang w:val="uk-UA"/>
              </w:rPr>
              <w:t>1</w:t>
            </w:r>
            <w:r>
              <w:rPr>
                <w:sz w:val="28"/>
                <w:szCs w:val="28"/>
                <w:lang w:val="uk-UA"/>
              </w:rPr>
              <w:t>2</w:t>
            </w:r>
            <w:r w:rsidRPr="001B171A">
              <w:rPr>
                <w:sz w:val="28"/>
                <w:szCs w:val="28"/>
                <w:lang w:val="uk-UA"/>
              </w:rPr>
              <w:t>,</w:t>
            </w:r>
            <w:r>
              <w:rPr>
                <w:sz w:val="28"/>
                <w:szCs w:val="28"/>
                <w:lang w:val="uk-UA"/>
              </w:rPr>
              <w:t>96</w:t>
            </w:r>
          </w:p>
          <w:p w14:paraId="7D49EDF0"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4,67</w:t>
            </w:r>
            <w:r w:rsidRPr="001B171A">
              <w:rPr>
                <w:sz w:val="28"/>
                <w:szCs w:val="28"/>
                <w:lang w:val="uk-UA"/>
              </w:rPr>
              <w:t>)</w:t>
            </w:r>
          </w:p>
        </w:tc>
        <w:tc>
          <w:tcPr>
            <w:tcW w:w="992" w:type="dxa"/>
            <w:vMerge/>
          </w:tcPr>
          <w:p w14:paraId="1839FB0A" w14:textId="77777777" w:rsidR="00770E10" w:rsidRPr="001B171A" w:rsidRDefault="00770E10" w:rsidP="00887419">
            <w:pPr>
              <w:spacing w:line="276" w:lineRule="auto"/>
              <w:rPr>
                <w:sz w:val="28"/>
                <w:szCs w:val="28"/>
                <w:lang w:val="uk-UA"/>
              </w:rPr>
            </w:pPr>
          </w:p>
        </w:tc>
        <w:tc>
          <w:tcPr>
            <w:tcW w:w="1276" w:type="dxa"/>
            <w:vMerge/>
          </w:tcPr>
          <w:p w14:paraId="03606303" w14:textId="77777777" w:rsidR="00770E10" w:rsidRPr="001B171A" w:rsidRDefault="00770E10" w:rsidP="00887419">
            <w:pPr>
              <w:spacing w:line="276" w:lineRule="auto"/>
              <w:rPr>
                <w:sz w:val="28"/>
                <w:szCs w:val="28"/>
                <w:lang w:val="uk-UA"/>
              </w:rPr>
            </w:pPr>
          </w:p>
        </w:tc>
        <w:tc>
          <w:tcPr>
            <w:tcW w:w="958" w:type="dxa"/>
            <w:vMerge/>
          </w:tcPr>
          <w:p w14:paraId="23C31C4B" w14:textId="77777777" w:rsidR="00770E10" w:rsidRPr="001B171A" w:rsidRDefault="00770E10" w:rsidP="00887419">
            <w:pPr>
              <w:spacing w:line="276" w:lineRule="auto"/>
              <w:rPr>
                <w:sz w:val="28"/>
                <w:szCs w:val="28"/>
                <w:lang w:val="uk-UA"/>
              </w:rPr>
            </w:pPr>
          </w:p>
        </w:tc>
      </w:tr>
      <w:tr w:rsidR="00770E10" w:rsidRPr="001B171A" w14:paraId="6A87C3FC" w14:textId="77777777" w:rsidTr="00346B70">
        <w:tc>
          <w:tcPr>
            <w:tcW w:w="9571" w:type="dxa"/>
            <w:gridSpan w:val="7"/>
            <w:vAlign w:val="center"/>
          </w:tcPr>
          <w:p w14:paraId="085CC895" w14:textId="77777777" w:rsidR="00770E10" w:rsidRPr="001B171A" w:rsidRDefault="00770E10" w:rsidP="00887419">
            <w:pPr>
              <w:spacing w:line="276" w:lineRule="auto"/>
              <w:jc w:val="center"/>
              <w:rPr>
                <w:sz w:val="28"/>
                <w:szCs w:val="28"/>
                <w:lang w:val="uk-UA"/>
              </w:rPr>
            </w:pPr>
            <w:r w:rsidRPr="001B171A">
              <w:rPr>
                <w:sz w:val="28"/>
                <w:szCs w:val="28"/>
                <w:lang w:val="uk-UA"/>
              </w:rPr>
              <w:t>Тільки контрольна група</w:t>
            </w:r>
          </w:p>
        </w:tc>
      </w:tr>
      <w:tr w:rsidR="00770E10" w:rsidRPr="001B171A" w14:paraId="4957CD8B" w14:textId="77777777" w:rsidTr="00346B70">
        <w:tc>
          <w:tcPr>
            <w:tcW w:w="2093" w:type="dxa"/>
          </w:tcPr>
          <w:p w14:paraId="75767BCD" w14:textId="77777777" w:rsidR="00770E10" w:rsidRPr="001B171A" w:rsidRDefault="00770E10" w:rsidP="00887419">
            <w:pPr>
              <w:spacing w:line="276" w:lineRule="auto"/>
              <w:rPr>
                <w:sz w:val="28"/>
                <w:szCs w:val="28"/>
                <w:lang w:val="uk-UA"/>
              </w:rPr>
            </w:pPr>
            <w:r w:rsidRPr="001B171A">
              <w:rPr>
                <w:sz w:val="28"/>
                <w:szCs w:val="28"/>
                <w:lang w:val="uk-UA"/>
              </w:rPr>
              <w:t>Фактичні</w:t>
            </w:r>
          </w:p>
          <w:p w14:paraId="5D785ED5"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9</w:t>
            </w:r>
            <w:r w:rsidRPr="001B171A">
              <w:rPr>
                <w:sz w:val="28"/>
                <w:szCs w:val="28"/>
                <w:lang w:val="uk-UA"/>
              </w:rPr>
              <w:t>)</w:t>
            </w:r>
          </w:p>
        </w:tc>
        <w:tc>
          <w:tcPr>
            <w:tcW w:w="1417" w:type="dxa"/>
          </w:tcPr>
          <w:p w14:paraId="6DDAF8DA" w14:textId="77777777" w:rsidR="00770E10" w:rsidRPr="00156108" w:rsidRDefault="00770E10" w:rsidP="00887419">
            <w:pPr>
              <w:spacing w:line="276" w:lineRule="auto"/>
              <w:rPr>
                <w:sz w:val="28"/>
                <w:szCs w:val="28"/>
                <w:lang w:val="uk-UA"/>
              </w:rPr>
            </w:pPr>
            <w:r>
              <w:rPr>
                <w:sz w:val="28"/>
                <w:szCs w:val="28"/>
                <w:lang w:val="uk-UA"/>
              </w:rPr>
              <w:t>55,56</w:t>
            </w:r>
          </w:p>
          <w:p w14:paraId="0489BD7B"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5</w:t>
            </w:r>
            <w:r w:rsidRPr="001B171A">
              <w:rPr>
                <w:sz w:val="28"/>
                <w:szCs w:val="28"/>
                <w:lang w:val="uk-UA"/>
              </w:rPr>
              <w:t>)</w:t>
            </w:r>
          </w:p>
        </w:tc>
        <w:tc>
          <w:tcPr>
            <w:tcW w:w="1418" w:type="dxa"/>
          </w:tcPr>
          <w:p w14:paraId="3336DBF2" w14:textId="77777777" w:rsidR="00770E10" w:rsidRPr="00156108" w:rsidRDefault="00770E10" w:rsidP="00887419">
            <w:pPr>
              <w:spacing w:line="276" w:lineRule="auto"/>
              <w:rPr>
                <w:sz w:val="28"/>
                <w:szCs w:val="28"/>
                <w:lang w:val="uk-UA"/>
              </w:rPr>
            </w:pPr>
            <w:r>
              <w:rPr>
                <w:sz w:val="28"/>
                <w:szCs w:val="28"/>
                <w:lang w:val="uk-UA"/>
              </w:rPr>
              <w:t>11,11</w:t>
            </w:r>
          </w:p>
          <w:p w14:paraId="5AA09899"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w:t>
            </w:r>
            <w:r w:rsidRPr="001B171A">
              <w:rPr>
                <w:sz w:val="28"/>
                <w:szCs w:val="28"/>
                <w:lang w:val="uk-UA"/>
              </w:rPr>
              <w:t>)</w:t>
            </w:r>
          </w:p>
        </w:tc>
        <w:tc>
          <w:tcPr>
            <w:tcW w:w="1417" w:type="dxa"/>
          </w:tcPr>
          <w:p w14:paraId="5E0AFC93" w14:textId="77777777" w:rsidR="00770E10" w:rsidRPr="00156108" w:rsidRDefault="00770E10" w:rsidP="00887419">
            <w:pPr>
              <w:spacing w:line="276" w:lineRule="auto"/>
              <w:rPr>
                <w:sz w:val="28"/>
                <w:szCs w:val="28"/>
                <w:lang w:val="uk-UA"/>
              </w:rPr>
            </w:pPr>
            <w:r>
              <w:rPr>
                <w:sz w:val="28"/>
                <w:szCs w:val="28"/>
                <w:lang w:val="uk-UA"/>
              </w:rPr>
              <w:t>33,33</w:t>
            </w:r>
          </w:p>
          <w:p w14:paraId="668868D2"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3</w:t>
            </w:r>
            <w:r w:rsidRPr="001B171A">
              <w:rPr>
                <w:sz w:val="28"/>
                <w:szCs w:val="28"/>
                <w:lang w:val="uk-UA"/>
              </w:rPr>
              <w:t>)</w:t>
            </w:r>
          </w:p>
        </w:tc>
        <w:tc>
          <w:tcPr>
            <w:tcW w:w="992" w:type="dxa"/>
            <w:vMerge w:val="restart"/>
            <w:vAlign w:val="center"/>
          </w:tcPr>
          <w:p w14:paraId="1A2A1CD4" w14:textId="77777777" w:rsidR="00770E10" w:rsidRPr="00156108" w:rsidRDefault="00770E10" w:rsidP="00887419">
            <w:pPr>
              <w:spacing w:line="276" w:lineRule="auto"/>
              <w:jc w:val="center"/>
              <w:rPr>
                <w:sz w:val="28"/>
                <w:szCs w:val="28"/>
                <w:lang w:val="uk-UA"/>
              </w:rPr>
            </w:pPr>
            <w:r w:rsidRPr="001B171A">
              <w:rPr>
                <w:sz w:val="28"/>
                <w:szCs w:val="28"/>
                <w:lang w:val="uk-UA"/>
              </w:rPr>
              <w:t>0,</w:t>
            </w:r>
            <w:r>
              <w:rPr>
                <w:sz w:val="28"/>
                <w:szCs w:val="28"/>
                <w:lang w:val="uk-UA"/>
              </w:rPr>
              <w:t>61</w:t>
            </w:r>
          </w:p>
        </w:tc>
        <w:tc>
          <w:tcPr>
            <w:tcW w:w="1276" w:type="dxa"/>
            <w:vMerge w:val="restart"/>
            <w:vAlign w:val="center"/>
          </w:tcPr>
          <w:p w14:paraId="5CA0B101" w14:textId="77777777" w:rsidR="00770E10" w:rsidRPr="00156108" w:rsidRDefault="00770E10" w:rsidP="00887419">
            <w:pPr>
              <w:spacing w:line="276" w:lineRule="auto"/>
              <w:jc w:val="center"/>
              <w:rPr>
                <w:sz w:val="28"/>
                <w:szCs w:val="28"/>
                <w:lang w:val="uk-UA"/>
              </w:rPr>
            </w:pPr>
            <w:r w:rsidRPr="001B171A">
              <w:rPr>
                <w:sz w:val="28"/>
                <w:szCs w:val="28"/>
                <w:lang w:val="uk-UA"/>
              </w:rPr>
              <w:t>0,</w:t>
            </w:r>
            <w:r>
              <w:rPr>
                <w:sz w:val="28"/>
                <w:szCs w:val="28"/>
                <w:lang w:val="uk-UA"/>
              </w:rPr>
              <w:t>39</w:t>
            </w:r>
          </w:p>
        </w:tc>
        <w:tc>
          <w:tcPr>
            <w:tcW w:w="958" w:type="dxa"/>
            <w:vMerge w:val="restart"/>
            <w:vAlign w:val="center"/>
          </w:tcPr>
          <w:p w14:paraId="1BB351DA" w14:textId="77777777" w:rsidR="00770E10" w:rsidRPr="00156108" w:rsidRDefault="00770E10" w:rsidP="00887419">
            <w:pPr>
              <w:spacing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27</w:t>
            </w:r>
          </w:p>
        </w:tc>
      </w:tr>
      <w:tr w:rsidR="00770E10" w:rsidRPr="001B171A" w14:paraId="57C9784A" w14:textId="77777777" w:rsidTr="00346B70">
        <w:tc>
          <w:tcPr>
            <w:tcW w:w="2093" w:type="dxa"/>
          </w:tcPr>
          <w:p w14:paraId="487533EC"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5355CA30" w14:textId="77777777" w:rsidR="00770E10" w:rsidRPr="00156108" w:rsidRDefault="00770E10" w:rsidP="00887419">
            <w:pPr>
              <w:spacing w:line="276" w:lineRule="auto"/>
              <w:rPr>
                <w:sz w:val="28"/>
                <w:szCs w:val="28"/>
                <w:lang w:val="uk-UA"/>
              </w:rPr>
            </w:pPr>
            <w:r>
              <w:rPr>
                <w:sz w:val="28"/>
                <w:szCs w:val="28"/>
                <w:lang w:val="uk-UA"/>
              </w:rPr>
              <w:t>37</w:t>
            </w:r>
            <w:r w:rsidRPr="001B171A">
              <w:rPr>
                <w:sz w:val="28"/>
                <w:szCs w:val="28"/>
                <w:lang w:val="uk-UA"/>
              </w:rPr>
              <w:t>,</w:t>
            </w:r>
            <w:r>
              <w:rPr>
                <w:sz w:val="28"/>
                <w:szCs w:val="28"/>
                <w:lang w:val="uk-UA"/>
              </w:rPr>
              <w:t>22</w:t>
            </w:r>
          </w:p>
          <w:p w14:paraId="1D3A6B0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3,35</w:t>
            </w:r>
            <w:r w:rsidRPr="001B171A">
              <w:rPr>
                <w:sz w:val="28"/>
                <w:szCs w:val="28"/>
                <w:lang w:val="uk-UA"/>
              </w:rPr>
              <w:t>)</w:t>
            </w:r>
          </w:p>
        </w:tc>
        <w:tc>
          <w:tcPr>
            <w:tcW w:w="1418" w:type="dxa"/>
          </w:tcPr>
          <w:p w14:paraId="6528D258" w14:textId="77777777" w:rsidR="00770E10" w:rsidRPr="005647B8" w:rsidRDefault="00770E10" w:rsidP="00887419">
            <w:pPr>
              <w:spacing w:line="276" w:lineRule="auto"/>
              <w:rPr>
                <w:sz w:val="28"/>
                <w:szCs w:val="28"/>
                <w:lang w:val="uk-UA"/>
              </w:rPr>
            </w:pPr>
            <w:r>
              <w:rPr>
                <w:sz w:val="28"/>
                <w:szCs w:val="28"/>
                <w:lang w:val="uk-UA"/>
              </w:rPr>
              <w:t>47,56</w:t>
            </w:r>
          </w:p>
          <w:p w14:paraId="6A1A5BE6"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4,28</w:t>
            </w:r>
            <w:r w:rsidRPr="001B171A">
              <w:rPr>
                <w:sz w:val="28"/>
                <w:szCs w:val="28"/>
                <w:lang w:val="uk-UA"/>
              </w:rPr>
              <w:t>)</w:t>
            </w:r>
          </w:p>
        </w:tc>
        <w:tc>
          <w:tcPr>
            <w:tcW w:w="1417" w:type="dxa"/>
          </w:tcPr>
          <w:p w14:paraId="10446FE8" w14:textId="77777777" w:rsidR="00770E10" w:rsidRPr="00156108" w:rsidRDefault="00770E10" w:rsidP="00887419">
            <w:pPr>
              <w:spacing w:line="276" w:lineRule="auto"/>
              <w:rPr>
                <w:sz w:val="28"/>
                <w:szCs w:val="28"/>
                <w:lang w:val="uk-UA"/>
              </w:rPr>
            </w:pPr>
            <w:r>
              <w:rPr>
                <w:sz w:val="28"/>
                <w:szCs w:val="28"/>
                <w:lang w:val="uk-UA"/>
              </w:rPr>
              <w:t>15,22</w:t>
            </w:r>
          </w:p>
          <w:p w14:paraId="2C85D99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en-US"/>
              </w:rPr>
              <w:t>1</w:t>
            </w:r>
            <w:r w:rsidRPr="001B171A">
              <w:rPr>
                <w:sz w:val="28"/>
                <w:szCs w:val="28"/>
                <w:lang w:val="uk-UA"/>
              </w:rPr>
              <w:t>,</w:t>
            </w:r>
            <w:r>
              <w:rPr>
                <w:sz w:val="28"/>
                <w:szCs w:val="28"/>
                <w:lang w:val="uk-UA"/>
              </w:rPr>
              <w:t>37</w:t>
            </w:r>
            <w:r w:rsidRPr="001B171A">
              <w:rPr>
                <w:sz w:val="28"/>
                <w:szCs w:val="28"/>
                <w:lang w:val="uk-UA"/>
              </w:rPr>
              <w:t>)</w:t>
            </w:r>
          </w:p>
        </w:tc>
        <w:tc>
          <w:tcPr>
            <w:tcW w:w="992" w:type="dxa"/>
            <w:vMerge/>
          </w:tcPr>
          <w:p w14:paraId="25F96C8B" w14:textId="77777777" w:rsidR="00770E10" w:rsidRPr="001B171A" w:rsidRDefault="00770E10" w:rsidP="00887419">
            <w:pPr>
              <w:spacing w:line="276" w:lineRule="auto"/>
              <w:rPr>
                <w:sz w:val="28"/>
                <w:szCs w:val="28"/>
                <w:lang w:val="uk-UA"/>
              </w:rPr>
            </w:pPr>
          </w:p>
        </w:tc>
        <w:tc>
          <w:tcPr>
            <w:tcW w:w="1276" w:type="dxa"/>
            <w:vMerge/>
          </w:tcPr>
          <w:p w14:paraId="6CC5DF8B" w14:textId="77777777" w:rsidR="00770E10" w:rsidRPr="001B171A" w:rsidRDefault="00770E10" w:rsidP="00887419">
            <w:pPr>
              <w:spacing w:line="276" w:lineRule="auto"/>
              <w:rPr>
                <w:sz w:val="28"/>
                <w:szCs w:val="28"/>
                <w:lang w:val="uk-UA"/>
              </w:rPr>
            </w:pPr>
          </w:p>
        </w:tc>
        <w:tc>
          <w:tcPr>
            <w:tcW w:w="958" w:type="dxa"/>
            <w:vMerge/>
          </w:tcPr>
          <w:p w14:paraId="7E1DC989" w14:textId="77777777" w:rsidR="00770E10" w:rsidRPr="001B171A" w:rsidRDefault="00770E10" w:rsidP="00887419">
            <w:pPr>
              <w:spacing w:line="276" w:lineRule="auto"/>
              <w:rPr>
                <w:sz w:val="28"/>
                <w:szCs w:val="28"/>
                <w:lang w:val="uk-UA"/>
              </w:rPr>
            </w:pPr>
          </w:p>
        </w:tc>
      </w:tr>
      <w:tr w:rsidR="00770E10" w:rsidRPr="001B171A" w14:paraId="3707C76D" w14:textId="77777777" w:rsidTr="00BD034E">
        <w:tc>
          <w:tcPr>
            <w:tcW w:w="9571" w:type="dxa"/>
            <w:gridSpan w:val="7"/>
            <w:tcBorders>
              <w:bottom w:val="single" w:sz="4" w:space="0" w:color="FFFFFF" w:themeColor="background1"/>
            </w:tcBorders>
          </w:tcPr>
          <w:p w14:paraId="6718A1E5" w14:textId="77777777" w:rsidR="00770E10" w:rsidRPr="001B171A" w:rsidRDefault="00770E10" w:rsidP="00887419">
            <w:pPr>
              <w:spacing w:line="276" w:lineRule="auto"/>
              <w:jc w:val="center"/>
              <w:rPr>
                <w:sz w:val="28"/>
                <w:szCs w:val="28"/>
                <w:lang w:val="uk-UA"/>
              </w:rPr>
            </w:pPr>
            <w:r w:rsidRPr="001B171A">
              <w:rPr>
                <w:sz w:val="28"/>
                <w:szCs w:val="28"/>
                <w:lang w:val="uk-UA"/>
              </w:rPr>
              <w:t>Тільки основна група</w:t>
            </w:r>
          </w:p>
        </w:tc>
      </w:tr>
      <w:tr w:rsidR="00887419" w:rsidRPr="001B171A" w14:paraId="0ABF665B" w14:textId="77777777" w:rsidTr="00887419">
        <w:tc>
          <w:tcPr>
            <w:tcW w:w="9571" w:type="dxa"/>
            <w:gridSpan w:val="7"/>
            <w:tcBorders>
              <w:left w:val="single" w:sz="4" w:space="0" w:color="FFFFFF"/>
              <w:bottom w:val="single" w:sz="4" w:space="0" w:color="FFFFFF" w:themeColor="background1"/>
              <w:right w:val="single" w:sz="4" w:space="0" w:color="FFFFFF"/>
            </w:tcBorders>
          </w:tcPr>
          <w:p w14:paraId="0C3FE84C" w14:textId="77777777" w:rsidR="00887419" w:rsidRPr="001B171A" w:rsidRDefault="00887419" w:rsidP="00887419">
            <w:pPr>
              <w:spacing w:line="276" w:lineRule="auto"/>
              <w:jc w:val="center"/>
              <w:rPr>
                <w:sz w:val="28"/>
                <w:szCs w:val="28"/>
                <w:lang w:val="uk-UA"/>
              </w:rPr>
            </w:pPr>
          </w:p>
        </w:tc>
      </w:tr>
      <w:tr w:rsidR="0006458A" w:rsidRPr="001B171A" w14:paraId="2FB19773" w14:textId="77777777" w:rsidTr="0006458A">
        <w:tc>
          <w:tcPr>
            <w:tcW w:w="9571" w:type="dxa"/>
            <w:gridSpan w:val="7"/>
            <w:tcBorders>
              <w:top w:val="single" w:sz="4" w:space="0" w:color="FFFFFF" w:themeColor="background1"/>
              <w:left w:val="single" w:sz="4" w:space="0" w:color="FFFFFF" w:themeColor="background1"/>
              <w:right w:val="single" w:sz="4" w:space="0" w:color="FFFFFF" w:themeColor="background1"/>
            </w:tcBorders>
          </w:tcPr>
          <w:p w14:paraId="2589BA02" w14:textId="16F8C3EA" w:rsidR="0006458A" w:rsidRPr="0006458A" w:rsidRDefault="0006458A" w:rsidP="00887419">
            <w:pPr>
              <w:spacing w:line="276" w:lineRule="auto"/>
              <w:jc w:val="right"/>
              <w:rPr>
                <w:i/>
                <w:sz w:val="28"/>
                <w:szCs w:val="28"/>
                <w:lang w:val="uk-UA"/>
              </w:rPr>
            </w:pPr>
            <w:r w:rsidRPr="0006458A">
              <w:rPr>
                <w:i/>
                <w:sz w:val="28"/>
                <w:szCs w:val="28"/>
                <w:lang w:val="uk-UA"/>
              </w:rPr>
              <w:t>Продовження таблиці 6.4</w:t>
            </w:r>
          </w:p>
        </w:tc>
      </w:tr>
      <w:tr w:rsidR="00770E10" w:rsidRPr="001B171A" w14:paraId="6BC12E67" w14:textId="77777777" w:rsidTr="00346B70">
        <w:tc>
          <w:tcPr>
            <w:tcW w:w="2093" w:type="dxa"/>
          </w:tcPr>
          <w:p w14:paraId="407A7664" w14:textId="77777777" w:rsidR="00770E10" w:rsidRPr="001B171A" w:rsidRDefault="00770E10" w:rsidP="00887419">
            <w:pPr>
              <w:spacing w:line="276" w:lineRule="auto"/>
              <w:rPr>
                <w:sz w:val="28"/>
                <w:szCs w:val="28"/>
                <w:lang w:val="uk-UA"/>
              </w:rPr>
            </w:pPr>
            <w:r w:rsidRPr="001B171A">
              <w:rPr>
                <w:sz w:val="28"/>
                <w:szCs w:val="28"/>
                <w:lang w:val="uk-UA"/>
              </w:rPr>
              <w:t>Фактичні</w:t>
            </w:r>
          </w:p>
          <w:p w14:paraId="351CB358"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27</w:t>
            </w:r>
            <w:r w:rsidRPr="001B171A">
              <w:rPr>
                <w:sz w:val="28"/>
                <w:szCs w:val="28"/>
                <w:lang w:val="uk-UA"/>
              </w:rPr>
              <w:t>)</w:t>
            </w:r>
          </w:p>
        </w:tc>
        <w:tc>
          <w:tcPr>
            <w:tcW w:w="1417" w:type="dxa"/>
          </w:tcPr>
          <w:p w14:paraId="291908B8" w14:textId="77777777" w:rsidR="00770E10" w:rsidRPr="005647B8" w:rsidRDefault="00770E10" w:rsidP="00887419">
            <w:pPr>
              <w:spacing w:line="276" w:lineRule="auto"/>
              <w:rPr>
                <w:sz w:val="28"/>
                <w:szCs w:val="28"/>
                <w:lang w:val="uk-UA"/>
              </w:rPr>
            </w:pPr>
            <w:r>
              <w:rPr>
                <w:sz w:val="28"/>
                <w:szCs w:val="28"/>
                <w:lang w:val="uk-UA"/>
              </w:rPr>
              <w:t>48,14</w:t>
            </w:r>
          </w:p>
          <w:p w14:paraId="407034D7"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13</w:t>
            </w:r>
            <w:r w:rsidRPr="001B171A">
              <w:rPr>
                <w:sz w:val="28"/>
                <w:szCs w:val="28"/>
                <w:lang w:val="uk-UA"/>
              </w:rPr>
              <w:t>)</w:t>
            </w:r>
          </w:p>
        </w:tc>
        <w:tc>
          <w:tcPr>
            <w:tcW w:w="1418" w:type="dxa"/>
          </w:tcPr>
          <w:p w14:paraId="2BA7E636" w14:textId="77777777" w:rsidR="00770E10" w:rsidRPr="005647B8" w:rsidRDefault="00770E10" w:rsidP="00887419">
            <w:pPr>
              <w:spacing w:line="276" w:lineRule="auto"/>
              <w:rPr>
                <w:sz w:val="28"/>
                <w:szCs w:val="28"/>
                <w:lang w:val="uk-UA"/>
              </w:rPr>
            </w:pPr>
            <w:r>
              <w:rPr>
                <w:sz w:val="28"/>
                <w:szCs w:val="28"/>
                <w:lang w:val="uk-UA"/>
              </w:rPr>
              <w:t>25,93</w:t>
            </w:r>
          </w:p>
          <w:p w14:paraId="633771BE"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7</w:t>
            </w:r>
            <w:r w:rsidRPr="001B171A">
              <w:rPr>
                <w:sz w:val="28"/>
                <w:szCs w:val="28"/>
                <w:lang w:val="uk-UA"/>
              </w:rPr>
              <w:t>)</w:t>
            </w:r>
          </w:p>
        </w:tc>
        <w:tc>
          <w:tcPr>
            <w:tcW w:w="1417" w:type="dxa"/>
          </w:tcPr>
          <w:p w14:paraId="611374D7" w14:textId="77777777" w:rsidR="00770E10" w:rsidRPr="005647B8" w:rsidRDefault="00770E10" w:rsidP="00887419">
            <w:pPr>
              <w:spacing w:line="276" w:lineRule="auto"/>
              <w:rPr>
                <w:sz w:val="28"/>
                <w:szCs w:val="28"/>
                <w:lang w:val="uk-UA"/>
              </w:rPr>
            </w:pPr>
            <w:r>
              <w:rPr>
                <w:sz w:val="28"/>
                <w:szCs w:val="28"/>
                <w:lang w:val="uk-UA"/>
              </w:rPr>
              <w:t>25,93</w:t>
            </w:r>
          </w:p>
          <w:p w14:paraId="42764EBF"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7</w:t>
            </w:r>
            <w:r w:rsidRPr="001B171A">
              <w:rPr>
                <w:sz w:val="28"/>
                <w:szCs w:val="28"/>
                <w:lang w:val="uk-UA"/>
              </w:rPr>
              <w:t>)</w:t>
            </w:r>
          </w:p>
        </w:tc>
        <w:tc>
          <w:tcPr>
            <w:tcW w:w="992" w:type="dxa"/>
            <w:vMerge w:val="restart"/>
            <w:vAlign w:val="center"/>
          </w:tcPr>
          <w:p w14:paraId="4FB7CBC7" w14:textId="77777777" w:rsidR="00770E10" w:rsidRPr="005647B8" w:rsidRDefault="00770E10" w:rsidP="00887419">
            <w:pPr>
              <w:spacing w:line="276" w:lineRule="auto"/>
              <w:jc w:val="center"/>
              <w:rPr>
                <w:sz w:val="28"/>
                <w:szCs w:val="28"/>
                <w:lang w:val="uk-UA"/>
              </w:rPr>
            </w:pPr>
            <w:r w:rsidRPr="001B171A">
              <w:rPr>
                <w:sz w:val="28"/>
                <w:szCs w:val="28"/>
                <w:lang w:val="uk-UA"/>
              </w:rPr>
              <w:t>0,</w:t>
            </w:r>
            <w:r>
              <w:rPr>
                <w:sz w:val="28"/>
                <w:szCs w:val="28"/>
                <w:lang w:val="uk-UA"/>
              </w:rPr>
              <w:t>61</w:t>
            </w:r>
          </w:p>
        </w:tc>
        <w:tc>
          <w:tcPr>
            <w:tcW w:w="1276" w:type="dxa"/>
            <w:vMerge w:val="restart"/>
            <w:vAlign w:val="center"/>
          </w:tcPr>
          <w:p w14:paraId="59117BB1" w14:textId="77777777" w:rsidR="00770E10" w:rsidRPr="005647B8" w:rsidRDefault="00770E10" w:rsidP="00887419">
            <w:pPr>
              <w:spacing w:line="276" w:lineRule="auto"/>
              <w:jc w:val="center"/>
              <w:rPr>
                <w:sz w:val="28"/>
                <w:szCs w:val="28"/>
                <w:lang w:val="uk-UA"/>
              </w:rPr>
            </w:pPr>
            <w:r w:rsidRPr="001B171A">
              <w:rPr>
                <w:sz w:val="28"/>
                <w:szCs w:val="28"/>
                <w:lang w:val="uk-UA"/>
              </w:rPr>
              <w:t>0,</w:t>
            </w:r>
            <w:r>
              <w:rPr>
                <w:sz w:val="28"/>
                <w:szCs w:val="28"/>
                <w:lang w:val="uk-UA"/>
              </w:rPr>
              <w:t>39</w:t>
            </w:r>
          </w:p>
        </w:tc>
        <w:tc>
          <w:tcPr>
            <w:tcW w:w="958" w:type="dxa"/>
            <w:vMerge w:val="restart"/>
            <w:vAlign w:val="center"/>
          </w:tcPr>
          <w:p w14:paraId="0EC30C72" w14:textId="77777777" w:rsidR="00770E10" w:rsidRPr="0067341D" w:rsidRDefault="00770E10" w:rsidP="00887419">
            <w:pPr>
              <w:spacing w:line="276" w:lineRule="auto"/>
              <w:jc w:val="center"/>
              <w:rPr>
                <w:sz w:val="28"/>
                <w:szCs w:val="28"/>
                <w:lang w:val="uk-UA"/>
              </w:rPr>
            </w:pPr>
            <w:r>
              <w:rPr>
                <w:sz w:val="28"/>
                <w:szCs w:val="28"/>
                <w:lang w:val="uk-UA"/>
              </w:rPr>
              <w:t>5</w:t>
            </w:r>
            <w:r w:rsidRPr="001B171A">
              <w:rPr>
                <w:sz w:val="28"/>
                <w:szCs w:val="28"/>
                <w:lang w:val="uk-UA"/>
              </w:rPr>
              <w:t>,</w:t>
            </w:r>
            <w:r>
              <w:rPr>
                <w:sz w:val="28"/>
                <w:szCs w:val="28"/>
                <w:lang w:val="uk-UA"/>
              </w:rPr>
              <w:t>56</w:t>
            </w:r>
          </w:p>
        </w:tc>
      </w:tr>
      <w:tr w:rsidR="00770E10" w:rsidRPr="001B171A" w14:paraId="6AE5E0C6" w14:textId="77777777" w:rsidTr="00346B70">
        <w:tc>
          <w:tcPr>
            <w:tcW w:w="2093" w:type="dxa"/>
          </w:tcPr>
          <w:p w14:paraId="6D1E2013" w14:textId="77777777" w:rsidR="00770E10" w:rsidRPr="001B171A" w:rsidRDefault="00770E10" w:rsidP="00887419">
            <w:pPr>
              <w:spacing w:line="276" w:lineRule="auto"/>
              <w:rPr>
                <w:sz w:val="28"/>
                <w:szCs w:val="28"/>
                <w:lang w:val="uk-UA"/>
              </w:rPr>
            </w:pPr>
            <w:r w:rsidRPr="001B171A">
              <w:rPr>
                <w:sz w:val="28"/>
                <w:szCs w:val="28"/>
                <w:lang w:val="uk-UA"/>
              </w:rPr>
              <w:t>Теоретично очікувані для панміктичної популяції</w:t>
            </w:r>
          </w:p>
        </w:tc>
        <w:tc>
          <w:tcPr>
            <w:tcW w:w="1417" w:type="dxa"/>
          </w:tcPr>
          <w:p w14:paraId="37C16014" w14:textId="77777777" w:rsidR="00770E10" w:rsidRPr="0067341D" w:rsidRDefault="00770E10" w:rsidP="00887419">
            <w:pPr>
              <w:spacing w:line="276" w:lineRule="auto"/>
              <w:rPr>
                <w:sz w:val="28"/>
                <w:szCs w:val="28"/>
                <w:lang w:val="uk-UA"/>
              </w:rPr>
            </w:pPr>
            <w:r>
              <w:rPr>
                <w:sz w:val="28"/>
                <w:szCs w:val="28"/>
                <w:lang w:val="uk-UA"/>
              </w:rPr>
              <w:t>37,22</w:t>
            </w:r>
          </w:p>
          <w:p w14:paraId="108FBDC1"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10,05</w:t>
            </w:r>
            <w:r w:rsidRPr="001B171A">
              <w:rPr>
                <w:sz w:val="28"/>
                <w:szCs w:val="28"/>
                <w:lang w:val="uk-UA"/>
              </w:rPr>
              <w:t>)</w:t>
            </w:r>
          </w:p>
        </w:tc>
        <w:tc>
          <w:tcPr>
            <w:tcW w:w="1418" w:type="dxa"/>
          </w:tcPr>
          <w:p w14:paraId="756F4A76" w14:textId="77777777" w:rsidR="00770E10" w:rsidRPr="006831CF" w:rsidRDefault="00770E10" w:rsidP="00887419">
            <w:pPr>
              <w:spacing w:line="276" w:lineRule="auto"/>
              <w:rPr>
                <w:sz w:val="28"/>
                <w:szCs w:val="28"/>
                <w:lang w:val="uk-UA"/>
              </w:rPr>
            </w:pPr>
            <w:r>
              <w:rPr>
                <w:sz w:val="28"/>
                <w:szCs w:val="28"/>
                <w:lang w:val="en-US"/>
              </w:rPr>
              <w:t>4</w:t>
            </w:r>
            <w:r>
              <w:rPr>
                <w:sz w:val="28"/>
                <w:szCs w:val="28"/>
                <w:lang w:val="uk-UA"/>
              </w:rPr>
              <w:t>7</w:t>
            </w:r>
            <w:r w:rsidRPr="001B171A">
              <w:rPr>
                <w:sz w:val="28"/>
                <w:szCs w:val="28"/>
                <w:lang w:val="uk-UA"/>
              </w:rPr>
              <w:t>,</w:t>
            </w:r>
            <w:r>
              <w:rPr>
                <w:sz w:val="28"/>
                <w:szCs w:val="28"/>
                <w:lang w:val="uk-UA"/>
              </w:rPr>
              <w:t>59</w:t>
            </w:r>
          </w:p>
          <w:p w14:paraId="4988774B"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12,85</w:t>
            </w:r>
            <w:r w:rsidRPr="001B171A">
              <w:rPr>
                <w:sz w:val="28"/>
                <w:szCs w:val="28"/>
                <w:lang w:val="uk-UA"/>
              </w:rPr>
              <w:t>)</w:t>
            </w:r>
          </w:p>
        </w:tc>
        <w:tc>
          <w:tcPr>
            <w:tcW w:w="1417" w:type="dxa"/>
          </w:tcPr>
          <w:p w14:paraId="13555DC7" w14:textId="77777777" w:rsidR="00770E10" w:rsidRPr="006831CF" w:rsidRDefault="00770E10" w:rsidP="00887419">
            <w:pPr>
              <w:spacing w:line="276" w:lineRule="auto"/>
              <w:rPr>
                <w:sz w:val="28"/>
                <w:szCs w:val="28"/>
                <w:lang w:val="uk-UA"/>
              </w:rPr>
            </w:pPr>
            <w:r>
              <w:rPr>
                <w:sz w:val="28"/>
                <w:szCs w:val="28"/>
                <w:lang w:val="en-US"/>
              </w:rPr>
              <w:t>1</w:t>
            </w:r>
            <w:r>
              <w:rPr>
                <w:sz w:val="28"/>
                <w:szCs w:val="28"/>
                <w:lang w:val="uk-UA"/>
              </w:rPr>
              <w:t>5</w:t>
            </w:r>
            <w:r w:rsidRPr="001B171A">
              <w:rPr>
                <w:sz w:val="28"/>
                <w:szCs w:val="28"/>
                <w:lang w:val="uk-UA"/>
              </w:rPr>
              <w:t>,</w:t>
            </w:r>
            <w:r>
              <w:rPr>
                <w:sz w:val="28"/>
                <w:szCs w:val="28"/>
                <w:lang w:val="uk-UA"/>
              </w:rPr>
              <w:t>22</w:t>
            </w:r>
          </w:p>
          <w:p w14:paraId="4CFB537D" w14:textId="77777777" w:rsidR="00770E10" w:rsidRPr="001B171A" w:rsidRDefault="00770E10" w:rsidP="00887419">
            <w:pPr>
              <w:spacing w:line="276" w:lineRule="auto"/>
              <w:rPr>
                <w:sz w:val="28"/>
                <w:szCs w:val="28"/>
                <w:lang w:val="uk-UA"/>
              </w:rPr>
            </w:pPr>
            <w:r w:rsidRPr="001B171A">
              <w:rPr>
                <w:sz w:val="28"/>
                <w:szCs w:val="28"/>
                <w:lang w:val="uk-UA"/>
              </w:rPr>
              <w:t>(n=</w:t>
            </w:r>
            <w:r>
              <w:rPr>
                <w:sz w:val="28"/>
                <w:szCs w:val="28"/>
                <w:lang w:val="uk-UA"/>
              </w:rPr>
              <w:t>4,11</w:t>
            </w:r>
            <w:r w:rsidRPr="001B171A">
              <w:rPr>
                <w:sz w:val="28"/>
                <w:szCs w:val="28"/>
                <w:lang w:val="uk-UA"/>
              </w:rPr>
              <w:t>)</w:t>
            </w:r>
          </w:p>
        </w:tc>
        <w:tc>
          <w:tcPr>
            <w:tcW w:w="992" w:type="dxa"/>
            <w:vMerge/>
          </w:tcPr>
          <w:p w14:paraId="60BEC517" w14:textId="77777777" w:rsidR="00770E10" w:rsidRPr="001B171A" w:rsidRDefault="00770E10" w:rsidP="00887419">
            <w:pPr>
              <w:spacing w:line="276" w:lineRule="auto"/>
              <w:rPr>
                <w:sz w:val="28"/>
                <w:szCs w:val="28"/>
                <w:lang w:val="uk-UA"/>
              </w:rPr>
            </w:pPr>
          </w:p>
        </w:tc>
        <w:tc>
          <w:tcPr>
            <w:tcW w:w="1276" w:type="dxa"/>
            <w:vMerge/>
          </w:tcPr>
          <w:p w14:paraId="119BE5AA" w14:textId="77777777" w:rsidR="00770E10" w:rsidRPr="001B171A" w:rsidRDefault="00770E10" w:rsidP="00887419">
            <w:pPr>
              <w:spacing w:line="276" w:lineRule="auto"/>
              <w:rPr>
                <w:sz w:val="28"/>
                <w:szCs w:val="28"/>
                <w:lang w:val="uk-UA"/>
              </w:rPr>
            </w:pPr>
          </w:p>
        </w:tc>
        <w:tc>
          <w:tcPr>
            <w:tcW w:w="958" w:type="dxa"/>
            <w:vMerge/>
          </w:tcPr>
          <w:p w14:paraId="24C66A39" w14:textId="77777777" w:rsidR="00770E10" w:rsidRPr="001B171A" w:rsidRDefault="00770E10" w:rsidP="00887419">
            <w:pPr>
              <w:spacing w:line="276" w:lineRule="auto"/>
              <w:rPr>
                <w:sz w:val="28"/>
                <w:szCs w:val="28"/>
                <w:lang w:val="uk-UA"/>
              </w:rPr>
            </w:pPr>
          </w:p>
        </w:tc>
      </w:tr>
    </w:tbl>
    <w:p w14:paraId="42DC3DB8" w14:textId="77777777" w:rsidR="00936303" w:rsidRDefault="00936303" w:rsidP="00887419">
      <w:pPr>
        <w:spacing w:after="0" w:line="276" w:lineRule="auto"/>
        <w:ind w:firstLine="709"/>
        <w:jc w:val="both"/>
        <w:rPr>
          <w:rFonts w:ascii="Times New Roman" w:hAnsi="Times New Roman"/>
          <w:sz w:val="28"/>
          <w:szCs w:val="28"/>
          <w:lang w:val="uk-UA"/>
        </w:rPr>
      </w:pPr>
    </w:p>
    <w:p w14:paraId="0FED047E" w14:textId="2ED922DC" w:rsidR="00770E10" w:rsidRPr="001B171A" w:rsidRDefault="00770E10" w:rsidP="00770E10">
      <w:pPr>
        <w:spacing w:after="0" w:line="360" w:lineRule="auto"/>
        <w:ind w:firstLine="709"/>
        <w:jc w:val="both"/>
        <w:rPr>
          <w:rFonts w:ascii="Times New Roman" w:hAnsi="Times New Roman"/>
          <w:sz w:val="28"/>
          <w:szCs w:val="28"/>
          <w:lang w:val="uk-UA"/>
        </w:rPr>
      </w:pPr>
      <w:r w:rsidRPr="001B171A">
        <w:rPr>
          <w:rFonts w:ascii="Times New Roman" w:hAnsi="Times New Roman"/>
          <w:sz w:val="28"/>
          <w:szCs w:val="28"/>
          <w:lang w:val="uk-UA"/>
        </w:rPr>
        <w:t xml:space="preserve">Аналіз частот генотипів </w:t>
      </w:r>
      <w:r>
        <w:rPr>
          <w:rFonts w:ascii="Times New Roman" w:hAnsi="Times New Roman"/>
          <w:sz w:val="28"/>
          <w:szCs w:val="28"/>
          <w:lang w:val="uk-UA"/>
        </w:rPr>
        <w:t xml:space="preserve">окремо </w:t>
      </w:r>
      <w:r w:rsidRPr="001B171A">
        <w:rPr>
          <w:rFonts w:ascii="Times New Roman" w:hAnsi="Times New Roman"/>
          <w:sz w:val="28"/>
          <w:szCs w:val="28"/>
          <w:lang w:val="uk-UA"/>
        </w:rPr>
        <w:t>у основн</w:t>
      </w:r>
      <w:r>
        <w:rPr>
          <w:rFonts w:ascii="Times New Roman" w:hAnsi="Times New Roman"/>
          <w:sz w:val="28"/>
          <w:szCs w:val="28"/>
          <w:lang w:val="uk-UA"/>
        </w:rPr>
        <w:t>ій та</w:t>
      </w:r>
      <w:r w:rsidRPr="001B171A">
        <w:rPr>
          <w:rFonts w:ascii="Times New Roman" w:hAnsi="Times New Roman"/>
          <w:sz w:val="28"/>
          <w:szCs w:val="28"/>
          <w:lang w:val="uk-UA"/>
        </w:rPr>
        <w:t xml:space="preserve"> контрольн</w:t>
      </w:r>
      <w:r>
        <w:rPr>
          <w:rFonts w:ascii="Times New Roman" w:hAnsi="Times New Roman"/>
          <w:sz w:val="28"/>
          <w:szCs w:val="28"/>
          <w:lang w:val="uk-UA"/>
        </w:rPr>
        <w:t>ій групах, та по</w:t>
      </w:r>
      <w:r w:rsidRPr="001B171A">
        <w:rPr>
          <w:rFonts w:ascii="Times New Roman" w:hAnsi="Times New Roman"/>
          <w:sz w:val="28"/>
          <w:szCs w:val="28"/>
          <w:lang w:val="uk-UA"/>
        </w:rPr>
        <w:t xml:space="preserve"> вибірці в цілому, показав, що </w:t>
      </w:r>
      <w:r>
        <w:rPr>
          <w:rFonts w:ascii="Times New Roman" w:hAnsi="Times New Roman"/>
          <w:sz w:val="28"/>
          <w:szCs w:val="28"/>
          <w:lang w:val="uk-UA"/>
        </w:rPr>
        <w:t xml:space="preserve">всі отримані </w:t>
      </w:r>
      <w:r w:rsidRPr="001B171A">
        <w:rPr>
          <w:rFonts w:ascii="Times New Roman" w:hAnsi="Times New Roman"/>
          <w:sz w:val="28"/>
          <w:szCs w:val="28"/>
          <w:lang w:val="uk-UA"/>
        </w:rPr>
        <w:t>розподіл</w:t>
      </w:r>
      <w:r>
        <w:rPr>
          <w:rFonts w:ascii="Times New Roman" w:hAnsi="Times New Roman"/>
          <w:sz w:val="28"/>
          <w:szCs w:val="28"/>
          <w:lang w:val="uk-UA"/>
        </w:rPr>
        <w:t>и</w:t>
      </w:r>
      <w:r w:rsidRPr="001B171A">
        <w:rPr>
          <w:rFonts w:ascii="Times New Roman" w:hAnsi="Times New Roman"/>
          <w:sz w:val="28"/>
          <w:szCs w:val="28"/>
          <w:lang w:val="uk-UA"/>
        </w:rPr>
        <w:t xml:space="preserve"> не відрізня</w:t>
      </w:r>
      <w:r>
        <w:rPr>
          <w:rFonts w:ascii="Times New Roman" w:hAnsi="Times New Roman"/>
          <w:sz w:val="28"/>
          <w:szCs w:val="28"/>
          <w:lang w:val="uk-UA"/>
        </w:rPr>
        <w:t>ю</w:t>
      </w:r>
      <w:r w:rsidRPr="001B171A">
        <w:rPr>
          <w:rFonts w:ascii="Times New Roman" w:hAnsi="Times New Roman"/>
          <w:sz w:val="28"/>
          <w:szCs w:val="28"/>
          <w:lang w:val="uk-UA"/>
        </w:rPr>
        <w:t>ться від теоретично очікуван</w:t>
      </w:r>
      <w:r>
        <w:rPr>
          <w:rFonts w:ascii="Times New Roman" w:hAnsi="Times New Roman"/>
          <w:sz w:val="28"/>
          <w:szCs w:val="28"/>
          <w:lang w:val="uk-UA"/>
        </w:rPr>
        <w:t>их</w:t>
      </w:r>
      <w:r w:rsidRPr="001B171A">
        <w:rPr>
          <w:rFonts w:ascii="Times New Roman" w:hAnsi="Times New Roman"/>
          <w:sz w:val="28"/>
          <w:szCs w:val="28"/>
          <w:lang w:val="uk-UA"/>
        </w:rPr>
        <w:t xml:space="preserve"> для панміктичної популяції </w:t>
      </w:r>
      <w:r>
        <w:rPr>
          <w:rFonts w:ascii="Times New Roman" w:hAnsi="Times New Roman"/>
          <w:sz w:val="28"/>
          <w:szCs w:val="28"/>
          <w:lang w:val="uk-UA"/>
        </w:rPr>
        <w:t xml:space="preserve">(відповідно до </w:t>
      </w:r>
      <w:r w:rsidRPr="001B171A">
        <w:rPr>
          <w:rFonts w:ascii="Times New Roman" w:hAnsi="Times New Roman"/>
          <w:sz w:val="28"/>
          <w:szCs w:val="28"/>
          <w:lang w:val="uk-UA"/>
        </w:rPr>
        <w:t>закон</w:t>
      </w:r>
      <w:r>
        <w:rPr>
          <w:rFonts w:ascii="Times New Roman" w:hAnsi="Times New Roman"/>
          <w:sz w:val="28"/>
          <w:szCs w:val="28"/>
          <w:lang w:val="uk-UA"/>
        </w:rPr>
        <w:t>у</w:t>
      </w:r>
      <w:r w:rsidRPr="001B171A">
        <w:rPr>
          <w:rFonts w:ascii="Times New Roman" w:hAnsi="Times New Roman"/>
          <w:sz w:val="28"/>
          <w:szCs w:val="28"/>
          <w:lang w:val="uk-UA"/>
        </w:rPr>
        <w:t xml:space="preserve"> Харді-Вайнберга </w:t>
      </w:r>
      <w:r w:rsidRPr="00907552">
        <w:rPr>
          <w:rFonts w:ascii="Times New Roman" w:hAnsi="Times New Roman"/>
          <w:sz w:val="28"/>
          <w:szCs w:val="28"/>
          <w:lang w:val="uk-UA"/>
        </w:rPr>
        <w:t>(</w:t>
      </w:r>
      <w:r>
        <w:rPr>
          <w:rFonts w:ascii="Times New Roman" w:hAnsi="Times New Roman"/>
          <w:sz w:val="28"/>
          <w:szCs w:val="28"/>
        </w:rPr>
        <w:t>χ</w:t>
      </w:r>
      <w:r w:rsidRPr="00907552">
        <w:rPr>
          <w:rFonts w:ascii="Times New Roman" w:hAnsi="Times New Roman"/>
          <w:sz w:val="28"/>
          <w:szCs w:val="28"/>
          <w:vertAlign w:val="superscript"/>
          <w:lang w:val="uk-UA"/>
        </w:rPr>
        <w:t>2</w:t>
      </w:r>
      <w:r w:rsidRPr="00907552">
        <w:rPr>
          <w:rFonts w:ascii="Times New Roman" w:hAnsi="Times New Roman"/>
          <w:sz w:val="28"/>
          <w:szCs w:val="28"/>
          <w:lang w:val="uk-UA"/>
        </w:rPr>
        <w:t>&lt;5,99)</w:t>
      </w:r>
      <w:r>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 xml:space="preserve">Більш того, </w:t>
      </w:r>
      <w:r w:rsidRPr="001B171A">
        <w:rPr>
          <w:rFonts w:ascii="Times New Roman" w:hAnsi="Times New Roman"/>
          <w:sz w:val="28"/>
          <w:szCs w:val="28"/>
          <w:lang w:val="uk-UA"/>
        </w:rPr>
        <w:t>частот</w:t>
      </w:r>
      <w:r>
        <w:rPr>
          <w:rFonts w:ascii="Times New Roman" w:hAnsi="Times New Roman"/>
          <w:sz w:val="28"/>
          <w:szCs w:val="28"/>
          <w:lang w:val="uk-UA"/>
        </w:rPr>
        <w:t>и</w:t>
      </w:r>
      <w:r w:rsidRPr="001B171A">
        <w:rPr>
          <w:rFonts w:ascii="Times New Roman" w:hAnsi="Times New Roman"/>
          <w:sz w:val="28"/>
          <w:szCs w:val="28"/>
          <w:lang w:val="uk-UA"/>
        </w:rPr>
        <w:t xml:space="preserve"> генотипів </w:t>
      </w:r>
      <w:r>
        <w:rPr>
          <w:rFonts w:ascii="Times New Roman" w:hAnsi="Times New Roman"/>
          <w:sz w:val="28"/>
          <w:szCs w:val="28"/>
          <w:lang w:val="uk-UA"/>
        </w:rPr>
        <w:t>у</w:t>
      </w:r>
      <w:r w:rsidRPr="001B171A">
        <w:rPr>
          <w:rFonts w:ascii="Times New Roman" w:hAnsi="Times New Roman"/>
          <w:sz w:val="28"/>
          <w:szCs w:val="28"/>
          <w:lang w:val="uk-UA"/>
        </w:rPr>
        <w:t xml:space="preserve"> контрольн</w:t>
      </w:r>
      <w:r>
        <w:rPr>
          <w:rFonts w:ascii="Times New Roman" w:hAnsi="Times New Roman"/>
          <w:sz w:val="28"/>
          <w:szCs w:val="28"/>
          <w:lang w:val="uk-UA"/>
        </w:rPr>
        <w:t>ій</w:t>
      </w:r>
      <w:r w:rsidRPr="001B171A">
        <w:rPr>
          <w:rFonts w:ascii="Times New Roman" w:hAnsi="Times New Roman"/>
          <w:sz w:val="28"/>
          <w:szCs w:val="28"/>
          <w:lang w:val="uk-UA"/>
        </w:rPr>
        <w:t xml:space="preserve"> та основн</w:t>
      </w:r>
      <w:r>
        <w:rPr>
          <w:rFonts w:ascii="Times New Roman" w:hAnsi="Times New Roman"/>
          <w:sz w:val="28"/>
          <w:szCs w:val="28"/>
          <w:lang w:val="uk-UA"/>
        </w:rPr>
        <w:t>ій</w:t>
      </w:r>
      <w:r w:rsidRPr="001B171A">
        <w:rPr>
          <w:rFonts w:ascii="Times New Roman" w:hAnsi="Times New Roman"/>
          <w:sz w:val="28"/>
          <w:szCs w:val="28"/>
          <w:lang w:val="uk-UA"/>
        </w:rPr>
        <w:t xml:space="preserve"> група</w:t>
      </w:r>
      <w:r>
        <w:rPr>
          <w:rFonts w:ascii="Times New Roman" w:hAnsi="Times New Roman"/>
          <w:sz w:val="28"/>
          <w:szCs w:val="28"/>
          <w:lang w:val="uk-UA"/>
        </w:rPr>
        <w:t>х</w:t>
      </w:r>
      <w:r w:rsidRPr="001B171A">
        <w:rPr>
          <w:rFonts w:ascii="Times New Roman" w:hAnsi="Times New Roman"/>
          <w:sz w:val="28"/>
          <w:szCs w:val="28"/>
          <w:lang w:val="uk-UA"/>
        </w:rPr>
        <w:t xml:space="preserve"> </w:t>
      </w:r>
      <w:r>
        <w:rPr>
          <w:rFonts w:ascii="Times New Roman" w:hAnsi="Times New Roman"/>
          <w:sz w:val="28"/>
          <w:szCs w:val="28"/>
          <w:lang w:val="uk-UA"/>
        </w:rPr>
        <w:t>не відрізняються</w:t>
      </w:r>
      <w:r w:rsidR="00114791">
        <w:rPr>
          <w:rFonts w:ascii="Times New Roman" w:hAnsi="Times New Roman"/>
          <w:sz w:val="28"/>
          <w:szCs w:val="28"/>
          <w:lang w:val="uk-UA"/>
        </w:rPr>
        <w:t xml:space="preserve"> (т</w:t>
      </w:r>
      <w:r w:rsidRPr="001B171A">
        <w:rPr>
          <w:rFonts w:ascii="Times New Roman" w:hAnsi="Times New Roman"/>
          <w:sz w:val="28"/>
          <w:szCs w:val="28"/>
          <w:lang w:val="uk-UA"/>
        </w:rPr>
        <w:t>абл.</w:t>
      </w:r>
      <w:r w:rsidR="00114791">
        <w:rPr>
          <w:rFonts w:ascii="Times New Roman" w:hAnsi="Times New Roman"/>
          <w:sz w:val="28"/>
          <w:szCs w:val="28"/>
          <w:lang w:val="uk-UA"/>
        </w:rPr>
        <w:t xml:space="preserve"> 6.4</w:t>
      </w:r>
      <w:r w:rsidRPr="001B171A">
        <w:rPr>
          <w:rFonts w:ascii="Times New Roman" w:hAnsi="Times New Roman"/>
          <w:sz w:val="28"/>
          <w:szCs w:val="28"/>
          <w:lang w:val="uk-UA"/>
        </w:rPr>
        <w:t>).</w:t>
      </w:r>
      <w:r>
        <w:rPr>
          <w:rFonts w:ascii="Times New Roman" w:hAnsi="Times New Roman"/>
          <w:sz w:val="28"/>
          <w:szCs w:val="28"/>
          <w:lang w:val="uk-UA"/>
        </w:rPr>
        <w:t xml:space="preserve"> О</w:t>
      </w:r>
      <w:r w:rsidR="00114791">
        <w:rPr>
          <w:rFonts w:ascii="Times New Roman" w:hAnsi="Times New Roman"/>
          <w:sz w:val="28"/>
          <w:szCs w:val="28"/>
          <w:lang w:val="uk-UA"/>
        </w:rPr>
        <w:t>тримані нами частоти алелів</w:t>
      </w:r>
      <w:r>
        <w:rPr>
          <w:rFonts w:ascii="Times New Roman" w:hAnsi="Times New Roman"/>
          <w:sz w:val="28"/>
          <w:szCs w:val="28"/>
          <w:lang w:val="uk-UA"/>
        </w:rPr>
        <w:t xml:space="preserve"> </w:t>
      </w:r>
      <w:r w:rsidRPr="001B171A">
        <w:rPr>
          <w:rFonts w:ascii="Times New Roman" w:hAnsi="Times New Roman"/>
          <w:sz w:val="28"/>
          <w:szCs w:val="28"/>
          <w:lang w:val="uk-UA"/>
        </w:rPr>
        <w:t>за досліджуваним поліморфізмом, як по вибірці в цілому, так і у межах контрольної та основної груп</w:t>
      </w:r>
      <w:r>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 xml:space="preserve">також </w:t>
      </w:r>
      <w:r w:rsidRPr="001B171A">
        <w:rPr>
          <w:rFonts w:ascii="Times New Roman" w:hAnsi="Times New Roman"/>
          <w:sz w:val="28"/>
          <w:szCs w:val="28"/>
          <w:lang w:val="uk-UA"/>
        </w:rPr>
        <w:t>фактично не відрізняються. Вони можуть бути співставлені з частотами алелів за цим поліморфізмом, що були розраховані за даними деяких досліджень</w:t>
      </w:r>
      <w:r w:rsidR="00AE0FB9">
        <w:rPr>
          <w:rFonts w:ascii="Times New Roman" w:hAnsi="Times New Roman"/>
          <w:sz w:val="28"/>
          <w:szCs w:val="28"/>
          <w:lang w:val="uk-UA"/>
        </w:rPr>
        <w:t xml:space="preserve"> </w:t>
      </w:r>
      <w:r w:rsidR="00AE0FB9" w:rsidRPr="00114791">
        <w:rPr>
          <w:rFonts w:ascii="Times New Roman" w:hAnsi="Times New Roman"/>
          <w:sz w:val="28"/>
          <w:szCs w:val="28"/>
          <w:lang w:val="uk-UA"/>
        </w:rPr>
        <w:t>[</w:t>
      </w:r>
      <w:r w:rsidR="00AE0FB9">
        <w:rPr>
          <w:rFonts w:ascii="Times New Roman" w:hAnsi="Times New Roman"/>
          <w:sz w:val="28"/>
          <w:szCs w:val="28"/>
          <w:lang w:val="uk-UA"/>
        </w:rPr>
        <w:t>298</w:t>
      </w:r>
      <w:r w:rsidR="00AE0FB9" w:rsidRPr="00114791">
        <w:rPr>
          <w:rFonts w:ascii="Times New Roman" w:hAnsi="Times New Roman"/>
          <w:sz w:val="28"/>
          <w:szCs w:val="28"/>
          <w:lang w:val="uk-UA"/>
        </w:rPr>
        <w:t>]</w:t>
      </w:r>
      <w:r w:rsidR="00AE0FB9">
        <w:rPr>
          <w:rFonts w:ascii="Times New Roman" w:hAnsi="Times New Roman"/>
          <w:sz w:val="28"/>
          <w:szCs w:val="28"/>
          <w:lang w:val="uk-UA"/>
        </w:rPr>
        <w:t>.</w:t>
      </w:r>
      <w:r w:rsidRPr="001B171A">
        <w:rPr>
          <w:rFonts w:ascii="Times New Roman" w:hAnsi="Times New Roman"/>
          <w:sz w:val="28"/>
          <w:szCs w:val="28"/>
          <w:lang w:val="uk-UA"/>
        </w:rPr>
        <w:t xml:space="preserve"> </w:t>
      </w:r>
      <w:r>
        <w:rPr>
          <w:rFonts w:ascii="Times New Roman" w:hAnsi="Times New Roman"/>
          <w:sz w:val="28"/>
          <w:szCs w:val="28"/>
          <w:lang w:val="uk-UA"/>
        </w:rPr>
        <w:t>Зокрема, аналогічні частоти алелів були встановлені для фінської популяції</w:t>
      </w:r>
      <w:r w:rsidRPr="001B171A">
        <w:rPr>
          <w:rFonts w:ascii="Times New Roman" w:hAnsi="Times New Roman"/>
          <w:sz w:val="28"/>
          <w:szCs w:val="28"/>
          <w:lang w:val="uk-UA"/>
        </w:rPr>
        <w:t xml:space="preserve">, </w:t>
      </w:r>
      <w:r>
        <w:rPr>
          <w:rFonts w:ascii="Times New Roman" w:hAnsi="Times New Roman"/>
          <w:sz w:val="28"/>
          <w:szCs w:val="28"/>
          <w:lang w:val="uk-UA"/>
        </w:rPr>
        <w:t>але</w:t>
      </w:r>
      <w:r w:rsidRPr="001B171A">
        <w:rPr>
          <w:rFonts w:ascii="Times New Roman" w:hAnsi="Times New Roman"/>
          <w:sz w:val="28"/>
          <w:szCs w:val="28"/>
          <w:lang w:val="uk-UA"/>
        </w:rPr>
        <w:t xml:space="preserve"> </w:t>
      </w:r>
      <w:r>
        <w:rPr>
          <w:rFonts w:ascii="Times New Roman" w:hAnsi="Times New Roman"/>
          <w:sz w:val="28"/>
          <w:szCs w:val="28"/>
          <w:lang w:val="uk-UA"/>
        </w:rPr>
        <w:t>з</w:t>
      </w:r>
      <w:r w:rsidRPr="001B171A">
        <w:rPr>
          <w:rFonts w:ascii="Times New Roman" w:hAnsi="Times New Roman"/>
          <w:sz w:val="28"/>
          <w:szCs w:val="28"/>
          <w:lang w:val="uk-UA"/>
        </w:rPr>
        <w:t xml:space="preserve"> </w:t>
      </w:r>
      <w:r>
        <w:rPr>
          <w:rFonts w:ascii="Times New Roman" w:hAnsi="Times New Roman"/>
          <w:sz w:val="28"/>
          <w:szCs w:val="28"/>
          <w:lang w:val="uk-UA"/>
        </w:rPr>
        <w:t>дещо зниж</w:t>
      </w:r>
      <w:r w:rsidRPr="001B171A">
        <w:rPr>
          <w:rFonts w:ascii="Times New Roman" w:hAnsi="Times New Roman"/>
          <w:sz w:val="28"/>
          <w:szCs w:val="28"/>
          <w:lang w:val="uk-UA"/>
        </w:rPr>
        <w:t>еною частотою мутантного алелю (</w:t>
      </w:r>
      <w:r>
        <w:rPr>
          <w:rFonts w:ascii="Times New Roman" w:hAnsi="Times New Roman"/>
          <w:i/>
          <w:sz w:val="28"/>
          <w:szCs w:val="28"/>
        </w:rPr>
        <w:t>G</w:t>
      </w:r>
      <w:r>
        <w:rPr>
          <w:rFonts w:ascii="Times New Roman" w:hAnsi="Times New Roman"/>
          <w:sz w:val="28"/>
          <w:szCs w:val="28"/>
          <w:lang w:val="uk-UA"/>
        </w:rPr>
        <w:t>).</w:t>
      </w:r>
    </w:p>
    <w:p w14:paraId="12D2134B" w14:textId="6F069689" w:rsidR="00770E10" w:rsidRPr="00AE0FB9" w:rsidRDefault="00770E10" w:rsidP="00770E1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1B171A">
        <w:rPr>
          <w:rFonts w:ascii="Times New Roman" w:hAnsi="Times New Roman"/>
          <w:sz w:val="28"/>
          <w:szCs w:val="28"/>
          <w:lang w:val="uk-UA"/>
        </w:rPr>
        <w:t xml:space="preserve">орівняльний аналіз показників, що характеризують </w:t>
      </w:r>
      <w:r>
        <w:rPr>
          <w:rFonts w:ascii="Times New Roman" w:hAnsi="Times New Roman"/>
          <w:sz w:val="28"/>
          <w:szCs w:val="28"/>
          <w:lang w:val="uk-UA"/>
        </w:rPr>
        <w:t xml:space="preserve">імунологічний статус </w:t>
      </w:r>
      <w:r w:rsidRPr="001B171A">
        <w:rPr>
          <w:rFonts w:ascii="Times New Roman" w:hAnsi="Times New Roman"/>
          <w:sz w:val="28"/>
          <w:szCs w:val="28"/>
          <w:lang w:val="uk-UA"/>
        </w:rPr>
        <w:t>(</w:t>
      </w:r>
      <w:r>
        <w:rPr>
          <w:rFonts w:ascii="Times New Roman" w:hAnsi="Times New Roman"/>
          <w:sz w:val="28"/>
          <w:szCs w:val="28"/>
        </w:rPr>
        <w:t>sIgA</w:t>
      </w:r>
      <w:r w:rsidRPr="00702123">
        <w:rPr>
          <w:rFonts w:ascii="Times New Roman" w:hAnsi="Times New Roman"/>
          <w:sz w:val="28"/>
          <w:szCs w:val="28"/>
          <w:lang w:val="uk-UA"/>
        </w:rPr>
        <w:t xml:space="preserve">, </w:t>
      </w:r>
      <w:r>
        <w:rPr>
          <w:rFonts w:ascii="Times New Roman" w:hAnsi="Times New Roman"/>
          <w:sz w:val="28"/>
          <w:szCs w:val="28"/>
        </w:rPr>
        <w:t>IgA</w:t>
      </w:r>
      <w:r w:rsidRPr="00702123">
        <w:rPr>
          <w:rFonts w:ascii="Times New Roman" w:hAnsi="Times New Roman"/>
          <w:sz w:val="28"/>
          <w:szCs w:val="28"/>
          <w:lang w:val="uk-UA"/>
        </w:rPr>
        <w:t xml:space="preserve">, </w:t>
      </w:r>
      <w:r>
        <w:rPr>
          <w:rFonts w:ascii="Times New Roman" w:hAnsi="Times New Roman"/>
          <w:sz w:val="28"/>
          <w:szCs w:val="28"/>
        </w:rPr>
        <w:t>IgG</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 xml:space="preserve">та </w:t>
      </w:r>
      <w:r w:rsidRPr="001B171A">
        <w:rPr>
          <w:rFonts w:ascii="Times New Roman" w:hAnsi="Times New Roman"/>
          <w:sz w:val="28"/>
          <w:szCs w:val="28"/>
          <w:lang w:val="uk-UA"/>
        </w:rPr>
        <w:t>ступінь розвитку гінгівіту (</w:t>
      </w:r>
      <w:r>
        <w:rPr>
          <w:rFonts w:ascii="Times New Roman" w:hAnsi="Times New Roman"/>
          <w:sz w:val="28"/>
          <w:szCs w:val="28"/>
        </w:rPr>
        <w:t>SBI</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в</w:t>
      </w:r>
      <w:r w:rsidRPr="001B171A">
        <w:rPr>
          <w:rFonts w:ascii="Times New Roman" w:hAnsi="Times New Roman"/>
          <w:sz w:val="28"/>
          <w:szCs w:val="28"/>
          <w:lang w:val="uk-UA"/>
        </w:rPr>
        <w:t xml:space="preserve"> </w:t>
      </w:r>
      <w:r>
        <w:rPr>
          <w:rFonts w:ascii="Times New Roman" w:hAnsi="Times New Roman"/>
          <w:sz w:val="28"/>
          <w:szCs w:val="28"/>
          <w:lang w:val="uk-UA"/>
        </w:rPr>
        <w:t>пацієнтів</w:t>
      </w:r>
      <w:r w:rsidRPr="001B171A">
        <w:rPr>
          <w:rFonts w:ascii="Times New Roman" w:hAnsi="Times New Roman"/>
          <w:sz w:val="28"/>
          <w:szCs w:val="28"/>
          <w:lang w:val="uk-UA"/>
        </w:rPr>
        <w:t xml:space="preserve"> </w:t>
      </w:r>
      <w:r>
        <w:rPr>
          <w:rFonts w:ascii="Times New Roman" w:hAnsi="Times New Roman"/>
          <w:sz w:val="28"/>
          <w:szCs w:val="28"/>
          <w:lang w:val="uk-UA"/>
        </w:rPr>
        <w:t xml:space="preserve">контрольної та основної груп виявив лише відмінності зумовлені саме приналежністю індивіда до однієї з цих груп </w:t>
      </w:r>
      <w:r w:rsidR="00AE0FB9">
        <w:rPr>
          <w:rFonts w:ascii="Times New Roman" w:hAnsi="Times New Roman"/>
          <w:sz w:val="28"/>
          <w:szCs w:val="28"/>
          <w:lang w:val="uk-UA"/>
        </w:rPr>
        <w:t>(т</w:t>
      </w:r>
      <w:r w:rsidRPr="001D43D3">
        <w:rPr>
          <w:rFonts w:ascii="Times New Roman" w:hAnsi="Times New Roman"/>
          <w:sz w:val="28"/>
          <w:szCs w:val="28"/>
          <w:lang w:val="uk-UA"/>
        </w:rPr>
        <w:t>абл.</w:t>
      </w:r>
      <w:r w:rsidR="00D0270E">
        <w:rPr>
          <w:rFonts w:ascii="Times New Roman" w:hAnsi="Times New Roman"/>
          <w:sz w:val="28"/>
          <w:szCs w:val="28"/>
          <w:lang w:val="uk-UA"/>
        </w:rPr>
        <w:t xml:space="preserve"> 6</w:t>
      </w:r>
      <w:r w:rsidR="00AE0FB9">
        <w:rPr>
          <w:rFonts w:ascii="Times New Roman" w:hAnsi="Times New Roman"/>
          <w:sz w:val="28"/>
          <w:szCs w:val="28"/>
          <w:lang w:val="uk-UA"/>
        </w:rPr>
        <w:t>.5</w:t>
      </w:r>
      <w:r w:rsidRPr="001D43D3">
        <w:rPr>
          <w:rFonts w:ascii="Times New Roman" w:hAnsi="Times New Roman"/>
          <w:sz w:val="28"/>
          <w:szCs w:val="28"/>
          <w:lang w:val="uk-UA"/>
        </w:rPr>
        <w:t>)</w:t>
      </w:r>
      <w:r>
        <w:rPr>
          <w:rFonts w:ascii="Times New Roman" w:hAnsi="Times New Roman"/>
          <w:sz w:val="28"/>
          <w:szCs w:val="28"/>
          <w:lang w:val="uk-UA"/>
        </w:rPr>
        <w:t xml:space="preserve">, незалежно від генотипу за </w:t>
      </w:r>
      <w:r w:rsidRPr="00AE0FB9">
        <w:rPr>
          <w:rFonts w:ascii="Times New Roman" w:hAnsi="Times New Roman"/>
          <w:sz w:val="28"/>
          <w:szCs w:val="28"/>
          <w:lang w:val="uk-UA"/>
        </w:rPr>
        <w:t>rs1800896.</w:t>
      </w:r>
    </w:p>
    <w:p w14:paraId="1638A113" w14:textId="77777777" w:rsidR="00936303" w:rsidRDefault="00936303" w:rsidP="00B11C46">
      <w:pPr>
        <w:spacing w:after="0" w:line="360" w:lineRule="auto"/>
        <w:ind w:firstLine="709"/>
        <w:jc w:val="right"/>
        <w:rPr>
          <w:rFonts w:ascii="Times New Roman" w:hAnsi="Times New Roman"/>
          <w:sz w:val="28"/>
          <w:szCs w:val="28"/>
          <w:lang w:val="uk-UA"/>
        </w:rPr>
      </w:pPr>
    </w:p>
    <w:p w14:paraId="15881897" w14:textId="77777777" w:rsidR="00936303" w:rsidRDefault="00936303" w:rsidP="00B11C46">
      <w:pPr>
        <w:spacing w:after="0" w:line="360" w:lineRule="auto"/>
        <w:ind w:firstLine="709"/>
        <w:jc w:val="right"/>
        <w:rPr>
          <w:rFonts w:ascii="Times New Roman" w:hAnsi="Times New Roman"/>
          <w:sz w:val="28"/>
          <w:szCs w:val="28"/>
          <w:lang w:val="uk-UA"/>
        </w:rPr>
      </w:pPr>
    </w:p>
    <w:p w14:paraId="212425A9" w14:textId="77777777" w:rsidR="00936303" w:rsidRDefault="00936303" w:rsidP="00B11C46">
      <w:pPr>
        <w:spacing w:after="0" w:line="360" w:lineRule="auto"/>
        <w:ind w:firstLine="709"/>
        <w:jc w:val="right"/>
        <w:rPr>
          <w:rFonts w:ascii="Times New Roman" w:hAnsi="Times New Roman"/>
          <w:sz w:val="28"/>
          <w:szCs w:val="28"/>
          <w:lang w:val="uk-UA"/>
        </w:rPr>
      </w:pPr>
    </w:p>
    <w:p w14:paraId="02C57ED8" w14:textId="77777777" w:rsidR="00936303" w:rsidRDefault="00936303" w:rsidP="00B11C46">
      <w:pPr>
        <w:spacing w:after="0" w:line="360" w:lineRule="auto"/>
        <w:ind w:firstLine="709"/>
        <w:jc w:val="right"/>
        <w:rPr>
          <w:rFonts w:ascii="Times New Roman" w:hAnsi="Times New Roman"/>
          <w:sz w:val="28"/>
          <w:szCs w:val="28"/>
          <w:lang w:val="uk-UA"/>
        </w:rPr>
      </w:pPr>
    </w:p>
    <w:p w14:paraId="6D9FCBA7" w14:textId="77777777" w:rsidR="00936303" w:rsidRDefault="00936303" w:rsidP="00B11C46">
      <w:pPr>
        <w:spacing w:after="0" w:line="360" w:lineRule="auto"/>
        <w:ind w:firstLine="709"/>
        <w:jc w:val="right"/>
        <w:rPr>
          <w:rFonts w:ascii="Times New Roman" w:hAnsi="Times New Roman"/>
          <w:sz w:val="28"/>
          <w:szCs w:val="28"/>
          <w:lang w:val="uk-UA"/>
        </w:rPr>
      </w:pPr>
    </w:p>
    <w:p w14:paraId="16097A3E" w14:textId="77777777" w:rsidR="00936303" w:rsidRDefault="00936303" w:rsidP="0006458A">
      <w:pPr>
        <w:spacing w:after="0" w:line="360" w:lineRule="auto"/>
        <w:rPr>
          <w:rFonts w:ascii="Times New Roman" w:hAnsi="Times New Roman"/>
          <w:sz w:val="28"/>
          <w:szCs w:val="28"/>
          <w:lang w:val="uk-UA"/>
        </w:rPr>
      </w:pPr>
    </w:p>
    <w:p w14:paraId="203ADC98" w14:textId="5F1E03A0" w:rsidR="00770E10" w:rsidRPr="00AE0FB9" w:rsidRDefault="00770E10" w:rsidP="00B11C46">
      <w:pPr>
        <w:spacing w:after="0" w:line="360" w:lineRule="auto"/>
        <w:ind w:firstLine="709"/>
        <w:jc w:val="right"/>
        <w:rPr>
          <w:rFonts w:ascii="Times New Roman" w:hAnsi="Times New Roman"/>
          <w:sz w:val="28"/>
          <w:szCs w:val="28"/>
          <w:lang w:val="uk-UA"/>
        </w:rPr>
      </w:pPr>
      <w:r w:rsidRPr="00AE0FB9">
        <w:rPr>
          <w:rFonts w:ascii="Times New Roman" w:hAnsi="Times New Roman"/>
          <w:sz w:val="28"/>
          <w:szCs w:val="28"/>
          <w:lang w:val="uk-UA"/>
        </w:rPr>
        <w:t>Таблиця</w:t>
      </w:r>
      <w:r w:rsidR="00D0270E">
        <w:rPr>
          <w:rFonts w:ascii="Times New Roman" w:hAnsi="Times New Roman"/>
          <w:sz w:val="28"/>
          <w:szCs w:val="28"/>
          <w:lang w:val="uk-UA"/>
        </w:rPr>
        <w:t xml:space="preserve"> 6</w:t>
      </w:r>
      <w:r w:rsidR="00AE0FB9" w:rsidRPr="00AE0FB9">
        <w:rPr>
          <w:rFonts w:ascii="Times New Roman" w:hAnsi="Times New Roman"/>
          <w:sz w:val="28"/>
          <w:szCs w:val="28"/>
          <w:lang w:val="uk-UA"/>
        </w:rPr>
        <w:t>.5</w:t>
      </w:r>
      <w:r w:rsidRPr="00AE0FB9">
        <w:rPr>
          <w:rFonts w:ascii="Times New Roman" w:hAnsi="Times New Roman"/>
          <w:sz w:val="28"/>
          <w:szCs w:val="28"/>
          <w:lang w:val="uk-UA"/>
        </w:rPr>
        <w:t>.</w:t>
      </w:r>
    </w:p>
    <w:p w14:paraId="0D2D7D7A" w14:textId="77777777" w:rsidR="00770E10" w:rsidRPr="00AE0FB9" w:rsidRDefault="00770E10" w:rsidP="000728CB">
      <w:pPr>
        <w:spacing w:after="0" w:line="360" w:lineRule="auto"/>
        <w:ind w:firstLine="709"/>
        <w:jc w:val="center"/>
        <w:rPr>
          <w:rFonts w:ascii="Times New Roman" w:hAnsi="Times New Roman"/>
          <w:sz w:val="28"/>
          <w:szCs w:val="28"/>
          <w:lang w:val="uk-UA"/>
        </w:rPr>
      </w:pPr>
      <w:r w:rsidRPr="00AE0FB9">
        <w:rPr>
          <w:rFonts w:ascii="Times New Roman" w:hAnsi="Times New Roman"/>
          <w:sz w:val="28"/>
          <w:szCs w:val="28"/>
          <w:lang w:val="uk-UA"/>
        </w:rPr>
        <w:t>Аналіз ефекту SNP rs1800896 на імунологічний статус та ступінь розвитку гінгівіту у пацієнтів з атопічними захворюваннями, порівняно із контролем (результати двохфакторного ANOVA)</w:t>
      </w:r>
    </w:p>
    <w:tbl>
      <w:tblPr>
        <w:tblStyle w:val="1"/>
        <w:tblW w:w="9464" w:type="dxa"/>
        <w:tblLayout w:type="fixed"/>
        <w:tblLook w:val="04A0" w:firstRow="1" w:lastRow="0" w:firstColumn="1" w:lastColumn="0" w:noHBand="0" w:noVBand="1"/>
      </w:tblPr>
      <w:tblGrid>
        <w:gridCol w:w="4077"/>
        <w:gridCol w:w="1134"/>
        <w:gridCol w:w="709"/>
        <w:gridCol w:w="1276"/>
        <w:gridCol w:w="1134"/>
        <w:gridCol w:w="1134"/>
      </w:tblGrid>
      <w:tr w:rsidR="00770E10" w:rsidRPr="00BB58A7" w14:paraId="5D3E4A85" w14:textId="77777777" w:rsidTr="00346B70">
        <w:trPr>
          <w:trHeight w:val="176"/>
        </w:trPr>
        <w:tc>
          <w:tcPr>
            <w:tcW w:w="4077" w:type="dxa"/>
            <w:hideMark/>
          </w:tcPr>
          <w:p w14:paraId="25336506"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p>
        </w:tc>
        <w:tc>
          <w:tcPr>
            <w:tcW w:w="1134" w:type="dxa"/>
            <w:hideMark/>
          </w:tcPr>
          <w:p w14:paraId="3FB75765"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SS</w:t>
            </w:r>
          </w:p>
        </w:tc>
        <w:tc>
          <w:tcPr>
            <w:tcW w:w="709" w:type="dxa"/>
            <w:hideMark/>
          </w:tcPr>
          <w:p w14:paraId="77A08AB7"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d. f.</w:t>
            </w:r>
          </w:p>
        </w:tc>
        <w:tc>
          <w:tcPr>
            <w:tcW w:w="1276" w:type="dxa"/>
            <w:hideMark/>
          </w:tcPr>
          <w:p w14:paraId="64F68431"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MS</w:t>
            </w:r>
          </w:p>
        </w:tc>
        <w:tc>
          <w:tcPr>
            <w:tcW w:w="1134" w:type="dxa"/>
            <w:hideMark/>
          </w:tcPr>
          <w:p w14:paraId="603A336D"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F</w:t>
            </w:r>
          </w:p>
        </w:tc>
        <w:tc>
          <w:tcPr>
            <w:tcW w:w="1134" w:type="dxa"/>
            <w:hideMark/>
          </w:tcPr>
          <w:p w14:paraId="33D3BE74" w14:textId="77777777" w:rsidR="00770E10" w:rsidRPr="00BB58A7" w:rsidRDefault="00770E10" w:rsidP="00B11C46">
            <w:pPr>
              <w:spacing w:line="360" w:lineRule="auto"/>
              <w:jc w:val="center"/>
              <w:rPr>
                <w:rFonts w:ascii="Times New Roman" w:eastAsia="Times New Roman" w:hAnsi="Times New Roman"/>
                <w:b/>
                <w:bCs/>
                <w:sz w:val="28"/>
                <w:szCs w:val="28"/>
                <w:lang w:val="uk-UA" w:eastAsia="ru-RU"/>
              </w:rPr>
            </w:pPr>
            <w:r w:rsidRPr="00BB58A7">
              <w:rPr>
                <w:rFonts w:ascii="Times New Roman" w:eastAsia="Times New Roman" w:hAnsi="Times New Roman"/>
                <w:b/>
                <w:bCs/>
                <w:color w:val="000000"/>
                <w:sz w:val="28"/>
                <w:szCs w:val="28"/>
                <w:lang w:val="uk-UA" w:eastAsia="ru-RU"/>
              </w:rPr>
              <w:t>p</w:t>
            </w:r>
          </w:p>
        </w:tc>
      </w:tr>
      <w:tr w:rsidR="00770E10" w:rsidRPr="00BB58A7" w14:paraId="3F0CD17C" w14:textId="77777777" w:rsidTr="00346B70">
        <w:trPr>
          <w:trHeight w:val="192"/>
        </w:trPr>
        <w:tc>
          <w:tcPr>
            <w:tcW w:w="9464" w:type="dxa"/>
            <w:gridSpan w:val="6"/>
            <w:hideMark/>
          </w:tcPr>
          <w:p w14:paraId="39BDBD1D"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uk-UA"/>
              </w:rPr>
              <w:t>Фактор «досліджувана група»</w:t>
            </w:r>
          </w:p>
        </w:tc>
      </w:tr>
      <w:tr w:rsidR="00770E10" w:rsidRPr="00BB58A7" w14:paraId="59A1622C" w14:textId="77777777" w:rsidTr="00346B70">
        <w:trPr>
          <w:trHeight w:val="256"/>
        </w:trPr>
        <w:tc>
          <w:tcPr>
            <w:tcW w:w="4077" w:type="dxa"/>
            <w:hideMark/>
          </w:tcPr>
          <w:p w14:paraId="69CD549E"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053411AF"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5246,0</w:t>
            </w:r>
          </w:p>
        </w:tc>
        <w:tc>
          <w:tcPr>
            <w:tcW w:w="709" w:type="dxa"/>
            <w:hideMark/>
          </w:tcPr>
          <w:p w14:paraId="399729B6"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7727FB5D"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5246,0</w:t>
            </w:r>
          </w:p>
        </w:tc>
        <w:tc>
          <w:tcPr>
            <w:tcW w:w="1134" w:type="dxa"/>
          </w:tcPr>
          <w:p w14:paraId="53E30D3B"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28,59</w:t>
            </w:r>
          </w:p>
        </w:tc>
        <w:tc>
          <w:tcPr>
            <w:tcW w:w="1134" w:type="dxa"/>
          </w:tcPr>
          <w:p w14:paraId="487F6062" w14:textId="77777777" w:rsidR="00770E10" w:rsidRPr="00BB58A7" w:rsidRDefault="00770E10" w:rsidP="00B11C46">
            <w:pPr>
              <w:spacing w:line="360" w:lineRule="auto"/>
              <w:rPr>
                <w:rFonts w:ascii="Times New Roman" w:eastAsia="Times New Roman" w:hAnsi="Times New Roman"/>
                <w:b/>
                <w:color w:val="000000"/>
                <w:sz w:val="28"/>
                <w:szCs w:val="28"/>
                <w:lang w:val="en-US"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67937D56" w14:textId="77777777" w:rsidTr="00346B70">
        <w:trPr>
          <w:trHeight w:val="259"/>
        </w:trPr>
        <w:tc>
          <w:tcPr>
            <w:tcW w:w="4077" w:type="dxa"/>
            <w:hideMark/>
          </w:tcPr>
          <w:p w14:paraId="1F401245"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IgA</w:t>
            </w:r>
          </w:p>
        </w:tc>
        <w:tc>
          <w:tcPr>
            <w:tcW w:w="1134" w:type="dxa"/>
          </w:tcPr>
          <w:p w14:paraId="7809A433"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76,52</w:t>
            </w:r>
          </w:p>
        </w:tc>
        <w:tc>
          <w:tcPr>
            <w:tcW w:w="709" w:type="dxa"/>
            <w:hideMark/>
          </w:tcPr>
          <w:p w14:paraId="24ED2F24"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3A36403C"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702123">
              <w:rPr>
                <w:rFonts w:ascii="Times New Roman" w:eastAsia="Times New Roman" w:hAnsi="Times New Roman"/>
                <w:color w:val="000000"/>
                <w:sz w:val="28"/>
                <w:szCs w:val="28"/>
                <w:lang w:eastAsia="ru-RU"/>
              </w:rPr>
              <w:t>76,52</w:t>
            </w:r>
          </w:p>
        </w:tc>
        <w:tc>
          <w:tcPr>
            <w:tcW w:w="1134" w:type="dxa"/>
          </w:tcPr>
          <w:p w14:paraId="4E4B1490"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702123">
              <w:rPr>
                <w:rFonts w:ascii="Times New Roman" w:eastAsia="Times New Roman" w:hAnsi="Times New Roman"/>
                <w:color w:val="000000"/>
                <w:sz w:val="28"/>
                <w:szCs w:val="28"/>
                <w:lang w:eastAsia="ru-RU"/>
              </w:rPr>
              <w:t>71,4</w:t>
            </w:r>
            <w:r w:rsidRPr="00BB58A7">
              <w:rPr>
                <w:rFonts w:ascii="Times New Roman" w:eastAsia="Times New Roman" w:hAnsi="Times New Roman"/>
                <w:color w:val="000000"/>
                <w:sz w:val="28"/>
                <w:szCs w:val="28"/>
                <w:lang w:val="en-US" w:eastAsia="ru-RU"/>
              </w:rPr>
              <w:t>1</w:t>
            </w:r>
          </w:p>
        </w:tc>
        <w:tc>
          <w:tcPr>
            <w:tcW w:w="1134" w:type="dxa"/>
          </w:tcPr>
          <w:p w14:paraId="3160BF31" w14:textId="77777777" w:rsidR="00770E10" w:rsidRPr="00BB58A7" w:rsidRDefault="00770E10" w:rsidP="00B11C46">
            <w:pPr>
              <w:spacing w:line="360" w:lineRule="auto"/>
              <w:rPr>
                <w:rFonts w:ascii="Times New Roman" w:eastAsia="Times New Roman" w:hAnsi="Times New Roman"/>
                <w:b/>
                <w:color w:val="000000"/>
                <w:sz w:val="28"/>
                <w:szCs w:val="28"/>
                <w:lang w:val="uk-UA"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49DEE7C6" w14:textId="77777777" w:rsidTr="00346B70">
        <w:trPr>
          <w:trHeight w:val="264"/>
        </w:trPr>
        <w:tc>
          <w:tcPr>
            <w:tcW w:w="4077" w:type="dxa"/>
            <w:hideMark/>
          </w:tcPr>
          <w:p w14:paraId="203C3179"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4042B1A5"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5,11</w:t>
            </w:r>
          </w:p>
        </w:tc>
        <w:tc>
          <w:tcPr>
            <w:tcW w:w="709" w:type="dxa"/>
            <w:hideMark/>
          </w:tcPr>
          <w:p w14:paraId="59A5D3BE"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val="uk-UA" w:eastAsia="ru-RU"/>
              </w:rPr>
              <w:t>1</w:t>
            </w:r>
          </w:p>
        </w:tc>
        <w:tc>
          <w:tcPr>
            <w:tcW w:w="1276" w:type="dxa"/>
          </w:tcPr>
          <w:p w14:paraId="49B900D5"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5,11</w:t>
            </w:r>
          </w:p>
        </w:tc>
        <w:tc>
          <w:tcPr>
            <w:tcW w:w="1134" w:type="dxa"/>
          </w:tcPr>
          <w:p w14:paraId="5961B8EE"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eastAsia="ru-RU"/>
              </w:rPr>
              <w:t>23,6</w:t>
            </w:r>
            <w:r w:rsidRPr="00BB58A7">
              <w:rPr>
                <w:rFonts w:ascii="Times New Roman" w:eastAsia="Times New Roman" w:hAnsi="Times New Roman"/>
                <w:color w:val="000000"/>
                <w:sz w:val="28"/>
                <w:szCs w:val="28"/>
                <w:lang w:val="en-US" w:eastAsia="ru-RU"/>
              </w:rPr>
              <w:t>2</w:t>
            </w:r>
          </w:p>
        </w:tc>
        <w:tc>
          <w:tcPr>
            <w:tcW w:w="1134" w:type="dxa"/>
          </w:tcPr>
          <w:p w14:paraId="15005C3A" w14:textId="77777777" w:rsidR="00770E10" w:rsidRPr="00BB58A7" w:rsidRDefault="00770E10" w:rsidP="00B11C46">
            <w:pPr>
              <w:spacing w:line="360" w:lineRule="auto"/>
              <w:rPr>
                <w:rFonts w:ascii="Times New Roman" w:eastAsia="Times New Roman" w:hAnsi="Times New Roman"/>
                <w:b/>
                <w:color w:val="000000"/>
                <w:sz w:val="28"/>
                <w:szCs w:val="28"/>
                <w:lang w:val="uk-UA"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428DE30D" w14:textId="77777777" w:rsidTr="00346B70">
        <w:trPr>
          <w:trHeight w:val="253"/>
        </w:trPr>
        <w:tc>
          <w:tcPr>
            <w:tcW w:w="4077" w:type="dxa"/>
            <w:hideMark/>
          </w:tcPr>
          <w:p w14:paraId="076E7472"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3375E0E7"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19,09</w:t>
            </w:r>
          </w:p>
        </w:tc>
        <w:tc>
          <w:tcPr>
            <w:tcW w:w="709" w:type="dxa"/>
            <w:hideMark/>
          </w:tcPr>
          <w:p w14:paraId="4C41CD31"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val="en-US" w:eastAsia="ru-RU"/>
              </w:rPr>
              <w:t>1</w:t>
            </w:r>
          </w:p>
        </w:tc>
        <w:tc>
          <w:tcPr>
            <w:tcW w:w="1276" w:type="dxa"/>
          </w:tcPr>
          <w:p w14:paraId="1369B163" w14:textId="77777777" w:rsidR="00770E10" w:rsidRPr="00BB58A7" w:rsidRDefault="00770E10" w:rsidP="00B11C46">
            <w:pPr>
              <w:spacing w:line="360" w:lineRule="auto"/>
              <w:rPr>
                <w:rFonts w:ascii="Times New Roman" w:eastAsia="Times New Roman" w:hAnsi="Times New Roman"/>
                <w:color w:val="000000"/>
                <w:sz w:val="28"/>
                <w:szCs w:val="28"/>
                <w:lang w:val="en-US" w:eastAsia="ru-RU"/>
              </w:rPr>
            </w:pPr>
            <w:r w:rsidRPr="00BB58A7">
              <w:rPr>
                <w:rFonts w:ascii="Times New Roman" w:eastAsia="Times New Roman" w:hAnsi="Times New Roman"/>
                <w:color w:val="000000"/>
                <w:sz w:val="28"/>
                <w:szCs w:val="28"/>
                <w:lang w:eastAsia="ru-RU"/>
              </w:rPr>
              <w:t>19,0</w:t>
            </w:r>
            <w:r w:rsidRPr="00BB58A7">
              <w:rPr>
                <w:rFonts w:ascii="Times New Roman" w:eastAsia="Times New Roman" w:hAnsi="Times New Roman"/>
                <w:color w:val="000000"/>
                <w:sz w:val="28"/>
                <w:szCs w:val="28"/>
                <w:lang w:val="en-US" w:eastAsia="ru-RU"/>
              </w:rPr>
              <w:t>9</w:t>
            </w:r>
          </w:p>
        </w:tc>
        <w:tc>
          <w:tcPr>
            <w:tcW w:w="1134" w:type="dxa"/>
          </w:tcPr>
          <w:p w14:paraId="58C6DB9C" w14:textId="77777777" w:rsidR="00770E10" w:rsidRPr="00BB58A7" w:rsidRDefault="00770E10" w:rsidP="00B11C46">
            <w:pPr>
              <w:spacing w:line="360" w:lineRule="auto"/>
              <w:rPr>
                <w:rFonts w:ascii="Times New Roman" w:eastAsia="Times New Roman" w:hAnsi="Times New Roman"/>
                <w:color w:val="000000"/>
                <w:sz w:val="28"/>
                <w:szCs w:val="28"/>
                <w:lang w:val="uk-UA" w:eastAsia="ru-RU"/>
              </w:rPr>
            </w:pPr>
            <w:r w:rsidRPr="00BB58A7">
              <w:rPr>
                <w:rFonts w:ascii="Times New Roman" w:eastAsia="Times New Roman" w:hAnsi="Times New Roman"/>
                <w:color w:val="000000"/>
                <w:sz w:val="28"/>
                <w:szCs w:val="28"/>
                <w:lang w:eastAsia="ru-RU"/>
              </w:rPr>
              <w:t>116,36</w:t>
            </w:r>
          </w:p>
        </w:tc>
        <w:tc>
          <w:tcPr>
            <w:tcW w:w="1134" w:type="dxa"/>
          </w:tcPr>
          <w:p w14:paraId="5FE3D5CC" w14:textId="77777777" w:rsidR="00770E10" w:rsidRPr="00BB58A7" w:rsidRDefault="00770E10" w:rsidP="00B11C46">
            <w:pPr>
              <w:spacing w:line="360" w:lineRule="auto"/>
              <w:rPr>
                <w:rFonts w:ascii="Times New Roman" w:eastAsia="Times New Roman" w:hAnsi="Times New Roman"/>
                <w:b/>
                <w:color w:val="000000"/>
                <w:sz w:val="28"/>
                <w:szCs w:val="28"/>
                <w:lang w:val="en-US" w:eastAsia="ru-RU"/>
              </w:rPr>
            </w:pPr>
            <w:r w:rsidRPr="00BB58A7">
              <w:rPr>
                <w:rFonts w:ascii="Times New Roman" w:eastAsia="Times New Roman" w:hAnsi="Times New Roman"/>
                <w:b/>
                <w:color w:val="000000"/>
                <w:sz w:val="28"/>
                <w:szCs w:val="28"/>
                <w:lang w:val="en-US" w:eastAsia="ru-RU"/>
              </w:rPr>
              <w:t>&lt;</w:t>
            </w:r>
            <w:r w:rsidRPr="00702123">
              <w:rPr>
                <w:rFonts w:ascii="Times New Roman" w:eastAsia="Times New Roman" w:hAnsi="Times New Roman"/>
                <w:b/>
                <w:color w:val="000000"/>
                <w:sz w:val="28"/>
                <w:szCs w:val="28"/>
                <w:lang w:eastAsia="ru-RU"/>
              </w:rPr>
              <w:t>0,00</w:t>
            </w:r>
            <w:r w:rsidRPr="00BB58A7">
              <w:rPr>
                <w:rFonts w:ascii="Times New Roman" w:eastAsia="Times New Roman" w:hAnsi="Times New Roman"/>
                <w:b/>
                <w:color w:val="000000"/>
                <w:sz w:val="28"/>
                <w:szCs w:val="28"/>
                <w:lang w:val="en-US" w:eastAsia="ru-RU"/>
              </w:rPr>
              <w:t>1</w:t>
            </w:r>
          </w:p>
        </w:tc>
      </w:tr>
      <w:tr w:rsidR="00770E10" w:rsidRPr="00BB58A7" w14:paraId="02EAE46B" w14:textId="77777777" w:rsidTr="00346B70">
        <w:tc>
          <w:tcPr>
            <w:tcW w:w="9464" w:type="dxa"/>
            <w:gridSpan w:val="6"/>
            <w:hideMark/>
          </w:tcPr>
          <w:p w14:paraId="584C51CC" w14:textId="77777777" w:rsidR="00770E10" w:rsidRPr="00BB58A7" w:rsidRDefault="00770E10" w:rsidP="00B11C46">
            <w:pPr>
              <w:spacing w:line="360" w:lineRule="auto"/>
              <w:jc w:val="center"/>
              <w:rPr>
                <w:rFonts w:ascii="Times New Roman" w:eastAsia="Times New Roman" w:hAnsi="Times New Roman"/>
                <w:sz w:val="28"/>
                <w:szCs w:val="28"/>
                <w:lang w:val="uk-UA" w:eastAsia="ru-RU"/>
              </w:rPr>
            </w:pPr>
            <w:r w:rsidRPr="00BB58A7">
              <w:rPr>
                <w:rFonts w:ascii="Times New Roman" w:hAnsi="Times New Roman"/>
                <w:sz w:val="28"/>
                <w:szCs w:val="28"/>
                <w:lang w:val="uk-UA"/>
              </w:rPr>
              <w:t xml:space="preserve">Фактор «генотип за </w:t>
            </w:r>
            <w:r w:rsidRPr="00BB58A7">
              <w:rPr>
                <w:rFonts w:ascii="Times New Roman" w:hAnsi="Times New Roman"/>
                <w:i/>
                <w:sz w:val="28"/>
                <w:szCs w:val="28"/>
                <w:lang w:val="uk-UA"/>
              </w:rPr>
              <w:t>rs1800896</w:t>
            </w:r>
            <w:r w:rsidRPr="00BB58A7">
              <w:rPr>
                <w:rFonts w:ascii="Times New Roman" w:hAnsi="Times New Roman"/>
                <w:sz w:val="28"/>
                <w:szCs w:val="28"/>
                <w:lang w:val="uk-UA"/>
              </w:rPr>
              <w:t>»</w:t>
            </w:r>
          </w:p>
        </w:tc>
      </w:tr>
      <w:tr w:rsidR="00770E10" w:rsidRPr="00BB58A7" w14:paraId="631266FB" w14:textId="77777777" w:rsidTr="00346B70">
        <w:tc>
          <w:tcPr>
            <w:tcW w:w="4077" w:type="dxa"/>
            <w:hideMark/>
          </w:tcPr>
          <w:p w14:paraId="0849802B"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06C693F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94,5</w:t>
            </w:r>
          </w:p>
        </w:tc>
        <w:tc>
          <w:tcPr>
            <w:tcW w:w="709" w:type="dxa"/>
            <w:hideMark/>
          </w:tcPr>
          <w:p w14:paraId="0B26565E"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58CC05DA"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47,2</w:t>
            </w:r>
          </w:p>
        </w:tc>
        <w:tc>
          <w:tcPr>
            <w:tcW w:w="1134" w:type="dxa"/>
          </w:tcPr>
          <w:p w14:paraId="26096DDB"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0,2</w:t>
            </w:r>
            <w:r w:rsidRPr="00BB58A7">
              <w:rPr>
                <w:rFonts w:ascii="Times New Roman" w:eastAsia="Times New Roman" w:hAnsi="Times New Roman"/>
                <w:color w:val="000000"/>
                <w:sz w:val="28"/>
                <w:szCs w:val="28"/>
                <w:lang w:val="en-US" w:eastAsia="ru-RU"/>
              </w:rPr>
              <w:t>6</w:t>
            </w:r>
          </w:p>
        </w:tc>
        <w:tc>
          <w:tcPr>
            <w:tcW w:w="1134" w:type="dxa"/>
          </w:tcPr>
          <w:p w14:paraId="52C823C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33551E42" w14:textId="77777777" w:rsidTr="00346B70">
        <w:tc>
          <w:tcPr>
            <w:tcW w:w="4077" w:type="dxa"/>
            <w:hideMark/>
          </w:tcPr>
          <w:p w14:paraId="5405A085"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IgA</w:t>
            </w:r>
          </w:p>
        </w:tc>
        <w:tc>
          <w:tcPr>
            <w:tcW w:w="1134" w:type="dxa"/>
          </w:tcPr>
          <w:p w14:paraId="76EBF963"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0,2</w:t>
            </w:r>
            <w:r w:rsidRPr="00BB58A7">
              <w:rPr>
                <w:rFonts w:ascii="Times New Roman" w:eastAsia="Times New Roman" w:hAnsi="Times New Roman"/>
                <w:color w:val="000000"/>
                <w:sz w:val="28"/>
                <w:szCs w:val="28"/>
                <w:lang w:val="en-US" w:eastAsia="ru-RU"/>
              </w:rPr>
              <w:t>7</w:t>
            </w:r>
          </w:p>
        </w:tc>
        <w:tc>
          <w:tcPr>
            <w:tcW w:w="709" w:type="dxa"/>
            <w:hideMark/>
          </w:tcPr>
          <w:p w14:paraId="55CB3A75"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708E7F21"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0,13</w:t>
            </w:r>
          </w:p>
        </w:tc>
        <w:tc>
          <w:tcPr>
            <w:tcW w:w="1134" w:type="dxa"/>
          </w:tcPr>
          <w:p w14:paraId="25B01305"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0,12</w:t>
            </w:r>
          </w:p>
        </w:tc>
        <w:tc>
          <w:tcPr>
            <w:tcW w:w="1134" w:type="dxa"/>
          </w:tcPr>
          <w:p w14:paraId="6ED66E5F"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6F85E7B7" w14:textId="77777777" w:rsidTr="00346B70">
        <w:tc>
          <w:tcPr>
            <w:tcW w:w="4077" w:type="dxa"/>
            <w:hideMark/>
          </w:tcPr>
          <w:p w14:paraId="6376AB9B"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5AA24D25"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7</w:t>
            </w:r>
          </w:p>
        </w:tc>
        <w:tc>
          <w:tcPr>
            <w:tcW w:w="709" w:type="dxa"/>
            <w:hideMark/>
          </w:tcPr>
          <w:p w14:paraId="1F767D9A"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1FBD4BC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0,03</w:t>
            </w:r>
          </w:p>
        </w:tc>
        <w:tc>
          <w:tcPr>
            <w:tcW w:w="1134" w:type="dxa"/>
          </w:tcPr>
          <w:p w14:paraId="3C10A1B4"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6</w:t>
            </w:r>
          </w:p>
        </w:tc>
        <w:tc>
          <w:tcPr>
            <w:tcW w:w="1134" w:type="dxa"/>
          </w:tcPr>
          <w:p w14:paraId="651847C3"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552969BE" w14:textId="77777777" w:rsidTr="00346B70">
        <w:tc>
          <w:tcPr>
            <w:tcW w:w="4077" w:type="dxa"/>
            <w:hideMark/>
          </w:tcPr>
          <w:p w14:paraId="7F175C8D"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3E467DD7"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3</w:t>
            </w:r>
          </w:p>
        </w:tc>
        <w:tc>
          <w:tcPr>
            <w:tcW w:w="709" w:type="dxa"/>
            <w:hideMark/>
          </w:tcPr>
          <w:p w14:paraId="31567B3F"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5DC2E711"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0,01</w:t>
            </w:r>
          </w:p>
        </w:tc>
        <w:tc>
          <w:tcPr>
            <w:tcW w:w="1134" w:type="dxa"/>
          </w:tcPr>
          <w:p w14:paraId="1927667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0,08</w:t>
            </w:r>
          </w:p>
        </w:tc>
        <w:tc>
          <w:tcPr>
            <w:tcW w:w="1134" w:type="dxa"/>
          </w:tcPr>
          <w:p w14:paraId="1791F324"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852E54" w14:paraId="6536AA7F" w14:textId="77777777" w:rsidTr="00346B70">
        <w:tc>
          <w:tcPr>
            <w:tcW w:w="9464" w:type="dxa"/>
            <w:gridSpan w:val="6"/>
            <w:hideMark/>
          </w:tcPr>
          <w:p w14:paraId="30CA8AAC" w14:textId="77777777" w:rsidR="00770E10" w:rsidRPr="00BB58A7" w:rsidRDefault="00770E10" w:rsidP="00B11C46">
            <w:pPr>
              <w:spacing w:line="360" w:lineRule="auto"/>
              <w:jc w:val="center"/>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 xml:space="preserve">Комбінована дія факторів </w:t>
            </w:r>
            <w:r w:rsidRPr="00BB58A7">
              <w:rPr>
                <w:rFonts w:ascii="Times New Roman" w:hAnsi="Times New Roman"/>
                <w:sz w:val="28"/>
                <w:szCs w:val="28"/>
                <w:lang w:val="uk-UA"/>
              </w:rPr>
              <w:t xml:space="preserve">«досліджувана група» та «генотип за </w:t>
            </w:r>
            <w:r w:rsidRPr="00BB58A7">
              <w:rPr>
                <w:rFonts w:ascii="Times New Roman" w:hAnsi="Times New Roman"/>
                <w:i/>
                <w:sz w:val="28"/>
                <w:szCs w:val="28"/>
                <w:lang w:val="uk-UA"/>
              </w:rPr>
              <w:t>rs1800896</w:t>
            </w:r>
            <w:r w:rsidRPr="00BB58A7">
              <w:rPr>
                <w:rFonts w:ascii="Times New Roman" w:hAnsi="Times New Roman"/>
                <w:sz w:val="28"/>
                <w:szCs w:val="28"/>
                <w:lang w:val="uk-UA"/>
              </w:rPr>
              <w:t>»</w:t>
            </w:r>
          </w:p>
        </w:tc>
      </w:tr>
      <w:tr w:rsidR="00770E10" w:rsidRPr="00BB58A7" w14:paraId="4B0DC509" w14:textId="77777777" w:rsidTr="00346B70">
        <w:tc>
          <w:tcPr>
            <w:tcW w:w="4077" w:type="dxa"/>
            <w:hideMark/>
          </w:tcPr>
          <w:p w14:paraId="7D37A4F2"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sIgA</w:t>
            </w:r>
          </w:p>
        </w:tc>
        <w:tc>
          <w:tcPr>
            <w:tcW w:w="1134" w:type="dxa"/>
          </w:tcPr>
          <w:p w14:paraId="5ABFDDCF"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333,4</w:t>
            </w:r>
          </w:p>
        </w:tc>
        <w:tc>
          <w:tcPr>
            <w:tcW w:w="709" w:type="dxa"/>
            <w:hideMark/>
          </w:tcPr>
          <w:p w14:paraId="0DAD3ED2"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4A4FB1FD"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702123">
              <w:rPr>
                <w:rFonts w:ascii="Times New Roman" w:eastAsia="Times New Roman" w:hAnsi="Times New Roman"/>
                <w:color w:val="000000"/>
                <w:sz w:val="28"/>
                <w:szCs w:val="28"/>
                <w:lang w:eastAsia="ru-RU"/>
              </w:rPr>
              <w:t>166,7</w:t>
            </w:r>
          </w:p>
        </w:tc>
        <w:tc>
          <w:tcPr>
            <w:tcW w:w="1134" w:type="dxa"/>
          </w:tcPr>
          <w:p w14:paraId="6E6C1D7C"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0,9</w:t>
            </w:r>
            <w:r w:rsidRPr="00BB58A7">
              <w:rPr>
                <w:rFonts w:ascii="Times New Roman" w:eastAsia="Times New Roman" w:hAnsi="Times New Roman"/>
                <w:color w:val="000000"/>
                <w:sz w:val="28"/>
                <w:szCs w:val="28"/>
                <w:lang w:val="en-US" w:eastAsia="ru-RU"/>
              </w:rPr>
              <w:t>1</w:t>
            </w:r>
          </w:p>
        </w:tc>
        <w:tc>
          <w:tcPr>
            <w:tcW w:w="1134" w:type="dxa"/>
          </w:tcPr>
          <w:p w14:paraId="44B41170"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1B0A4B40" w14:textId="77777777" w:rsidTr="00346B70">
        <w:tc>
          <w:tcPr>
            <w:tcW w:w="4077" w:type="dxa"/>
            <w:hideMark/>
          </w:tcPr>
          <w:p w14:paraId="6A4CD1D1" w14:textId="77777777" w:rsidR="00770E10" w:rsidRPr="00BB58A7" w:rsidRDefault="00770E10" w:rsidP="00B11C46">
            <w:pPr>
              <w:spacing w:line="360" w:lineRule="auto"/>
              <w:jc w:val="center"/>
              <w:rPr>
                <w:rFonts w:ascii="Times New Roman" w:hAnsi="Times New Roman"/>
                <w:sz w:val="28"/>
                <w:szCs w:val="28"/>
                <w:lang w:val="uk-UA"/>
              </w:rPr>
            </w:pPr>
            <w:r w:rsidRPr="00BB58A7">
              <w:rPr>
                <w:rFonts w:ascii="Times New Roman" w:hAnsi="Times New Roman"/>
                <w:sz w:val="28"/>
                <w:szCs w:val="28"/>
                <w:lang w:val="en-US"/>
              </w:rPr>
              <w:t>IgA</w:t>
            </w:r>
          </w:p>
        </w:tc>
        <w:tc>
          <w:tcPr>
            <w:tcW w:w="1134" w:type="dxa"/>
          </w:tcPr>
          <w:p w14:paraId="201A402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1,3</w:t>
            </w:r>
            <w:r w:rsidRPr="00BB58A7">
              <w:rPr>
                <w:rFonts w:ascii="Times New Roman" w:eastAsia="Times New Roman" w:hAnsi="Times New Roman"/>
                <w:color w:val="000000"/>
                <w:sz w:val="28"/>
                <w:szCs w:val="28"/>
                <w:lang w:val="en-US" w:eastAsia="ru-RU"/>
              </w:rPr>
              <w:t>4</w:t>
            </w:r>
          </w:p>
        </w:tc>
        <w:tc>
          <w:tcPr>
            <w:tcW w:w="709" w:type="dxa"/>
            <w:hideMark/>
          </w:tcPr>
          <w:p w14:paraId="2A1CE4DA"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sz w:val="28"/>
                <w:szCs w:val="28"/>
                <w:lang w:val="uk-UA" w:eastAsia="ru-RU"/>
              </w:rPr>
              <w:t>2</w:t>
            </w:r>
          </w:p>
        </w:tc>
        <w:tc>
          <w:tcPr>
            <w:tcW w:w="1276" w:type="dxa"/>
          </w:tcPr>
          <w:p w14:paraId="31844541"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0,6</w:t>
            </w:r>
            <w:r w:rsidRPr="00BB58A7">
              <w:rPr>
                <w:rFonts w:ascii="Times New Roman" w:eastAsia="Times New Roman" w:hAnsi="Times New Roman"/>
                <w:color w:val="000000"/>
                <w:sz w:val="28"/>
                <w:szCs w:val="28"/>
                <w:lang w:val="en-US" w:eastAsia="ru-RU"/>
              </w:rPr>
              <w:t>7</w:t>
            </w:r>
          </w:p>
        </w:tc>
        <w:tc>
          <w:tcPr>
            <w:tcW w:w="1134" w:type="dxa"/>
          </w:tcPr>
          <w:p w14:paraId="3A61A21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702123">
              <w:rPr>
                <w:rFonts w:ascii="Times New Roman" w:eastAsia="Times New Roman" w:hAnsi="Times New Roman"/>
                <w:color w:val="000000"/>
                <w:sz w:val="28"/>
                <w:szCs w:val="28"/>
                <w:lang w:eastAsia="ru-RU"/>
              </w:rPr>
              <w:t>0,6</w:t>
            </w:r>
            <w:r w:rsidRPr="00BB58A7">
              <w:rPr>
                <w:rFonts w:ascii="Times New Roman" w:eastAsia="Times New Roman" w:hAnsi="Times New Roman"/>
                <w:color w:val="000000"/>
                <w:sz w:val="28"/>
                <w:szCs w:val="28"/>
                <w:lang w:val="en-US" w:eastAsia="ru-RU"/>
              </w:rPr>
              <w:t>5</w:t>
            </w:r>
          </w:p>
        </w:tc>
        <w:tc>
          <w:tcPr>
            <w:tcW w:w="1134" w:type="dxa"/>
          </w:tcPr>
          <w:p w14:paraId="4E93E6CE"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39153FA5" w14:textId="77777777" w:rsidTr="00346B70">
        <w:tc>
          <w:tcPr>
            <w:tcW w:w="4077" w:type="dxa"/>
            <w:hideMark/>
          </w:tcPr>
          <w:p w14:paraId="74F584A1"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IgG</w:t>
            </w:r>
          </w:p>
        </w:tc>
        <w:tc>
          <w:tcPr>
            <w:tcW w:w="1134" w:type="dxa"/>
          </w:tcPr>
          <w:p w14:paraId="09EDFF0A"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4</w:t>
            </w:r>
          </w:p>
        </w:tc>
        <w:tc>
          <w:tcPr>
            <w:tcW w:w="709" w:type="dxa"/>
            <w:hideMark/>
          </w:tcPr>
          <w:p w14:paraId="0A5DE18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4EA0AE3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w:t>
            </w:r>
            <w:r w:rsidRPr="00BB58A7">
              <w:rPr>
                <w:rFonts w:ascii="Times New Roman" w:eastAsia="Times New Roman" w:hAnsi="Times New Roman"/>
                <w:color w:val="000000"/>
                <w:sz w:val="28"/>
                <w:szCs w:val="28"/>
                <w:lang w:val="en-US" w:eastAsia="ru-RU"/>
              </w:rPr>
              <w:t>7</w:t>
            </w:r>
          </w:p>
        </w:tc>
        <w:tc>
          <w:tcPr>
            <w:tcW w:w="1134" w:type="dxa"/>
          </w:tcPr>
          <w:p w14:paraId="0547343E"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0,3</w:t>
            </w:r>
            <w:r w:rsidRPr="00BB58A7">
              <w:rPr>
                <w:rFonts w:ascii="Times New Roman" w:eastAsia="Times New Roman" w:hAnsi="Times New Roman"/>
                <w:color w:val="000000"/>
                <w:sz w:val="28"/>
                <w:szCs w:val="28"/>
                <w:lang w:val="en-US" w:eastAsia="ru-RU"/>
              </w:rPr>
              <w:t>2</w:t>
            </w:r>
          </w:p>
        </w:tc>
        <w:tc>
          <w:tcPr>
            <w:tcW w:w="1134" w:type="dxa"/>
          </w:tcPr>
          <w:p w14:paraId="17ABE8F8"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r w:rsidR="00770E10" w:rsidRPr="00BB58A7" w14:paraId="4A3438FE" w14:textId="77777777" w:rsidTr="00346B70">
        <w:tc>
          <w:tcPr>
            <w:tcW w:w="4077" w:type="dxa"/>
            <w:hideMark/>
          </w:tcPr>
          <w:p w14:paraId="7F3776B4" w14:textId="77777777" w:rsidR="00770E10" w:rsidRPr="00BB58A7" w:rsidRDefault="00770E10" w:rsidP="00B11C46">
            <w:pPr>
              <w:spacing w:line="360" w:lineRule="auto"/>
              <w:jc w:val="center"/>
              <w:rPr>
                <w:rFonts w:ascii="Times New Roman" w:eastAsia="Times New Roman" w:hAnsi="Times New Roman"/>
                <w:bCs/>
                <w:color w:val="000000"/>
                <w:sz w:val="28"/>
                <w:szCs w:val="28"/>
                <w:lang w:val="uk-UA" w:eastAsia="ru-RU"/>
              </w:rPr>
            </w:pPr>
            <w:r w:rsidRPr="00BB58A7">
              <w:rPr>
                <w:rFonts w:ascii="Times New Roman" w:hAnsi="Times New Roman"/>
                <w:sz w:val="28"/>
                <w:szCs w:val="28"/>
                <w:lang w:val="en-US"/>
              </w:rPr>
              <w:t>SBI</w:t>
            </w:r>
          </w:p>
        </w:tc>
        <w:tc>
          <w:tcPr>
            <w:tcW w:w="1134" w:type="dxa"/>
          </w:tcPr>
          <w:p w14:paraId="0DD1C87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0,06</w:t>
            </w:r>
          </w:p>
        </w:tc>
        <w:tc>
          <w:tcPr>
            <w:tcW w:w="709" w:type="dxa"/>
            <w:hideMark/>
          </w:tcPr>
          <w:p w14:paraId="44040E17"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sz w:val="28"/>
                <w:szCs w:val="28"/>
                <w:lang w:val="en-US" w:eastAsia="ru-RU"/>
              </w:rPr>
              <w:t>2</w:t>
            </w:r>
          </w:p>
        </w:tc>
        <w:tc>
          <w:tcPr>
            <w:tcW w:w="1276" w:type="dxa"/>
          </w:tcPr>
          <w:p w14:paraId="6A9D5D2C" w14:textId="77777777" w:rsidR="00770E10" w:rsidRPr="00BB58A7" w:rsidRDefault="00770E10" w:rsidP="00B11C46">
            <w:pPr>
              <w:spacing w:line="360" w:lineRule="auto"/>
              <w:rPr>
                <w:rFonts w:ascii="Times New Roman" w:eastAsia="Times New Roman" w:hAnsi="Times New Roman"/>
                <w:sz w:val="28"/>
                <w:szCs w:val="28"/>
                <w:lang w:val="uk-UA" w:eastAsia="ru-RU"/>
              </w:rPr>
            </w:pPr>
            <w:r w:rsidRPr="00BB58A7">
              <w:rPr>
                <w:rFonts w:ascii="Times New Roman" w:eastAsia="Times New Roman" w:hAnsi="Times New Roman"/>
                <w:color w:val="000000"/>
                <w:sz w:val="28"/>
                <w:szCs w:val="28"/>
                <w:lang w:eastAsia="ru-RU"/>
              </w:rPr>
              <w:t>0,03</w:t>
            </w:r>
          </w:p>
        </w:tc>
        <w:tc>
          <w:tcPr>
            <w:tcW w:w="1134" w:type="dxa"/>
          </w:tcPr>
          <w:p w14:paraId="320C5280"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eastAsia="ru-RU"/>
              </w:rPr>
              <w:t>0,1</w:t>
            </w:r>
            <w:r w:rsidRPr="00BB58A7">
              <w:rPr>
                <w:rFonts w:ascii="Times New Roman" w:eastAsia="Times New Roman" w:hAnsi="Times New Roman"/>
                <w:color w:val="000000"/>
                <w:sz w:val="28"/>
                <w:szCs w:val="28"/>
                <w:lang w:val="en-US" w:eastAsia="ru-RU"/>
              </w:rPr>
              <w:t>9</w:t>
            </w:r>
          </w:p>
        </w:tc>
        <w:tc>
          <w:tcPr>
            <w:tcW w:w="1134" w:type="dxa"/>
          </w:tcPr>
          <w:p w14:paraId="1DC5D976" w14:textId="77777777" w:rsidR="00770E10" w:rsidRPr="00BB58A7" w:rsidRDefault="00770E10" w:rsidP="00B11C46">
            <w:pPr>
              <w:spacing w:line="360" w:lineRule="auto"/>
              <w:rPr>
                <w:rFonts w:ascii="Times New Roman" w:eastAsia="Times New Roman" w:hAnsi="Times New Roman"/>
                <w:sz w:val="28"/>
                <w:szCs w:val="28"/>
                <w:lang w:val="en-US" w:eastAsia="ru-RU"/>
              </w:rPr>
            </w:pPr>
            <w:r w:rsidRPr="00BB58A7">
              <w:rPr>
                <w:rFonts w:ascii="Times New Roman" w:eastAsia="Times New Roman" w:hAnsi="Times New Roman"/>
                <w:color w:val="000000"/>
                <w:sz w:val="28"/>
                <w:szCs w:val="28"/>
                <w:lang w:val="en-US" w:eastAsia="ru-RU"/>
              </w:rPr>
              <w:t>&gt;</w:t>
            </w:r>
            <w:r w:rsidRPr="00702123">
              <w:rPr>
                <w:rFonts w:ascii="Times New Roman" w:eastAsia="Times New Roman" w:hAnsi="Times New Roman"/>
                <w:color w:val="000000"/>
                <w:sz w:val="28"/>
                <w:szCs w:val="28"/>
                <w:lang w:eastAsia="ru-RU"/>
              </w:rPr>
              <w:t>0,</w:t>
            </w:r>
            <w:r w:rsidRPr="00BB58A7">
              <w:rPr>
                <w:rFonts w:ascii="Times New Roman" w:eastAsia="Times New Roman" w:hAnsi="Times New Roman"/>
                <w:color w:val="000000"/>
                <w:sz w:val="28"/>
                <w:szCs w:val="28"/>
                <w:lang w:val="en-US" w:eastAsia="ru-RU"/>
              </w:rPr>
              <w:t>05</w:t>
            </w:r>
          </w:p>
        </w:tc>
      </w:tr>
    </w:tbl>
    <w:p w14:paraId="507B39CB" w14:textId="77777777" w:rsidR="00770E10" w:rsidRDefault="00770E10" w:rsidP="00B11C46">
      <w:pPr>
        <w:autoSpaceDE w:val="0"/>
        <w:autoSpaceDN w:val="0"/>
        <w:adjustRightInd w:val="0"/>
        <w:spacing w:after="0" w:line="360" w:lineRule="auto"/>
        <w:jc w:val="both"/>
        <w:rPr>
          <w:rFonts w:ascii="Times New Roman" w:hAnsi="Times New Roman"/>
          <w:sz w:val="28"/>
          <w:szCs w:val="28"/>
          <w:lang w:val="uk-UA"/>
        </w:rPr>
      </w:pPr>
    </w:p>
    <w:p w14:paraId="22651290" w14:textId="72692A06" w:rsidR="00770E10" w:rsidRPr="00346B70" w:rsidRDefault="00770E10" w:rsidP="00AE0FB9">
      <w:pPr>
        <w:spacing w:line="360" w:lineRule="auto"/>
        <w:ind w:firstLine="709"/>
        <w:jc w:val="both"/>
        <w:rPr>
          <w:rFonts w:ascii="Times New Roman" w:hAnsi="Times New Roman" w:cs="Times New Roman"/>
          <w:b/>
          <w:sz w:val="28"/>
          <w:szCs w:val="28"/>
          <w:lang w:val="uk-UA"/>
        </w:rPr>
      </w:pPr>
      <w:r w:rsidRPr="00346B70">
        <w:rPr>
          <w:rFonts w:ascii="Times New Roman" w:hAnsi="Times New Roman" w:cs="Times New Roman"/>
          <w:sz w:val="28"/>
          <w:szCs w:val="28"/>
          <w:lang w:val="uk-UA"/>
        </w:rPr>
        <w:t xml:space="preserve">Відсутність відмінностей за досліджуваними показниками між індивідами з різними генотипами </w:t>
      </w:r>
      <w:r w:rsidRPr="00AC5AD6">
        <w:rPr>
          <w:rFonts w:ascii="Times New Roman" w:hAnsi="Times New Roman" w:cs="Times New Roman"/>
          <w:sz w:val="28"/>
          <w:szCs w:val="28"/>
          <w:lang w:val="uk-UA"/>
        </w:rPr>
        <w:t>за rs1800896 можна</w:t>
      </w:r>
      <w:r w:rsidRPr="00346B70">
        <w:rPr>
          <w:rFonts w:ascii="Times New Roman" w:hAnsi="Times New Roman" w:cs="Times New Roman"/>
          <w:sz w:val="28"/>
          <w:szCs w:val="28"/>
          <w:lang w:val="uk-UA"/>
        </w:rPr>
        <w:t xml:space="preserve"> пояснити нечисельністю порівнюваних груп, для яких вдалося встановити генотип, а також об’єднанням у основній групі пацієнтів з різними захворюваннями (астма, атопічний дерматит та алергічний рініт). Відомості, щодо асоціації даного поліморфізму із різними захворюваннями, також неоднозначні. Був проведений пошук асоціації даного поліморфізму з різними патологіями, які пов'язаними механізмами з астмою </w:t>
      </w:r>
      <w:r w:rsidR="005368C5">
        <w:rPr>
          <w:rFonts w:ascii="Times New Roman" w:hAnsi="Times New Roman" w:cs="Times New Roman"/>
          <w:sz w:val="28"/>
          <w:szCs w:val="28"/>
          <w:lang w:val="uk-UA"/>
        </w:rPr>
        <w:t>(респіраторний дістрес синдром</w:t>
      </w:r>
      <w:r w:rsidRPr="00B11C46">
        <w:rPr>
          <w:rFonts w:ascii="Times New Roman" w:hAnsi="Times New Roman" w:cs="Times New Roman"/>
          <w:sz w:val="28"/>
          <w:szCs w:val="28"/>
          <w:lang w:val="uk-UA"/>
        </w:rPr>
        <w:t xml:space="preserve">, </w:t>
      </w:r>
      <w:r w:rsidR="005368C5">
        <w:rPr>
          <w:rFonts w:ascii="Times New Roman" w:hAnsi="Times New Roman" w:cs="Times New Roman"/>
          <w:sz w:val="28"/>
          <w:szCs w:val="28"/>
          <w:lang w:val="uk-UA"/>
        </w:rPr>
        <w:t>сепсис, індукований пневмонією</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з аутоімунними захворюваннями, (ювенильний ревматоїдний </w:t>
      </w:r>
      <w:r w:rsidR="005368C5">
        <w:rPr>
          <w:rFonts w:ascii="Times New Roman" w:hAnsi="Times New Roman" w:cs="Times New Roman"/>
          <w:sz w:val="28"/>
          <w:szCs w:val="28"/>
          <w:lang w:val="uk-UA"/>
        </w:rPr>
        <w:t>артрит</w:t>
      </w:r>
      <w:r w:rsidRPr="00B11C46">
        <w:rPr>
          <w:rFonts w:ascii="Times New Roman" w:hAnsi="Times New Roman" w:cs="Times New Roman"/>
          <w:sz w:val="28"/>
          <w:szCs w:val="28"/>
          <w:lang w:val="uk-UA"/>
        </w:rPr>
        <w:t>), а</w:t>
      </w:r>
      <w:r w:rsidRPr="00346B70">
        <w:rPr>
          <w:rFonts w:ascii="Times New Roman" w:hAnsi="Times New Roman" w:cs="Times New Roman"/>
          <w:sz w:val="28"/>
          <w:szCs w:val="28"/>
          <w:lang w:val="uk-UA"/>
        </w:rPr>
        <w:t xml:space="preserve"> також і безпосередньо з хворобами ротово</w:t>
      </w:r>
      <w:r w:rsidR="005368C5">
        <w:rPr>
          <w:rFonts w:ascii="Times New Roman" w:hAnsi="Times New Roman" w:cs="Times New Roman"/>
          <w:sz w:val="28"/>
          <w:szCs w:val="28"/>
          <w:lang w:val="uk-UA"/>
        </w:rPr>
        <w:t>ї порожнини (рак голови та шеї</w:t>
      </w:r>
      <w:r w:rsidRPr="00346B70">
        <w:rPr>
          <w:rFonts w:ascii="Times New Roman" w:hAnsi="Times New Roman" w:cs="Times New Roman"/>
          <w:sz w:val="28"/>
          <w:szCs w:val="28"/>
          <w:lang w:val="uk-UA"/>
        </w:rPr>
        <w:t>, карцинома пласк</w:t>
      </w:r>
      <w:r w:rsidR="005368C5">
        <w:rPr>
          <w:rFonts w:ascii="Times New Roman" w:hAnsi="Times New Roman" w:cs="Times New Roman"/>
          <w:sz w:val="28"/>
          <w:szCs w:val="28"/>
          <w:lang w:val="uk-UA"/>
        </w:rPr>
        <w:t>ого епітелію ротової порожнини, рак носоглотки</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запальні процеси тканин пародонту [</w:t>
      </w:r>
      <w:r w:rsidR="00E04DB8">
        <w:rPr>
          <w:rStyle w:val="hlfld-contribauthor"/>
          <w:rFonts w:ascii="Times New Roman" w:hAnsi="Times New Roman" w:cs="Times New Roman"/>
          <w:sz w:val="28"/>
          <w:szCs w:val="28"/>
          <w:lang w:val="uk-UA"/>
        </w:rPr>
        <w:t>2</w:t>
      </w:r>
      <w:r w:rsidR="00E04DB8" w:rsidRPr="00E04DB8">
        <w:rPr>
          <w:rStyle w:val="hlfld-contribauthor"/>
          <w:rFonts w:ascii="Times New Roman" w:hAnsi="Times New Roman" w:cs="Times New Roman"/>
          <w:sz w:val="28"/>
          <w:szCs w:val="28"/>
          <w:lang w:val="uk-UA"/>
        </w:rPr>
        <w:t>91, 292</w:t>
      </w:r>
      <w:r w:rsidR="00B11C46" w:rsidRPr="00B11C46">
        <w:rPr>
          <w:rStyle w:val="hlfld-contribautho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Намагання виявити безпосердій зв'язок з атопічними захворюваннями виявилися менш успішними. Так </w:t>
      </w:r>
      <w:r w:rsidR="005368C5">
        <w:rPr>
          <w:rFonts w:ascii="Times New Roman" w:hAnsi="Times New Roman" w:cs="Times New Roman"/>
          <w:sz w:val="28"/>
          <w:szCs w:val="28"/>
          <w:lang w:val="uk-UA"/>
        </w:rPr>
        <w:t>авторам</w:t>
      </w:r>
      <w:r w:rsidRPr="00346B70">
        <w:rPr>
          <w:rFonts w:ascii="Times New Roman" w:hAnsi="Times New Roman" w:cs="Times New Roman"/>
          <w:color w:val="000000"/>
          <w:sz w:val="28"/>
          <w:szCs w:val="28"/>
          <w:lang w:val="uk-UA"/>
        </w:rPr>
        <w:t xml:space="preserve"> не вдалося виявити подібної а</w:t>
      </w:r>
      <w:r w:rsidR="005368C5">
        <w:rPr>
          <w:rFonts w:ascii="Times New Roman" w:hAnsi="Times New Roman" w:cs="Times New Roman"/>
          <w:color w:val="000000"/>
          <w:sz w:val="28"/>
          <w:szCs w:val="28"/>
          <w:lang w:val="uk-UA"/>
        </w:rPr>
        <w:t>соціації з атопічним дерматитом</w:t>
      </w:r>
      <w:r w:rsidRPr="00B11C46">
        <w:rPr>
          <w:rFonts w:ascii="Times New Roman" w:hAnsi="Times New Roman" w:cs="Times New Roman"/>
          <w:sz w:val="28"/>
          <w:szCs w:val="28"/>
          <w:lang w:val="uk-UA"/>
        </w:rPr>
        <w:t>.</w:t>
      </w:r>
      <w:r w:rsidRPr="00346B70">
        <w:rPr>
          <w:rFonts w:ascii="Times New Roman" w:hAnsi="Times New Roman" w:cs="Times New Roman"/>
          <w:sz w:val="28"/>
          <w:szCs w:val="28"/>
          <w:lang w:val="uk-UA"/>
        </w:rPr>
        <w:t xml:space="preserve"> У той час, як за даними </w:t>
      </w:r>
      <w:r w:rsidR="00E04DB8">
        <w:rPr>
          <w:rFonts w:ascii="Times New Roman" w:hAnsi="Times New Roman" w:cs="Times New Roman"/>
          <w:sz w:val="28"/>
          <w:szCs w:val="28"/>
          <w:lang w:val="uk-UA"/>
        </w:rPr>
        <w:t>авторів</w:t>
      </w:r>
      <w:r w:rsidRPr="00346B70">
        <w:rPr>
          <w:rFonts w:ascii="Times New Roman" w:hAnsi="Times New Roman" w:cs="Times New Roman"/>
          <w:sz w:val="28"/>
          <w:szCs w:val="28"/>
          <w:lang w:val="uk-UA"/>
        </w:rPr>
        <w:t xml:space="preserve"> статистично вірогідна асоціація </w:t>
      </w:r>
      <w:r w:rsidRPr="00E04DB8">
        <w:rPr>
          <w:rFonts w:ascii="Times New Roman" w:hAnsi="Times New Roman" w:cs="Times New Roman"/>
          <w:sz w:val="28"/>
          <w:szCs w:val="28"/>
        </w:rPr>
        <w:t>SNP</w:t>
      </w:r>
      <w:r w:rsidRPr="00E04DB8">
        <w:rPr>
          <w:rFonts w:ascii="Times New Roman" w:hAnsi="Times New Roman" w:cs="Times New Roman"/>
          <w:sz w:val="28"/>
          <w:szCs w:val="28"/>
          <w:lang w:val="uk-UA"/>
        </w:rPr>
        <w:t xml:space="preserve"> </w:t>
      </w:r>
      <w:r w:rsidRPr="00E04DB8">
        <w:rPr>
          <w:rFonts w:ascii="Times New Roman" w:hAnsi="Times New Roman" w:cs="Times New Roman"/>
          <w:sz w:val="28"/>
          <w:szCs w:val="28"/>
        </w:rPr>
        <w:t>rs</w:t>
      </w:r>
      <w:r w:rsidRPr="00E04DB8">
        <w:rPr>
          <w:rFonts w:ascii="Times New Roman" w:hAnsi="Times New Roman" w:cs="Times New Roman"/>
          <w:sz w:val="28"/>
          <w:szCs w:val="28"/>
          <w:lang w:val="uk-UA"/>
        </w:rPr>
        <w:t>1800896 у гені</w:t>
      </w:r>
      <w:r w:rsidRPr="00E04DB8">
        <w:rPr>
          <w:rFonts w:ascii="Times New Roman" w:hAnsi="Times New Roman" w:cs="Times New Roman"/>
          <w:i/>
          <w:sz w:val="28"/>
          <w:szCs w:val="28"/>
          <w:lang w:val="uk-UA"/>
        </w:rPr>
        <w:t xml:space="preserve"> </w:t>
      </w:r>
      <w:r w:rsidRPr="00E04DB8">
        <w:rPr>
          <w:rStyle w:val="Emphasis"/>
          <w:rFonts w:ascii="Times New Roman" w:hAnsi="Times New Roman" w:cs="Times New Roman"/>
          <w:i w:val="0"/>
          <w:sz w:val="28"/>
          <w:szCs w:val="28"/>
          <w:bdr w:val="none" w:sz="0" w:space="0" w:color="auto" w:frame="1"/>
        </w:rPr>
        <w:t>IL</w:t>
      </w:r>
      <w:r w:rsidRPr="00E04DB8">
        <w:rPr>
          <w:rStyle w:val="Emphasis"/>
          <w:rFonts w:ascii="Times New Roman" w:hAnsi="Times New Roman" w:cs="Times New Roman"/>
          <w:i w:val="0"/>
          <w:sz w:val="28"/>
          <w:szCs w:val="28"/>
          <w:bdr w:val="none" w:sz="0" w:space="0" w:color="auto" w:frame="1"/>
          <w:lang w:val="uk-UA"/>
        </w:rPr>
        <w:t>10</w:t>
      </w:r>
      <w:r w:rsidRPr="00E04DB8">
        <w:rPr>
          <w:rStyle w:val="apple-converted-space"/>
          <w:rFonts w:ascii="Times New Roman" w:hAnsi="Times New Roman" w:cs="Times New Roman"/>
          <w:i/>
          <w:sz w:val="28"/>
          <w:szCs w:val="28"/>
        </w:rPr>
        <w:t> </w:t>
      </w:r>
      <w:r w:rsidRPr="00E04DB8">
        <w:rPr>
          <w:rFonts w:ascii="Times New Roman" w:hAnsi="Times New Roman" w:cs="Times New Roman"/>
          <w:i/>
          <w:sz w:val="28"/>
          <w:szCs w:val="28"/>
          <w:lang w:val="uk-UA"/>
        </w:rPr>
        <w:t xml:space="preserve"> </w:t>
      </w:r>
      <w:r w:rsidRPr="00E04DB8">
        <w:rPr>
          <w:rFonts w:ascii="Times New Roman" w:hAnsi="Times New Roman" w:cs="Times New Roman"/>
          <w:sz w:val="28"/>
          <w:szCs w:val="28"/>
          <w:lang w:val="uk-UA"/>
        </w:rPr>
        <w:t>була встановлена</w:t>
      </w:r>
      <w:r w:rsidRPr="00346B70">
        <w:rPr>
          <w:rFonts w:ascii="Times New Roman" w:hAnsi="Times New Roman" w:cs="Times New Roman"/>
          <w:sz w:val="28"/>
          <w:szCs w:val="28"/>
          <w:lang w:val="uk-UA"/>
        </w:rPr>
        <w:t xml:space="preserve"> з астмою в ділей дошкільного віку, які перенесли серйозне запалення нижніх дихальних шляхів у ранньому дитинстві [</w:t>
      </w:r>
      <w:r w:rsidR="00E04DB8">
        <w:rPr>
          <w:rFonts w:ascii="Times New Roman" w:hAnsi="Times New Roman" w:cs="Times New Roman"/>
          <w:color w:val="000000"/>
          <w:sz w:val="28"/>
          <w:szCs w:val="28"/>
          <w:lang w:val="uk-UA"/>
        </w:rPr>
        <w:t>292</w:t>
      </w:r>
      <w:r w:rsidRPr="00346B70">
        <w:rPr>
          <w:rFonts w:ascii="Times New Roman" w:hAnsi="Times New Roman" w:cs="Times New Roman"/>
          <w:sz w:val="28"/>
          <w:szCs w:val="28"/>
          <w:lang w:val="uk-UA"/>
        </w:rPr>
        <w:t xml:space="preserve">]. </w:t>
      </w:r>
      <w:r w:rsidRPr="00B11C46">
        <w:rPr>
          <w:rFonts w:ascii="Times New Roman" w:hAnsi="Times New Roman" w:cs="Times New Roman"/>
          <w:sz w:val="28"/>
          <w:szCs w:val="28"/>
          <w:lang w:val="uk-UA"/>
        </w:rPr>
        <w:t>Вважаємо за доцільне проводити генотипування осіб окремо за нозологічними одиницями.</w:t>
      </w:r>
    </w:p>
    <w:p w14:paraId="200C67A9" w14:textId="3728CAD9" w:rsidR="00770E10" w:rsidRDefault="00B11C46" w:rsidP="00770E10">
      <w:pPr>
        <w:spacing w:after="0" w:line="360" w:lineRule="auto"/>
        <w:ind w:firstLine="708"/>
        <w:jc w:val="both"/>
        <w:rPr>
          <w:rFonts w:ascii="Times New Roman" w:hAnsi="Times New Roman"/>
          <w:sz w:val="28"/>
          <w:szCs w:val="28"/>
          <w:lang w:val="uk-UA"/>
        </w:rPr>
      </w:pPr>
      <w:r w:rsidRPr="00B11C46">
        <w:rPr>
          <w:rFonts w:ascii="Times New Roman" w:hAnsi="Times New Roman" w:cs="Times New Roman"/>
          <w:sz w:val="28"/>
          <w:szCs w:val="28"/>
          <w:lang w:val="uk-UA"/>
        </w:rPr>
        <w:t xml:space="preserve">Отже, </w:t>
      </w:r>
      <w:r w:rsidRPr="00B11C46">
        <w:rPr>
          <w:rFonts w:ascii="Times New Roman" w:hAnsi="Times New Roman"/>
          <w:sz w:val="28"/>
          <w:szCs w:val="28"/>
          <w:lang w:val="uk-UA"/>
        </w:rPr>
        <w:t>ч</w:t>
      </w:r>
      <w:r w:rsidR="00770E10" w:rsidRPr="00B11C46">
        <w:rPr>
          <w:rFonts w:ascii="Times New Roman" w:hAnsi="Times New Roman"/>
          <w:sz w:val="28"/>
          <w:szCs w:val="28"/>
          <w:lang w:val="uk-UA"/>
        </w:rPr>
        <w:t>астоти генотипів</w:t>
      </w:r>
      <w:r w:rsidR="00770E10" w:rsidRPr="001B171A">
        <w:rPr>
          <w:rFonts w:ascii="Times New Roman" w:hAnsi="Times New Roman"/>
          <w:sz w:val="28"/>
          <w:szCs w:val="28"/>
          <w:lang w:val="uk-UA"/>
        </w:rPr>
        <w:t xml:space="preserve"> </w:t>
      </w:r>
      <w:r w:rsidR="00770E10">
        <w:rPr>
          <w:rFonts w:ascii="Times New Roman" w:hAnsi="Times New Roman"/>
          <w:sz w:val="28"/>
          <w:szCs w:val="28"/>
          <w:lang w:val="uk-UA"/>
        </w:rPr>
        <w:t xml:space="preserve">за </w:t>
      </w:r>
      <w:r w:rsidR="00770E10" w:rsidRPr="00AC5AD6">
        <w:rPr>
          <w:rFonts w:ascii="Times New Roman" w:hAnsi="Times New Roman"/>
          <w:sz w:val="28"/>
          <w:szCs w:val="28"/>
          <w:lang w:val="uk-UA"/>
        </w:rPr>
        <w:t xml:space="preserve">поліморфізмом rs1800896 по </w:t>
      </w:r>
      <w:r w:rsidR="00770E10" w:rsidRPr="001B171A">
        <w:rPr>
          <w:rFonts w:ascii="Times New Roman" w:hAnsi="Times New Roman"/>
          <w:sz w:val="28"/>
          <w:szCs w:val="28"/>
          <w:lang w:val="uk-UA"/>
        </w:rPr>
        <w:t>вибірці в цілому</w:t>
      </w:r>
      <w:r w:rsidR="00770E10">
        <w:rPr>
          <w:rFonts w:ascii="Times New Roman" w:hAnsi="Times New Roman"/>
          <w:sz w:val="28"/>
          <w:szCs w:val="28"/>
          <w:lang w:val="uk-UA"/>
        </w:rPr>
        <w:t xml:space="preserve"> та</w:t>
      </w:r>
      <w:r w:rsidR="00770E10" w:rsidRPr="001B171A">
        <w:rPr>
          <w:rFonts w:ascii="Times New Roman" w:hAnsi="Times New Roman"/>
          <w:sz w:val="28"/>
          <w:szCs w:val="28"/>
          <w:lang w:val="uk-UA"/>
        </w:rPr>
        <w:t xml:space="preserve"> у межах контрольної </w:t>
      </w:r>
      <w:r w:rsidR="00770E10">
        <w:rPr>
          <w:rFonts w:ascii="Times New Roman" w:hAnsi="Times New Roman"/>
          <w:sz w:val="28"/>
          <w:szCs w:val="28"/>
          <w:lang w:val="uk-UA"/>
        </w:rPr>
        <w:t xml:space="preserve">та основної груп окремо </w:t>
      </w:r>
      <w:r w:rsidR="00770E10" w:rsidRPr="001B171A">
        <w:rPr>
          <w:rFonts w:ascii="Times New Roman" w:hAnsi="Times New Roman"/>
          <w:sz w:val="28"/>
          <w:szCs w:val="28"/>
          <w:lang w:val="uk-UA"/>
        </w:rPr>
        <w:t>не відрізня</w:t>
      </w:r>
      <w:r w:rsidR="00770E10">
        <w:rPr>
          <w:rFonts w:ascii="Times New Roman" w:hAnsi="Times New Roman"/>
          <w:sz w:val="28"/>
          <w:szCs w:val="28"/>
          <w:lang w:val="uk-UA"/>
        </w:rPr>
        <w:t>ю</w:t>
      </w:r>
      <w:r w:rsidR="00770E10" w:rsidRPr="001B171A">
        <w:rPr>
          <w:rFonts w:ascii="Times New Roman" w:hAnsi="Times New Roman"/>
          <w:sz w:val="28"/>
          <w:szCs w:val="28"/>
          <w:lang w:val="uk-UA"/>
        </w:rPr>
        <w:t>ться від теоретично очікуван</w:t>
      </w:r>
      <w:r w:rsidR="00770E10">
        <w:rPr>
          <w:rFonts w:ascii="Times New Roman" w:hAnsi="Times New Roman"/>
          <w:sz w:val="28"/>
          <w:szCs w:val="28"/>
          <w:lang w:val="uk-UA"/>
        </w:rPr>
        <w:t>их</w:t>
      </w:r>
      <w:r w:rsidR="00770E10" w:rsidRPr="001B171A">
        <w:rPr>
          <w:rFonts w:ascii="Times New Roman" w:hAnsi="Times New Roman"/>
          <w:sz w:val="28"/>
          <w:szCs w:val="28"/>
          <w:lang w:val="uk-UA"/>
        </w:rPr>
        <w:t xml:space="preserve"> за законом Харді-Вайнберга для панміктичної популяції</w:t>
      </w:r>
      <w:r w:rsidR="00770E10" w:rsidRPr="00770E10">
        <w:rPr>
          <w:rFonts w:ascii="Times New Roman" w:hAnsi="Times New Roman"/>
          <w:sz w:val="28"/>
          <w:szCs w:val="28"/>
          <w:lang w:val="ru-RU"/>
        </w:rPr>
        <w:t xml:space="preserve"> (</w:t>
      </w:r>
      <w:r w:rsidR="00770E10">
        <w:rPr>
          <w:rFonts w:ascii="Times New Roman" w:hAnsi="Times New Roman"/>
          <w:sz w:val="28"/>
          <w:szCs w:val="28"/>
        </w:rPr>
        <w:t>χ</w:t>
      </w:r>
      <w:r w:rsidR="00770E10" w:rsidRPr="00770E10">
        <w:rPr>
          <w:rFonts w:ascii="Times New Roman" w:hAnsi="Times New Roman"/>
          <w:sz w:val="28"/>
          <w:szCs w:val="28"/>
          <w:vertAlign w:val="superscript"/>
          <w:lang w:val="ru-RU"/>
        </w:rPr>
        <w:t>2</w:t>
      </w:r>
      <w:r w:rsidR="00770E10" w:rsidRPr="00770E10">
        <w:rPr>
          <w:rFonts w:ascii="Times New Roman" w:hAnsi="Times New Roman"/>
          <w:sz w:val="28"/>
          <w:szCs w:val="28"/>
          <w:lang w:val="ru-RU"/>
        </w:rPr>
        <w:t>&lt;5,99)</w:t>
      </w:r>
      <w:r w:rsidR="00770E10">
        <w:rPr>
          <w:rFonts w:ascii="Times New Roman" w:hAnsi="Times New Roman"/>
          <w:sz w:val="28"/>
          <w:szCs w:val="28"/>
          <w:lang w:val="uk-UA"/>
        </w:rPr>
        <w:t>.</w:t>
      </w:r>
    </w:p>
    <w:p w14:paraId="16F1916B" w14:textId="77777777" w:rsidR="00770E10"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w:t>
      </w:r>
      <w:r w:rsidRPr="001B171A">
        <w:rPr>
          <w:rFonts w:ascii="Times New Roman" w:hAnsi="Times New Roman"/>
          <w:sz w:val="28"/>
          <w:szCs w:val="28"/>
          <w:lang w:val="uk-UA"/>
        </w:rPr>
        <w:t>тримані нами частоти алелів по вибірці в цілому</w:t>
      </w:r>
      <w:r>
        <w:rPr>
          <w:rFonts w:ascii="Times New Roman" w:hAnsi="Times New Roman"/>
          <w:sz w:val="28"/>
          <w:szCs w:val="28"/>
          <w:lang w:val="uk-UA"/>
        </w:rPr>
        <w:t xml:space="preserve"> та</w:t>
      </w:r>
      <w:r w:rsidRPr="001B171A">
        <w:rPr>
          <w:rFonts w:ascii="Times New Roman" w:hAnsi="Times New Roman"/>
          <w:sz w:val="28"/>
          <w:szCs w:val="28"/>
          <w:lang w:val="uk-UA"/>
        </w:rPr>
        <w:t xml:space="preserve"> у межах контрольної та основної груп</w:t>
      </w:r>
      <w:r>
        <w:rPr>
          <w:rFonts w:ascii="Times New Roman" w:hAnsi="Times New Roman"/>
          <w:sz w:val="28"/>
          <w:szCs w:val="28"/>
          <w:lang w:val="uk-UA"/>
        </w:rPr>
        <w:t xml:space="preserve"> </w:t>
      </w:r>
      <w:r w:rsidRPr="001B171A">
        <w:rPr>
          <w:rFonts w:ascii="Times New Roman" w:hAnsi="Times New Roman"/>
          <w:sz w:val="28"/>
          <w:szCs w:val="28"/>
          <w:lang w:val="uk-UA"/>
        </w:rPr>
        <w:t xml:space="preserve">можуть бути співставлені з частотами алелів за цим поліморфізмом, що були розраховані за даними </w:t>
      </w:r>
      <w:r>
        <w:rPr>
          <w:rFonts w:ascii="Times New Roman" w:hAnsi="Times New Roman"/>
          <w:sz w:val="28"/>
          <w:szCs w:val="28"/>
          <w:lang w:val="uk-UA"/>
        </w:rPr>
        <w:t>інших</w:t>
      </w:r>
      <w:r w:rsidRPr="001B171A">
        <w:rPr>
          <w:rFonts w:ascii="Times New Roman" w:hAnsi="Times New Roman"/>
          <w:sz w:val="28"/>
          <w:szCs w:val="28"/>
          <w:lang w:val="uk-UA"/>
        </w:rPr>
        <w:t xml:space="preserve"> досліджень</w:t>
      </w:r>
      <w:r>
        <w:rPr>
          <w:rFonts w:ascii="Times New Roman" w:hAnsi="Times New Roman"/>
          <w:sz w:val="28"/>
          <w:szCs w:val="28"/>
          <w:lang w:val="uk-UA"/>
        </w:rPr>
        <w:t>.</w:t>
      </w:r>
    </w:p>
    <w:p w14:paraId="4C64733D" w14:textId="77777777" w:rsidR="00770E10"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Pr="001B171A">
        <w:rPr>
          <w:rFonts w:ascii="Times New Roman" w:hAnsi="Times New Roman"/>
          <w:sz w:val="28"/>
          <w:szCs w:val="28"/>
          <w:lang w:val="uk-UA"/>
        </w:rPr>
        <w:t xml:space="preserve">орівняльний аналіз показників, що характеризують </w:t>
      </w:r>
      <w:r>
        <w:rPr>
          <w:rFonts w:ascii="Times New Roman" w:hAnsi="Times New Roman"/>
          <w:sz w:val="28"/>
          <w:szCs w:val="28"/>
          <w:lang w:val="uk-UA"/>
        </w:rPr>
        <w:t xml:space="preserve">імунологічний статус </w:t>
      </w:r>
      <w:r w:rsidRPr="001B171A">
        <w:rPr>
          <w:rFonts w:ascii="Times New Roman" w:hAnsi="Times New Roman"/>
          <w:sz w:val="28"/>
          <w:szCs w:val="28"/>
          <w:lang w:val="uk-UA"/>
        </w:rPr>
        <w:t>(</w:t>
      </w:r>
      <w:r>
        <w:rPr>
          <w:rFonts w:ascii="Times New Roman" w:hAnsi="Times New Roman"/>
          <w:sz w:val="28"/>
          <w:szCs w:val="28"/>
        </w:rPr>
        <w:t>sIgA</w:t>
      </w:r>
      <w:r w:rsidRPr="00702123">
        <w:rPr>
          <w:rFonts w:ascii="Times New Roman" w:hAnsi="Times New Roman"/>
          <w:sz w:val="28"/>
          <w:szCs w:val="28"/>
          <w:lang w:val="uk-UA"/>
        </w:rPr>
        <w:t xml:space="preserve">, </w:t>
      </w:r>
      <w:r>
        <w:rPr>
          <w:rFonts w:ascii="Times New Roman" w:hAnsi="Times New Roman"/>
          <w:sz w:val="28"/>
          <w:szCs w:val="28"/>
        </w:rPr>
        <w:t>IgA</w:t>
      </w:r>
      <w:r w:rsidRPr="00702123">
        <w:rPr>
          <w:rFonts w:ascii="Times New Roman" w:hAnsi="Times New Roman"/>
          <w:sz w:val="28"/>
          <w:szCs w:val="28"/>
          <w:lang w:val="uk-UA"/>
        </w:rPr>
        <w:t xml:space="preserve">, </w:t>
      </w:r>
      <w:r>
        <w:rPr>
          <w:rFonts w:ascii="Times New Roman" w:hAnsi="Times New Roman"/>
          <w:sz w:val="28"/>
          <w:szCs w:val="28"/>
        </w:rPr>
        <w:t>IgG</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 xml:space="preserve">та </w:t>
      </w:r>
      <w:r w:rsidRPr="001B171A">
        <w:rPr>
          <w:rFonts w:ascii="Times New Roman" w:hAnsi="Times New Roman"/>
          <w:sz w:val="28"/>
          <w:szCs w:val="28"/>
          <w:lang w:val="uk-UA"/>
        </w:rPr>
        <w:t>ступінь розвитку гінгівіту (</w:t>
      </w:r>
      <w:r>
        <w:rPr>
          <w:rFonts w:ascii="Times New Roman" w:hAnsi="Times New Roman"/>
          <w:sz w:val="28"/>
          <w:szCs w:val="28"/>
        </w:rPr>
        <w:t>SBI</w:t>
      </w:r>
      <w:r w:rsidRPr="001B171A">
        <w:rPr>
          <w:rFonts w:ascii="Times New Roman" w:hAnsi="Times New Roman"/>
          <w:sz w:val="28"/>
          <w:szCs w:val="28"/>
          <w:lang w:val="uk-UA"/>
        </w:rPr>
        <w:t>)</w:t>
      </w:r>
      <w:r w:rsidRPr="00702123">
        <w:rPr>
          <w:rFonts w:ascii="Times New Roman" w:hAnsi="Times New Roman"/>
          <w:sz w:val="28"/>
          <w:szCs w:val="28"/>
          <w:lang w:val="uk-UA"/>
        </w:rPr>
        <w:t xml:space="preserve">, </w:t>
      </w:r>
      <w:r>
        <w:rPr>
          <w:rFonts w:ascii="Times New Roman" w:hAnsi="Times New Roman"/>
          <w:sz w:val="28"/>
          <w:szCs w:val="28"/>
          <w:lang w:val="uk-UA"/>
        </w:rPr>
        <w:t>в</w:t>
      </w:r>
      <w:r w:rsidRPr="001B171A">
        <w:rPr>
          <w:rFonts w:ascii="Times New Roman" w:hAnsi="Times New Roman"/>
          <w:sz w:val="28"/>
          <w:szCs w:val="28"/>
          <w:lang w:val="uk-UA"/>
        </w:rPr>
        <w:t xml:space="preserve"> </w:t>
      </w:r>
      <w:r>
        <w:rPr>
          <w:rFonts w:ascii="Times New Roman" w:hAnsi="Times New Roman"/>
          <w:sz w:val="28"/>
          <w:szCs w:val="28"/>
          <w:lang w:val="uk-UA"/>
        </w:rPr>
        <w:t>пацієнтів</w:t>
      </w:r>
      <w:r w:rsidRPr="001B171A">
        <w:rPr>
          <w:rFonts w:ascii="Times New Roman" w:hAnsi="Times New Roman"/>
          <w:sz w:val="28"/>
          <w:szCs w:val="28"/>
          <w:lang w:val="uk-UA"/>
        </w:rPr>
        <w:t xml:space="preserve"> </w:t>
      </w:r>
      <w:r>
        <w:rPr>
          <w:rFonts w:ascii="Times New Roman" w:hAnsi="Times New Roman"/>
          <w:sz w:val="28"/>
          <w:szCs w:val="28"/>
          <w:lang w:val="uk-UA"/>
        </w:rPr>
        <w:t>контрольної та основної груп виявив лише відмінності зумовлені саме приналежністю індивіда до однієї з цих груп (</w:t>
      </w:r>
      <w:r>
        <w:rPr>
          <w:rFonts w:ascii="Times New Roman" w:hAnsi="Times New Roman"/>
          <w:sz w:val="28"/>
          <w:szCs w:val="28"/>
        </w:rPr>
        <w:t>p</w:t>
      </w:r>
      <w:r w:rsidRPr="00D40B0D">
        <w:rPr>
          <w:rFonts w:ascii="Times New Roman" w:hAnsi="Times New Roman"/>
          <w:sz w:val="28"/>
          <w:szCs w:val="28"/>
          <w:lang w:val="uk-UA"/>
        </w:rPr>
        <w:t>&lt;0,05)</w:t>
      </w:r>
      <w:r>
        <w:rPr>
          <w:rFonts w:ascii="Times New Roman" w:hAnsi="Times New Roman"/>
          <w:sz w:val="28"/>
          <w:szCs w:val="28"/>
          <w:lang w:val="uk-UA"/>
        </w:rPr>
        <w:t xml:space="preserve">, незалежно від генотипу за </w:t>
      </w:r>
      <w:r w:rsidRPr="00AC5AD6">
        <w:rPr>
          <w:rFonts w:ascii="Times New Roman" w:hAnsi="Times New Roman"/>
          <w:sz w:val="28"/>
          <w:szCs w:val="28"/>
          <w:lang w:val="uk-UA"/>
        </w:rPr>
        <w:t>rs1800896</w:t>
      </w:r>
      <w:r>
        <w:rPr>
          <w:rFonts w:ascii="Times New Roman" w:hAnsi="Times New Roman"/>
          <w:i/>
          <w:sz w:val="28"/>
          <w:szCs w:val="28"/>
          <w:lang w:val="uk-UA"/>
        </w:rPr>
        <w:t>,</w:t>
      </w:r>
      <w:r>
        <w:rPr>
          <w:rFonts w:ascii="Times New Roman" w:hAnsi="Times New Roman"/>
          <w:sz w:val="28"/>
          <w:szCs w:val="28"/>
          <w:lang w:val="uk-UA"/>
        </w:rPr>
        <w:t xml:space="preserve"> що можна пояснити нечисельністю порівнюваних груп, для яких вдалося встановити генотип.</w:t>
      </w:r>
    </w:p>
    <w:p w14:paraId="44A5BBEF" w14:textId="77777777" w:rsidR="00770E10" w:rsidRPr="00382DDC" w:rsidRDefault="00770E10" w:rsidP="00770E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даному етапі досліджень </w:t>
      </w:r>
      <w:r w:rsidRPr="00AC5AD6">
        <w:rPr>
          <w:rFonts w:ascii="Times New Roman" w:hAnsi="Times New Roman"/>
          <w:sz w:val="28"/>
          <w:szCs w:val="28"/>
        </w:rPr>
        <w:t>SNP</w:t>
      </w:r>
      <w:r w:rsidRPr="00AC5AD6">
        <w:rPr>
          <w:rFonts w:ascii="Times New Roman" w:hAnsi="Times New Roman"/>
          <w:sz w:val="28"/>
          <w:szCs w:val="28"/>
          <w:lang w:val="ru-RU"/>
        </w:rPr>
        <w:t xml:space="preserve"> </w:t>
      </w:r>
      <w:r w:rsidRPr="00AC5AD6">
        <w:rPr>
          <w:rFonts w:ascii="Times New Roman" w:hAnsi="Times New Roman"/>
          <w:sz w:val="28"/>
          <w:szCs w:val="28"/>
          <w:lang w:val="uk-UA"/>
        </w:rPr>
        <w:t>rs1800896</w:t>
      </w:r>
      <w:r w:rsidRPr="00AC5AD6">
        <w:rPr>
          <w:rFonts w:ascii="Times New Roman" w:hAnsi="Times New Roman"/>
          <w:sz w:val="28"/>
          <w:szCs w:val="28"/>
          <w:lang w:val="ru-RU"/>
        </w:rPr>
        <w:t xml:space="preserve"> </w:t>
      </w:r>
      <w:r w:rsidRPr="00AC5AD6">
        <w:rPr>
          <w:rFonts w:ascii="Times New Roman" w:hAnsi="Times New Roman"/>
          <w:sz w:val="28"/>
          <w:szCs w:val="28"/>
          <w:lang w:val="uk-UA"/>
        </w:rPr>
        <w:t xml:space="preserve">у гені </w:t>
      </w:r>
      <w:r w:rsidRPr="00AC5AD6">
        <w:rPr>
          <w:rFonts w:ascii="Times New Roman" w:hAnsi="Times New Roman"/>
          <w:sz w:val="28"/>
          <w:szCs w:val="28"/>
        </w:rPr>
        <w:t>Il</w:t>
      </w:r>
      <w:r w:rsidRPr="00AC5AD6">
        <w:rPr>
          <w:rFonts w:ascii="Times New Roman" w:hAnsi="Times New Roman"/>
          <w:sz w:val="28"/>
          <w:szCs w:val="28"/>
          <w:lang w:val="uk-UA"/>
        </w:rPr>
        <w:t>-10</w:t>
      </w:r>
      <w:r>
        <w:rPr>
          <w:rFonts w:ascii="Times New Roman" w:hAnsi="Times New Roman"/>
          <w:sz w:val="28"/>
          <w:szCs w:val="28"/>
          <w:lang w:val="uk-UA"/>
        </w:rPr>
        <w:t xml:space="preserve"> не може бути використаний у якості преди</w:t>
      </w:r>
      <w:r w:rsidRPr="00424899">
        <w:rPr>
          <w:rFonts w:ascii="Times New Roman" w:hAnsi="Times New Roman"/>
          <w:sz w:val="28"/>
          <w:szCs w:val="28"/>
          <w:lang w:val="uk-UA"/>
        </w:rPr>
        <w:t>ктивного маркера щодо прогнозу перебігу гінгівіту в дітей з атопічними захворюваннями, але може бути використаний для індивідуального генетичного консультування щодо ризику розвитку хвороб, з якими встановлена асоціація.</w:t>
      </w:r>
    </w:p>
    <w:p w14:paraId="46593948" w14:textId="77777777" w:rsidR="00770E10" w:rsidRDefault="00770E10" w:rsidP="00135E6A">
      <w:pPr>
        <w:spacing w:after="0" w:line="360" w:lineRule="auto"/>
        <w:ind w:firstLine="709"/>
        <w:jc w:val="both"/>
        <w:rPr>
          <w:rFonts w:ascii="Times New Roman" w:hAnsi="Times New Roman" w:cs="Times New Roman"/>
          <w:sz w:val="28"/>
          <w:szCs w:val="28"/>
          <w:lang w:val="uk-UA"/>
        </w:rPr>
      </w:pPr>
    </w:p>
    <w:p w14:paraId="4D480EE9" w14:textId="654B6F23" w:rsidR="00B64907" w:rsidRDefault="00B64907" w:rsidP="00135E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аналіз застосування методів, які </w:t>
      </w:r>
      <w:r w:rsidR="007F0B3C">
        <w:rPr>
          <w:rFonts w:ascii="Times New Roman" w:hAnsi="Times New Roman" w:cs="Times New Roman"/>
          <w:sz w:val="28"/>
          <w:szCs w:val="28"/>
          <w:lang w:val="uk-UA"/>
        </w:rPr>
        <w:t>можуть бути</w:t>
      </w:r>
      <w:r>
        <w:rPr>
          <w:rFonts w:ascii="Times New Roman" w:hAnsi="Times New Roman" w:cs="Times New Roman"/>
          <w:sz w:val="28"/>
          <w:szCs w:val="28"/>
          <w:lang w:val="uk-UA"/>
        </w:rPr>
        <w:t xml:space="preserve"> предиктивними щодо розвитку захворювань пародонту</w:t>
      </w:r>
      <w:r w:rsidR="007F0B3C">
        <w:rPr>
          <w:rFonts w:ascii="Times New Roman" w:hAnsi="Times New Roman" w:cs="Times New Roman"/>
          <w:sz w:val="28"/>
          <w:szCs w:val="28"/>
          <w:lang w:val="uk-UA"/>
        </w:rPr>
        <w:t>, показав, що цитоморфологічне дослідження клітин букального епітелію є інформативним для характеристики та оцінки загального стану організму, але для специфічної діагностики гінгівіту точність даного методу є доволі низькою. Аналіз факторів генетичної схильності до формування патології тканин пародонту виявив різні закономірності відповідно до представлених у дослідженні поліморфізмів генів. Так, ми спостерігали</w:t>
      </w:r>
      <w:r w:rsidR="007F0B3C" w:rsidRPr="007F5F67">
        <w:rPr>
          <w:rFonts w:ascii="Times New Roman" w:hAnsi="Times New Roman" w:cs="Times New Roman"/>
          <w:sz w:val="28"/>
          <w:szCs w:val="28"/>
          <w:lang w:val="uk-UA"/>
        </w:rPr>
        <w:t xml:space="preserve"> тенденцію до різного формування імунної відповіді (за імуноглобулинами</w:t>
      </w:r>
      <w:r w:rsidR="007F0B3C">
        <w:rPr>
          <w:rFonts w:ascii="Times New Roman" w:hAnsi="Times New Roman" w:cs="Times New Roman"/>
          <w:sz w:val="28"/>
          <w:szCs w:val="28"/>
          <w:lang w:val="uk-UA"/>
        </w:rPr>
        <w:t xml:space="preserve"> А, </w:t>
      </w:r>
      <w:r w:rsidR="007F0B3C">
        <w:rPr>
          <w:rFonts w:ascii="Times New Roman" w:hAnsi="Times New Roman" w:cs="Times New Roman"/>
          <w:sz w:val="28"/>
          <w:szCs w:val="28"/>
        </w:rPr>
        <w:t>G</w:t>
      </w:r>
      <w:r w:rsidR="007F0B3C">
        <w:rPr>
          <w:rFonts w:ascii="Times New Roman" w:hAnsi="Times New Roman" w:cs="Times New Roman"/>
          <w:sz w:val="28"/>
          <w:szCs w:val="28"/>
          <w:lang w:val="uk-UA"/>
        </w:rPr>
        <w:t>, M</w:t>
      </w:r>
      <w:r w:rsidR="007F0B3C" w:rsidRPr="007F5F67">
        <w:rPr>
          <w:rFonts w:ascii="Times New Roman" w:hAnsi="Times New Roman" w:cs="Times New Roman"/>
          <w:sz w:val="28"/>
          <w:szCs w:val="28"/>
          <w:lang w:val="uk-UA"/>
        </w:rPr>
        <w:t xml:space="preserve">) у пацієнтів з атопічними захворюваннями та різними генотипами </w:t>
      </w:r>
      <w:r w:rsidR="007F0B3C" w:rsidRPr="00424899">
        <w:rPr>
          <w:rFonts w:ascii="Times New Roman" w:hAnsi="Times New Roman" w:cs="Times New Roman"/>
          <w:sz w:val="28"/>
          <w:szCs w:val="28"/>
          <w:lang w:val="uk-UA"/>
        </w:rPr>
        <w:t xml:space="preserve">за </w:t>
      </w:r>
      <w:r w:rsidR="007F0B3C" w:rsidRPr="00424899">
        <w:rPr>
          <w:rFonts w:ascii="Times New Roman" w:hAnsi="Times New Roman" w:cs="Times New Roman"/>
          <w:sz w:val="28"/>
          <w:szCs w:val="28"/>
          <w:lang w:val="de-DE"/>
        </w:rPr>
        <w:t>rs</w:t>
      </w:r>
      <w:r w:rsidR="007F0B3C" w:rsidRPr="00424899">
        <w:rPr>
          <w:rFonts w:ascii="Times New Roman" w:hAnsi="Times New Roman" w:cs="Times New Roman"/>
          <w:sz w:val="28"/>
          <w:szCs w:val="28"/>
          <w:lang w:val="uk-UA"/>
        </w:rPr>
        <w:t>1801270 поліморфізмом</w:t>
      </w:r>
      <w:r w:rsidR="007F0B3C" w:rsidRPr="007F5F67">
        <w:rPr>
          <w:rFonts w:ascii="Times New Roman" w:hAnsi="Times New Roman" w:cs="Times New Roman"/>
          <w:sz w:val="28"/>
          <w:szCs w:val="28"/>
          <w:lang w:val="uk-UA"/>
        </w:rPr>
        <w:t xml:space="preserve">, зокрема гомозиготи </w:t>
      </w:r>
      <w:r w:rsidR="007F0B3C" w:rsidRPr="007F5F67">
        <w:rPr>
          <w:rFonts w:ascii="Times New Roman" w:hAnsi="Times New Roman" w:cs="Times New Roman"/>
          <w:i/>
          <w:sz w:val="28"/>
          <w:szCs w:val="28"/>
          <w:lang w:val="uk-UA"/>
        </w:rPr>
        <w:t>АА</w:t>
      </w:r>
      <w:r w:rsidR="007F0B3C" w:rsidRPr="007F5F67">
        <w:rPr>
          <w:rFonts w:ascii="Times New Roman" w:hAnsi="Times New Roman" w:cs="Times New Roman"/>
          <w:sz w:val="28"/>
          <w:szCs w:val="28"/>
          <w:lang w:val="uk-UA"/>
        </w:rPr>
        <w:t xml:space="preserve"> тяжіють до більш агресивного протікання гінгівіту. </w:t>
      </w:r>
      <w:r w:rsidR="007F0B3C">
        <w:rPr>
          <w:rFonts w:ascii="Times New Roman" w:hAnsi="Times New Roman"/>
          <w:sz w:val="28"/>
          <w:szCs w:val="28"/>
          <w:lang w:val="uk-UA"/>
        </w:rPr>
        <w:t xml:space="preserve">У дітей з атопічними захворюваннями виявлено генетичні предиктори розвитку стоматологічних захворювань, а саме </w:t>
      </w:r>
      <w:r w:rsidR="007F0B3C">
        <w:rPr>
          <w:rFonts w:ascii="Times New Roman" w:hAnsi="Times New Roman" w:cs="Times New Roman"/>
          <w:sz w:val="28"/>
          <w:szCs w:val="28"/>
          <w:lang w:val="uk-UA"/>
        </w:rPr>
        <w:t>д</w:t>
      </w:r>
      <w:r w:rsidR="007F0B3C" w:rsidRPr="009C46D3">
        <w:rPr>
          <w:rFonts w:ascii="Times New Roman" w:hAnsi="Times New Roman" w:cs="Times New Roman"/>
          <w:sz w:val="28"/>
          <w:szCs w:val="28"/>
          <w:lang w:val="uk-UA"/>
        </w:rPr>
        <w:t>ля представників д</w:t>
      </w:r>
      <w:r w:rsidR="007F0B3C">
        <w:rPr>
          <w:rFonts w:ascii="Times New Roman" w:hAnsi="Times New Roman" w:cs="Times New Roman"/>
          <w:sz w:val="28"/>
          <w:szCs w:val="28"/>
          <w:lang w:val="uk-UA"/>
        </w:rPr>
        <w:t>аної</w:t>
      </w:r>
      <w:r w:rsidR="007F0B3C" w:rsidRPr="009C46D3">
        <w:rPr>
          <w:rFonts w:ascii="Times New Roman" w:hAnsi="Times New Roman" w:cs="Times New Roman"/>
          <w:sz w:val="28"/>
          <w:szCs w:val="28"/>
          <w:lang w:val="uk-UA"/>
        </w:rPr>
        <w:t xml:space="preserve"> групи характерними були «довгі» алелі з 7-ма, 8-ма або 9-ма повторами в інтроні 36 гена </w:t>
      </w:r>
      <w:r w:rsidR="007F0B3C" w:rsidRPr="009C46D3">
        <w:rPr>
          <w:rFonts w:ascii="Times New Roman" w:hAnsi="Times New Roman" w:cs="Times New Roman"/>
          <w:sz w:val="28"/>
          <w:szCs w:val="28"/>
        </w:rPr>
        <w:t>MUC</w:t>
      </w:r>
      <w:r w:rsidR="007F0B3C" w:rsidRPr="0004727D">
        <w:rPr>
          <w:rFonts w:ascii="Times New Roman" w:hAnsi="Times New Roman" w:cs="Times New Roman"/>
          <w:sz w:val="28"/>
          <w:szCs w:val="28"/>
          <w:lang w:val="uk-UA"/>
        </w:rPr>
        <w:t>5</w:t>
      </w:r>
      <w:r w:rsidR="007F0B3C" w:rsidRPr="009C46D3">
        <w:rPr>
          <w:rFonts w:ascii="Times New Roman" w:hAnsi="Times New Roman" w:cs="Times New Roman"/>
          <w:sz w:val="28"/>
          <w:szCs w:val="28"/>
        </w:rPr>
        <w:t>B</w:t>
      </w:r>
      <w:r w:rsidR="007F0B3C" w:rsidRPr="009C46D3">
        <w:rPr>
          <w:rFonts w:ascii="Times New Roman" w:hAnsi="Times New Roman" w:cs="Times New Roman"/>
          <w:sz w:val="28"/>
          <w:szCs w:val="28"/>
          <w:lang w:val="uk-UA"/>
        </w:rPr>
        <w:t xml:space="preserve"> (поширені у 79% випадків), водночас як серед представників контрольної групи ці алелі спостерігали з</w:t>
      </w:r>
      <w:r w:rsidR="007F0B3C">
        <w:rPr>
          <w:rFonts w:ascii="Times New Roman" w:hAnsi="Times New Roman" w:cs="Times New Roman"/>
          <w:sz w:val="28"/>
          <w:szCs w:val="28"/>
          <w:lang w:val="uk-UA"/>
        </w:rPr>
        <w:t>начно рідше (42%</w:t>
      </w:r>
      <w:r w:rsidR="007F0B3C" w:rsidRPr="009C46D3">
        <w:rPr>
          <w:rFonts w:ascii="Times New Roman" w:hAnsi="Times New Roman" w:cs="Times New Roman"/>
          <w:sz w:val="28"/>
          <w:szCs w:val="28"/>
          <w:lang w:val="uk-UA"/>
        </w:rPr>
        <w:t xml:space="preserve">). </w:t>
      </w:r>
      <w:r w:rsidR="007F0B3C">
        <w:rPr>
          <w:rFonts w:ascii="Times New Roman" w:hAnsi="Times New Roman" w:cs="Times New Roman"/>
          <w:sz w:val="28"/>
          <w:szCs w:val="28"/>
          <w:lang w:val="uk-UA"/>
        </w:rPr>
        <w:t>Дані</w:t>
      </w:r>
      <w:r w:rsidR="007F0B3C" w:rsidRPr="009C46D3">
        <w:rPr>
          <w:rFonts w:ascii="Times New Roman" w:hAnsi="Times New Roman" w:cs="Times New Roman"/>
          <w:sz w:val="28"/>
          <w:szCs w:val="28"/>
          <w:lang w:val="uk-UA"/>
        </w:rPr>
        <w:t xml:space="preserve"> алелі можна запропонувати, як маркери групи ризику щодо гінгівіту на тлі атопічних захворювань, або, як додатковий діагностичний тест для цієї групи захворювань.</w:t>
      </w:r>
      <w:r w:rsidR="007F0B3C">
        <w:rPr>
          <w:rFonts w:ascii="Times New Roman" w:hAnsi="Times New Roman" w:cs="Times New Roman"/>
          <w:sz w:val="28"/>
          <w:szCs w:val="28"/>
          <w:lang w:val="uk-UA"/>
        </w:rPr>
        <w:t xml:space="preserve"> Отже, запропоновані нами предиктивні методи діагностики заслуговують на увагу при формуванні груп ризику серед дітей з атопічними захворюваннями.</w:t>
      </w:r>
    </w:p>
    <w:p w14:paraId="217A20DC" w14:textId="77777777" w:rsidR="007F0B3C" w:rsidRDefault="007F0B3C" w:rsidP="00135E6A">
      <w:pPr>
        <w:spacing w:after="0" w:line="360" w:lineRule="auto"/>
        <w:ind w:firstLine="709"/>
        <w:jc w:val="both"/>
        <w:rPr>
          <w:rFonts w:ascii="Times New Roman" w:hAnsi="Times New Roman" w:cs="Times New Roman"/>
          <w:sz w:val="28"/>
          <w:szCs w:val="28"/>
          <w:lang w:val="uk-UA"/>
        </w:rPr>
      </w:pPr>
    </w:p>
    <w:p w14:paraId="1BC27300" w14:textId="77777777" w:rsidR="00974C00" w:rsidRDefault="00974C00" w:rsidP="00974C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1C9538F1" w14:textId="5529CD82" w:rsidR="00B64907" w:rsidRDefault="00974C00" w:rsidP="009860FF">
      <w:pPr>
        <w:pStyle w:val="ListParagraph"/>
        <w:numPr>
          <w:ilvl w:val="0"/>
          <w:numId w:val="13"/>
        </w:numPr>
        <w:spacing w:line="360" w:lineRule="auto"/>
        <w:jc w:val="both"/>
        <w:rPr>
          <w:rFonts w:ascii="Times New Roman" w:hAnsi="Times New Roman" w:cs="Times New Roman"/>
          <w:sz w:val="28"/>
          <w:szCs w:val="28"/>
          <w:lang w:val="uk-UA"/>
        </w:rPr>
      </w:pPr>
      <w:r w:rsidRPr="00974C00">
        <w:rPr>
          <w:rFonts w:ascii="Times New Roman" w:hAnsi="Times New Roman" w:cs="Times New Roman"/>
          <w:sz w:val="28"/>
          <w:szCs w:val="28"/>
          <w:lang w:val="uk-UA"/>
        </w:rPr>
        <w:t>Кривенко Л. С. Досвід генотипування дітей мешканців Харківської області з проявами гінгівіту на тлі атопічних захворювань за snp rs1801270 / Л. С. Кривенко // Клінічна та експериментальна патологія. – 2017. – №2 (60), ч.2. – С. 33-36.</w:t>
      </w:r>
    </w:p>
    <w:p w14:paraId="3FBDC706" w14:textId="41A970A9" w:rsidR="00974C00" w:rsidRDefault="009860FF" w:rsidP="009860FF">
      <w:pPr>
        <w:pStyle w:val="ListParagraph"/>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Характеристика клітин букального епітелію дітей, хворих на атопічні захворювання, та їх стоматологічний статус / Л. С. Кривенко // Актуальні проблеми сучасної медици</w:t>
      </w:r>
      <w:r>
        <w:rPr>
          <w:rFonts w:ascii="Times New Roman" w:hAnsi="Times New Roman" w:cs="Times New Roman"/>
          <w:sz w:val="28"/>
          <w:szCs w:val="28"/>
          <w:lang w:val="uk-UA"/>
        </w:rPr>
        <w:t>ни: Вісник Української медичної</w:t>
      </w:r>
      <w:r w:rsidRPr="009860FF">
        <w:rPr>
          <w:rFonts w:ascii="Times New Roman" w:hAnsi="Times New Roman" w:cs="Times New Roman"/>
          <w:sz w:val="28"/>
          <w:szCs w:val="28"/>
          <w:lang w:val="uk-UA"/>
        </w:rPr>
        <w:t xml:space="preserve"> стоматологічної академії. - 2017. – № 4 (60), том 17. – С. 134-137.</w:t>
      </w:r>
    </w:p>
    <w:p w14:paraId="164F5919" w14:textId="13FC2A8A" w:rsidR="009860FF" w:rsidRPr="009860FF" w:rsidRDefault="009860FF" w:rsidP="009860FF">
      <w:pPr>
        <w:pStyle w:val="ListParagraph"/>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 xml:space="preserve">Кривенко Л. С. Перспектива використання поліморфізму гена MUC5B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p>
    <w:p w14:paraId="2FA1C462" w14:textId="23872DFE" w:rsidR="009860FF" w:rsidRPr="009860FF" w:rsidRDefault="009860FF" w:rsidP="009860FF">
      <w:pPr>
        <w:pStyle w:val="ListParagraph"/>
        <w:numPr>
          <w:ilvl w:val="0"/>
          <w:numId w:val="13"/>
        </w:numPr>
        <w:spacing w:line="360" w:lineRule="auto"/>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Можливості використання генетичних предикторів гінгівіту у дітей на тлі атопічних захворювань / Л. С. Кривенко, Р. С. Назарян, Н. Є. Волкова, О. В. Горенська // Новини стоматології. – 2017. – №2 (91). – С. 89-92.</w:t>
      </w:r>
    </w:p>
    <w:p w14:paraId="2CEA5BCF" w14:textId="77777777" w:rsidR="007F0B3C" w:rsidRDefault="007F0B3C">
      <w:pPr>
        <w:rPr>
          <w:rFonts w:asciiTheme="majorHAnsi" w:eastAsiaTheme="majorEastAsia" w:hAnsiTheme="majorHAnsi" w:cstheme="majorBidi"/>
          <w:color w:val="2E74B5" w:themeColor="accent1" w:themeShade="BF"/>
          <w:sz w:val="26"/>
          <w:szCs w:val="26"/>
          <w:lang w:val="uk-UA"/>
        </w:rPr>
      </w:pPr>
      <w:r>
        <w:rPr>
          <w:lang w:val="uk-UA"/>
        </w:rPr>
        <w:br w:type="page"/>
      </w:r>
    </w:p>
    <w:p w14:paraId="5473E3F1" w14:textId="3D33F85F" w:rsidR="00936303" w:rsidRDefault="00936303" w:rsidP="00936303">
      <w:pPr>
        <w:pStyle w:val="Heading1"/>
        <w:spacing w:before="0" w:line="360" w:lineRule="auto"/>
        <w:jc w:val="center"/>
        <w:rPr>
          <w:rFonts w:ascii="Times New Roman" w:hAnsi="Times New Roman" w:cs="Times New Roman"/>
          <w:color w:val="auto"/>
          <w:sz w:val="28"/>
          <w:szCs w:val="28"/>
          <w:lang w:val="uk-UA"/>
        </w:rPr>
      </w:pPr>
      <w:bookmarkStart w:id="29" w:name="_Toc507575322"/>
      <w:r w:rsidRPr="00936303">
        <w:rPr>
          <w:rFonts w:ascii="Times New Roman" w:hAnsi="Times New Roman" w:cs="Times New Roman"/>
          <w:color w:val="auto"/>
          <w:sz w:val="28"/>
          <w:szCs w:val="28"/>
          <w:lang w:val="uk-UA"/>
        </w:rPr>
        <w:t>РОЗДІЛ 7</w:t>
      </w:r>
      <w:bookmarkEnd w:id="29"/>
      <w:r w:rsidRPr="00936303">
        <w:rPr>
          <w:rFonts w:ascii="Times New Roman" w:hAnsi="Times New Roman" w:cs="Times New Roman"/>
          <w:color w:val="auto"/>
          <w:sz w:val="28"/>
          <w:szCs w:val="28"/>
          <w:lang w:val="uk-UA"/>
        </w:rPr>
        <w:t xml:space="preserve"> </w:t>
      </w:r>
    </w:p>
    <w:p w14:paraId="07803B6C" w14:textId="77777777" w:rsidR="00936303" w:rsidRPr="00936303" w:rsidRDefault="00936303" w:rsidP="00936303">
      <w:pPr>
        <w:rPr>
          <w:lang w:val="uk-UA"/>
        </w:rPr>
      </w:pPr>
    </w:p>
    <w:p w14:paraId="6358CFD0" w14:textId="0B564420" w:rsidR="00770E10" w:rsidRDefault="00936303" w:rsidP="00936303">
      <w:pPr>
        <w:pStyle w:val="Heading1"/>
        <w:spacing w:before="0" w:line="360" w:lineRule="auto"/>
        <w:jc w:val="center"/>
        <w:rPr>
          <w:rFonts w:ascii="Times New Roman" w:hAnsi="Times New Roman" w:cs="Times New Roman"/>
          <w:color w:val="auto"/>
          <w:sz w:val="28"/>
          <w:szCs w:val="28"/>
          <w:lang w:val="uk-UA"/>
        </w:rPr>
      </w:pPr>
      <w:bookmarkStart w:id="30" w:name="_Toc507575323"/>
      <w:r w:rsidRPr="00936303">
        <w:rPr>
          <w:rFonts w:ascii="Times New Roman" w:hAnsi="Times New Roman" w:cs="Times New Roman"/>
          <w:color w:val="auto"/>
          <w:sz w:val="28"/>
          <w:szCs w:val="28"/>
          <w:lang w:val="uk-UA"/>
        </w:rPr>
        <w:t>РЕЗУЛЬТАТИ МУЛЬТИФАКТОРНОГО ДОСЛІДЖЕННЯ ПАЦІЄНТІВ ГРУПИ РИЗИКУ РОЗВИТКУ ПАТОЛОГІЇ ТКАНИН ПАРОДОНТУ</w:t>
      </w:r>
      <w:bookmarkEnd w:id="30"/>
    </w:p>
    <w:p w14:paraId="5D744FC3" w14:textId="77777777" w:rsidR="00936303" w:rsidRPr="00936303" w:rsidRDefault="00936303" w:rsidP="00936303">
      <w:pPr>
        <w:rPr>
          <w:lang w:val="uk-UA"/>
        </w:rPr>
      </w:pPr>
    </w:p>
    <w:p w14:paraId="342895A7" w14:textId="547BCF27" w:rsidR="00B0245E" w:rsidRPr="00936303" w:rsidRDefault="00B0245E" w:rsidP="00936303">
      <w:pPr>
        <w:pStyle w:val="Heading3"/>
        <w:spacing w:before="0" w:line="360" w:lineRule="auto"/>
        <w:ind w:firstLine="709"/>
        <w:jc w:val="both"/>
        <w:rPr>
          <w:rFonts w:ascii="Times New Roman" w:hAnsi="Times New Roman" w:cs="Times New Roman"/>
          <w:color w:val="auto"/>
          <w:sz w:val="28"/>
          <w:szCs w:val="28"/>
          <w:lang w:val="uk-UA"/>
        </w:rPr>
      </w:pPr>
      <w:bookmarkStart w:id="31" w:name="_Toc507575324"/>
      <w:r w:rsidRPr="00936303">
        <w:rPr>
          <w:rFonts w:ascii="Times New Roman" w:hAnsi="Times New Roman" w:cs="Times New Roman"/>
          <w:color w:val="auto"/>
          <w:sz w:val="28"/>
          <w:szCs w:val="28"/>
          <w:lang w:val="uk-UA"/>
        </w:rPr>
        <w:t>7.1</w:t>
      </w:r>
      <w:r w:rsidR="00E96E97" w:rsidRPr="00936303">
        <w:rPr>
          <w:rFonts w:ascii="Times New Roman" w:hAnsi="Times New Roman" w:cs="Times New Roman"/>
          <w:color w:val="auto"/>
          <w:sz w:val="28"/>
          <w:szCs w:val="28"/>
          <w:lang w:val="uk-UA"/>
        </w:rPr>
        <w:t xml:space="preserve"> </w:t>
      </w:r>
      <w:r w:rsidR="003C06E2" w:rsidRPr="00936303">
        <w:rPr>
          <w:rFonts w:ascii="Times New Roman" w:hAnsi="Times New Roman" w:cs="Times New Roman"/>
          <w:color w:val="auto"/>
          <w:sz w:val="28"/>
          <w:szCs w:val="28"/>
          <w:lang w:val="uk-UA"/>
        </w:rPr>
        <w:t>Результати дослідження</w:t>
      </w:r>
      <w:r w:rsidR="00DC500B" w:rsidRPr="00936303">
        <w:rPr>
          <w:rFonts w:ascii="Times New Roman" w:hAnsi="Times New Roman" w:cs="Times New Roman"/>
          <w:color w:val="auto"/>
          <w:sz w:val="28"/>
          <w:szCs w:val="28"/>
          <w:lang w:val="uk-UA"/>
        </w:rPr>
        <w:t xml:space="preserve"> стоматологічного статусу</w:t>
      </w:r>
      <w:r w:rsidR="003C06E2" w:rsidRPr="00936303">
        <w:rPr>
          <w:rFonts w:ascii="Times New Roman" w:hAnsi="Times New Roman" w:cs="Times New Roman"/>
          <w:color w:val="auto"/>
          <w:sz w:val="28"/>
          <w:szCs w:val="28"/>
          <w:lang w:val="uk-UA"/>
        </w:rPr>
        <w:t xml:space="preserve"> дітей групи ризику розвитку атопічних захворювань</w:t>
      </w:r>
      <w:bookmarkEnd w:id="31"/>
    </w:p>
    <w:p w14:paraId="7913B61D" w14:textId="33123996" w:rsidR="00B0245E" w:rsidRPr="00B0245E" w:rsidRDefault="00B0245E" w:rsidP="00936303">
      <w:pPr>
        <w:spacing w:after="0" w:line="360" w:lineRule="auto"/>
        <w:ind w:firstLine="709"/>
        <w:jc w:val="both"/>
        <w:rPr>
          <w:rFonts w:ascii="Times New Roman" w:hAnsi="Times New Roman" w:cs="Times New Roman"/>
          <w:color w:val="FF0000"/>
          <w:sz w:val="16"/>
          <w:szCs w:val="16"/>
          <w:lang w:val="uk-UA"/>
        </w:rPr>
      </w:pPr>
      <w:r w:rsidRPr="00936303">
        <w:rPr>
          <w:rFonts w:ascii="Times New Roman" w:hAnsi="Times New Roman" w:cs="Times New Roman"/>
          <w:sz w:val="28"/>
          <w:szCs w:val="28"/>
          <w:lang w:val="uk-UA"/>
        </w:rPr>
        <w:t xml:space="preserve">Особливості </w:t>
      </w:r>
      <w:r w:rsidRPr="00B0245E">
        <w:rPr>
          <w:rFonts w:ascii="Times New Roman" w:hAnsi="Times New Roman" w:cs="Times New Roman"/>
          <w:sz w:val="28"/>
          <w:szCs w:val="28"/>
          <w:lang w:val="uk-UA"/>
        </w:rPr>
        <w:t xml:space="preserve">стоматологічного статусу дітей, народжених передчасно, вже тривалий час є предметом досліджень значної кількості науковців </w:t>
      </w:r>
      <w:r w:rsidRPr="00B0245E">
        <w:rPr>
          <w:rFonts w:ascii="Times New Roman" w:hAnsi="Times New Roman" w:cs="Times New Roman"/>
          <w:sz w:val="28"/>
          <w:szCs w:val="28"/>
          <w:lang w:val="ru-RU"/>
        </w:rPr>
        <w:t>[</w:t>
      </w:r>
      <w:r w:rsidR="00534F67">
        <w:rPr>
          <w:rFonts w:ascii="Times New Roman" w:hAnsi="Times New Roman" w:cs="Times New Roman"/>
          <w:sz w:val="28"/>
          <w:szCs w:val="28"/>
          <w:lang w:val="ru-RU"/>
        </w:rPr>
        <w:t>293-295</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 Проте у теперішній час дана проблема набуває надзвичайної актуальності у зв’язку із збільшенням кількості дітей, народжених передчасно або з малою вагою</w:t>
      </w:r>
      <w:r w:rsidRPr="00B0245E">
        <w:rPr>
          <w:rFonts w:ascii="Times New Roman" w:hAnsi="Times New Roman" w:cs="Times New Roman"/>
          <w:sz w:val="28"/>
          <w:szCs w:val="28"/>
          <w:lang w:val="ru-RU"/>
        </w:rPr>
        <w:t xml:space="preserve"> [</w:t>
      </w:r>
      <w:r w:rsidR="00534F67">
        <w:rPr>
          <w:rFonts w:ascii="Times New Roman" w:hAnsi="Times New Roman" w:cs="Times New Roman"/>
          <w:sz w:val="28"/>
          <w:szCs w:val="28"/>
          <w:lang w:val="ru-RU"/>
        </w:rPr>
        <w:t>296</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w:t>
      </w:r>
      <w:r>
        <w:rPr>
          <w:rFonts w:ascii="Times New Roman" w:hAnsi="Times New Roman" w:cs="Times New Roman"/>
          <w:sz w:val="28"/>
          <w:szCs w:val="28"/>
          <w:lang w:val="uk-UA"/>
        </w:rPr>
        <w:t xml:space="preserve"> Як відомо, даний контингент дітей знаходиться у групі ризику по формуванню алергічних захворювань. </w:t>
      </w:r>
      <w:r w:rsidRPr="00B0245E">
        <w:rPr>
          <w:rFonts w:ascii="Times New Roman" w:hAnsi="Times New Roman" w:cs="Times New Roman"/>
          <w:sz w:val="28"/>
          <w:szCs w:val="28"/>
          <w:lang w:val="uk-UA"/>
        </w:rPr>
        <w:t>Згідно з даними різних авторів, були проведені дослідження по вивченню інтенсивності та розповсюдженості карієсу серед дітей, народжених передчасно, стан твердих тканин зубів та анатомічні особливості порожнини рота. При цьому закономірності розвитку та формування зубощелепної системи, властиві для даного контингенту дітей, остаточно визначені не були</w:t>
      </w:r>
      <w:r w:rsidR="00534F67">
        <w:rPr>
          <w:rFonts w:ascii="Times New Roman" w:hAnsi="Times New Roman" w:cs="Times New Roman"/>
          <w:sz w:val="28"/>
          <w:szCs w:val="28"/>
          <w:lang w:val="ru-RU"/>
        </w:rPr>
        <w:t xml:space="preserve"> [297-299</w:t>
      </w:r>
      <w:r w:rsidRPr="00B0245E">
        <w:rPr>
          <w:rFonts w:ascii="Times New Roman" w:hAnsi="Times New Roman" w:cs="Times New Roman"/>
          <w:sz w:val="28"/>
          <w:szCs w:val="28"/>
          <w:lang w:val="ru-RU"/>
        </w:rPr>
        <w:t>]</w:t>
      </w:r>
      <w:r w:rsidRPr="00B0245E">
        <w:rPr>
          <w:rFonts w:ascii="Times New Roman" w:hAnsi="Times New Roman" w:cs="Times New Roman"/>
          <w:sz w:val="28"/>
          <w:szCs w:val="28"/>
          <w:lang w:val="uk-UA"/>
        </w:rPr>
        <w:t>.</w:t>
      </w:r>
    </w:p>
    <w:p w14:paraId="043E7C5C" w14:textId="7E1B1E61" w:rsidR="00B0245E" w:rsidRPr="00B0245E" w:rsidRDefault="00B0245E" w:rsidP="00B0245E">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обстеження</w:t>
      </w:r>
      <w:r w:rsidRPr="00B024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групи ризику </w:t>
      </w:r>
      <w:r w:rsidRPr="00B0245E">
        <w:rPr>
          <w:rFonts w:ascii="Times New Roman" w:hAnsi="Times New Roman" w:cs="Times New Roman"/>
          <w:sz w:val="28"/>
          <w:szCs w:val="28"/>
          <w:lang w:val="uk-UA"/>
        </w:rPr>
        <w:t xml:space="preserve">було виявлення </w:t>
      </w:r>
      <w:r>
        <w:rPr>
          <w:rFonts w:ascii="Times New Roman" w:hAnsi="Times New Roman" w:cs="Times New Roman"/>
          <w:sz w:val="28"/>
          <w:szCs w:val="28"/>
          <w:lang w:val="uk-UA"/>
        </w:rPr>
        <w:t>стоматологічної патолог</w:t>
      </w:r>
      <w:r w:rsidR="00693ED3">
        <w:rPr>
          <w:rFonts w:ascii="Times New Roman" w:hAnsi="Times New Roman" w:cs="Times New Roman"/>
          <w:sz w:val="28"/>
          <w:szCs w:val="28"/>
          <w:lang w:val="uk-UA"/>
        </w:rPr>
        <w:t>ії, у тому числі захворювань пародонту та захворювань</w:t>
      </w:r>
      <w:r>
        <w:rPr>
          <w:rFonts w:ascii="Times New Roman" w:hAnsi="Times New Roman" w:cs="Times New Roman"/>
          <w:sz w:val="28"/>
          <w:szCs w:val="28"/>
          <w:lang w:val="uk-UA"/>
        </w:rPr>
        <w:t xml:space="preserve"> слизової оболонки порожнини рота, </w:t>
      </w:r>
      <w:r w:rsidRPr="00B0245E">
        <w:rPr>
          <w:rFonts w:ascii="Times New Roman" w:hAnsi="Times New Roman" w:cs="Times New Roman"/>
          <w:sz w:val="28"/>
          <w:szCs w:val="28"/>
          <w:lang w:val="uk-UA"/>
        </w:rPr>
        <w:t>закономірностей розвитку зубощелепної системи дітей, народжених передчасно, згідно з гестаційним, постконцептуальним (хронологічним) та паспортним віком ді</w:t>
      </w:r>
      <w:r>
        <w:rPr>
          <w:rFonts w:ascii="Times New Roman" w:hAnsi="Times New Roman" w:cs="Times New Roman"/>
          <w:sz w:val="28"/>
          <w:szCs w:val="28"/>
          <w:lang w:val="uk-UA"/>
        </w:rPr>
        <w:t>тей у період тимчасової оклюзії, реєстрація у даного контингенту дітей розповсюдженості атопії.</w:t>
      </w:r>
    </w:p>
    <w:p w14:paraId="6C3598C8" w14:textId="10A281EC" w:rsidR="00B0245E" w:rsidRPr="00B0245E" w:rsidRDefault="00B0245E" w:rsidP="00B0245E">
      <w:pPr>
        <w:spacing w:after="0" w:line="360" w:lineRule="auto"/>
        <w:ind w:firstLine="709"/>
        <w:jc w:val="both"/>
        <w:rPr>
          <w:rFonts w:ascii="Times New Roman" w:hAnsi="Times New Roman"/>
          <w:sz w:val="28"/>
          <w:szCs w:val="28"/>
          <w:lang w:val="uk-UA"/>
        </w:rPr>
      </w:pPr>
      <w:r w:rsidRPr="00B0245E">
        <w:rPr>
          <w:rFonts w:ascii="Times New Roman" w:hAnsi="Times New Roman" w:cs="Times New Roman"/>
          <w:sz w:val="28"/>
          <w:szCs w:val="28"/>
          <w:lang w:val="uk-UA"/>
        </w:rPr>
        <w:t xml:space="preserve">Дослідження було проведене на базі центру катамнестичного моніторування хворих та недоношених дітей </w:t>
      </w:r>
      <w:r>
        <w:rPr>
          <w:rFonts w:ascii="Times New Roman" w:hAnsi="Times New Roman" w:cs="Times New Roman"/>
          <w:sz w:val="28"/>
          <w:szCs w:val="28"/>
          <w:lang w:val="uk-UA"/>
        </w:rPr>
        <w:t>консультативного прийому Регіонального перинатального центру</w:t>
      </w:r>
      <w:r w:rsidRPr="00B0245E">
        <w:rPr>
          <w:rFonts w:ascii="Times New Roman" w:hAnsi="Times New Roman" w:cs="Times New Roman"/>
          <w:sz w:val="28"/>
          <w:szCs w:val="28"/>
          <w:lang w:val="uk-UA"/>
        </w:rPr>
        <w:t>. Всього за період дослідження у кабінеті катамнестичного моніторування оглянуто 486 пацієнтів, за повторною консультацією звернулося 437 дітей, з них – 52 дитини віком старше одного року та 12 дітей віком старше двох років. Стоматологічне обстеження було здійснено серед 84 дітей. При проведенні стоматологічного обстеження реєстрували статус прорізування зубів, форму верхнього та нижнього альвеолярного відростка щелеп, наявність анатомічних особливостей порожнини рота новонароджених, рівень інтенсивності карієсу</w:t>
      </w:r>
      <w:r w:rsidR="00370858">
        <w:rPr>
          <w:rFonts w:ascii="Times New Roman" w:hAnsi="Times New Roman" w:cs="Times New Roman"/>
          <w:sz w:val="28"/>
          <w:szCs w:val="28"/>
          <w:lang w:val="uk-UA"/>
        </w:rPr>
        <w:t>, стан слизової оболонки порожнини рота</w:t>
      </w:r>
      <w:r w:rsidRPr="00B0245E">
        <w:rPr>
          <w:rFonts w:ascii="Times New Roman" w:hAnsi="Times New Roman" w:cs="Times New Roman"/>
          <w:sz w:val="28"/>
          <w:szCs w:val="28"/>
          <w:lang w:val="uk-UA"/>
        </w:rPr>
        <w:t xml:space="preserve">. Крім цього при обстеженні зазначали антропометричні дані (зріст, маса тіла, окружність голови та грудної клітини), характер вигодовування, </w:t>
      </w:r>
      <w:r w:rsidR="00370858">
        <w:rPr>
          <w:rFonts w:ascii="Times New Roman" w:hAnsi="Times New Roman" w:cs="Times New Roman"/>
          <w:sz w:val="28"/>
          <w:szCs w:val="28"/>
          <w:lang w:val="uk-UA"/>
        </w:rPr>
        <w:t xml:space="preserve">наявність проявів атопії, </w:t>
      </w:r>
      <w:r w:rsidRPr="00B0245E">
        <w:rPr>
          <w:rFonts w:ascii="Times New Roman" w:hAnsi="Times New Roman" w:cs="Times New Roman"/>
          <w:sz w:val="28"/>
          <w:szCs w:val="28"/>
          <w:lang w:val="uk-UA"/>
        </w:rPr>
        <w:t xml:space="preserve">а також супутні соматичні захворювання. </w:t>
      </w:r>
    </w:p>
    <w:p w14:paraId="5F3315CF" w14:textId="6F27EE8D"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З метою здійснення достовірного аналізу отриманих даних усі обстежені діти, народжені передчасно, було розподілені згідно гестаційного віку, на групи. У таблиці </w:t>
      </w:r>
      <w:r w:rsidR="00C03003">
        <w:rPr>
          <w:rFonts w:ascii="Times New Roman" w:hAnsi="Times New Roman" w:cs="Times New Roman"/>
          <w:sz w:val="28"/>
          <w:szCs w:val="28"/>
          <w:lang w:val="uk-UA"/>
        </w:rPr>
        <w:t>7.</w:t>
      </w:r>
      <w:r w:rsidRPr="00B0245E">
        <w:rPr>
          <w:rFonts w:ascii="Times New Roman" w:hAnsi="Times New Roman" w:cs="Times New Roman"/>
          <w:sz w:val="28"/>
          <w:szCs w:val="28"/>
          <w:lang w:val="uk-UA"/>
        </w:rPr>
        <w:t>1 наведені групи обстежених дітей та їх характеристика</w:t>
      </w:r>
      <w:r w:rsidR="00534F67">
        <w:rPr>
          <w:rFonts w:ascii="Times New Roman" w:hAnsi="Times New Roman" w:cs="Times New Roman"/>
          <w:sz w:val="28"/>
          <w:szCs w:val="28"/>
          <w:lang w:val="uk-UA"/>
        </w:rPr>
        <w:t xml:space="preserve"> </w:t>
      </w:r>
      <w:r w:rsidR="00534F67" w:rsidRPr="00245372">
        <w:rPr>
          <w:rFonts w:ascii="Times New Roman" w:hAnsi="Times New Roman" w:cs="Times New Roman"/>
          <w:sz w:val="28"/>
          <w:szCs w:val="28"/>
          <w:lang w:val="ru-RU"/>
        </w:rPr>
        <w:t>[300]</w:t>
      </w:r>
      <w:r w:rsidRPr="00B0245E">
        <w:rPr>
          <w:rFonts w:ascii="Times New Roman" w:hAnsi="Times New Roman" w:cs="Times New Roman"/>
          <w:sz w:val="28"/>
          <w:szCs w:val="28"/>
          <w:lang w:val="uk-UA"/>
        </w:rPr>
        <w:t xml:space="preserve">. </w:t>
      </w:r>
    </w:p>
    <w:p w14:paraId="45D8886E" w14:textId="455EF567" w:rsidR="00B0245E" w:rsidRPr="00B0245E" w:rsidRDefault="00B0245E" w:rsidP="00B0245E">
      <w:pPr>
        <w:spacing w:line="312" w:lineRule="auto"/>
        <w:ind w:firstLine="540"/>
        <w:jc w:val="right"/>
        <w:rPr>
          <w:rFonts w:ascii="Times New Roman" w:hAnsi="Times New Roman"/>
          <w:sz w:val="28"/>
          <w:szCs w:val="28"/>
          <w:lang w:val="uk-UA"/>
        </w:rPr>
      </w:pPr>
      <w:r w:rsidRPr="00B0245E">
        <w:rPr>
          <w:rFonts w:ascii="Times New Roman" w:hAnsi="Times New Roman"/>
          <w:sz w:val="28"/>
          <w:szCs w:val="28"/>
          <w:lang w:val="uk-UA"/>
        </w:rPr>
        <w:t xml:space="preserve">Таблиця </w:t>
      </w:r>
      <w:r w:rsidR="00370858">
        <w:rPr>
          <w:rFonts w:ascii="Times New Roman" w:hAnsi="Times New Roman"/>
          <w:sz w:val="28"/>
          <w:szCs w:val="28"/>
          <w:lang w:val="uk-UA"/>
        </w:rPr>
        <w:t>7.</w:t>
      </w:r>
      <w:r w:rsidRPr="00B0245E">
        <w:rPr>
          <w:rFonts w:ascii="Times New Roman" w:hAnsi="Times New Roman"/>
          <w:sz w:val="28"/>
          <w:szCs w:val="28"/>
          <w:lang w:val="uk-UA"/>
        </w:rPr>
        <w:t>1</w:t>
      </w:r>
    </w:p>
    <w:p w14:paraId="1EF6C2D3"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sz w:val="28"/>
          <w:szCs w:val="28"/>
          <w:lang w:val="uk-UA"/>
        </w:rPr>
        <w:t>Розподіл оглянутих дітей по термінах гестації</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5"/>
        <w:gridCol w:w="2126"/>
        <w:gridCol w:w="2551"/>
        <w:gridCol w:w="3114"/>
      </w:tblGrid>
      <w:tr w:rsidR="00B0245E" w:rsidRPr="00B0245E" w14:paraId="695A4411" w14:textId="77777777" w:rsidTr="00E62DF9">
        <w:trPr>
          <w:trHeight w:val="384"/>
          <w:jc w:val="center"/>
        </w:trPr>
        <w:tc>
          <w:tcPr>
            <w:tcW w:w="1135" w:type="dxa"/>
          </w:tcPr>
          <w:p w14:paraId="7B9CCA7A"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 групи</w:t>
            </w:r>
          </w:p>
          <w:p w14:paraId="4910A281"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p>
        </w:tc>
        <w:tc>
          <w:tcPr>
            <w:tcW w:w="2126" w:type="dxa"/>
          </w:tcPr>
          <w:p w14:paraId="1E371631"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 xml:space="preserve"> Вік дитини, </w:t>
            </w:r>
          </w:p>
          <w:p w14:paraId="425B1BC9"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тижнів</w:t>
            </w:r>
          </w:p>
        </w:tc>
        <w:tc>
          <w:tcPr>
            <w:tcW w:w="2551" w:type="dxa"/>
          </w:tcPr>
          <w:p w14:paraId="3C45BA86"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Середня маса при народжені, грам</w:t>
            </w:r>
          </w:p>
        </w:tc>
        <w:tc>
          <w:tcPr>
            <w:tcW w:w="3114" w:type="dxa"/>
          </w:tcPr>
          <w:p w14:paraId="5A116B9D"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Кількість обстежених</w:t>
            </w:r>
          </w:p>
        </w:tc>
      </w:tr>
      <w:tr w:rsidR="00B0245E" w:rsidRPr="00B0245E" w14:paraId="4D703A24" w14:textId="77777777" w:rsidTr="00E62DF9">
        <w:trPr>
          <w:trHeight w:val="384"/>
          <w:jc w:val="center"/>
        </w:trPr>
        <w:tc>
          <w:tcPr>
            <w:tcW w:w="1135" w:type="dxa"/>
          </w:tcPr>
          <w:p w14:paraId="46F23ECE"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1</w:t>
            </w:r>
          </w:p>
        </w:tc>
        <w:tc>
          <w:tcPr>
            <w:tcW w:w="2126" w:type="dxa"/>
          </w:tcPr>
          <w:p w14:paraId="56603DA0"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24 – 31</w:t>
            </w:r>
          </w:p>
        </w:tc>
        <w:tc>
          <w:tcPr>
            <w:tcW w:w="2551" w:type="dxa"/>
          </w:tcPr>
          <w:p w14:paraId="45290654"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1364</w:t>
            </w:r>
          </w:p>
        </w:tc>
        <w:tc>
          <w:tcPr>
            <w:tcW w:w="3114" w:type="dxa"/>
          </w:tcPr>
          <w:p w14:paraId="51E4B13C"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26(30,95%)</w:t>
            </w:r>
          </w:p>
        </w:tc>
      </w:tr>
      <w:tr w:rsidR="00B0245E" w:rsidRPr="00B0245E" w14:paraId="5D849634" w14:textId="77777777" w:rsidTr="00E62DF9">
        <w:trPr>
          <w:trHeight w:val="401"/>
          <w:jc w:val="center"/>
        </w:trPr>
        <w:tc>
          <w:tcPr>
            <w:tcW w:w="1135" w:type="dxa"/>
          </w:tcPr>
          <w:p w14:paraId="65734DC5"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w:t>
            </w:r>
          </w:p>
        </w:tc>
        <w:tc>
          <w:tcPr>
            <w:tcW w:w="2126" w:type="dxa"/>
          </w:tcPr>
          <w:p w14:paraId="137B5E7A"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32 – 37</w:t>
            </w:r>
          </w:p>
        </w:tc>
        <w:tc>
          <w:tcPr>
            <w:tcW w:w="2551" w:type="dxa"/>
          </w:tcPr>
          <w:p w14:paraId="7EE434F9" w14:textId="77777777" w:rsidR="00B0245E" w:rsidRPr="00B0245E" w:rsidRDefault="00B0245E" w:rsidP="00B0245E">
            <w:pPr>
              <w:spacing w:after="0" w:line="240" w:lineRule="auto"/>
              <w:jc w:val="center"/>
              <w:rPr>
                <w:rFonts w:ascii="Times New Roman" w:eastAsia="Times New Roman" w:hAnsi="Times New Roman"/>
                <w:sz w:val="28"/>
                <w:szCs w:val="28"/>
                <w:lang w:val="uk-UA" w:eastAsia="ru-RU"/>
              </w:rPr>
            </w:pPr>
            <w:r w:rsidRPr="00B0245E">
              <w:rPr>
                <w:rFonts w:ascii="Times New Roman" w:eastAsia="Times New Roman" w:hAnsi="Times New Roman"/>
                <w:sz w:val="28"/>
                <w:szCs w:val="28"/>
                <w:lang w:val="uk-UA" w:eastAsia="ru-RU"/>
              </w:rPr>
              <w:t>2040</w:t>
            </w:r>
          </w:p>
        </w:tc>
        <w:tc>
          <w:tcPr>
            <w:tcW w:w="3114" w:type="dxa"/>
          </w:tcPr>
          <w:p w14:paraId="13D13FAD" w14:textId="77777777" w:rsidR="00B0245E" w:rsidRPr="00B0245E" w:rsidRDefault="00B0245E" w:rsidP="00B0245E">
            <w:pPr>
              <w:spacing w:after="0" w:line="240" w:lineRule="auto"/>
              <w:jc w:val="center"/>
              <w:rPr>
                <w:rFonts w:ascii="Times New Roman" w:eastAsia="Times New Roman" w:hAnsi="Times New Roman"/>
                <w:sz w:val="28"/>
                <w:szCs w:val="24"/>
                <w:lang w:val="uk-UA" w:eastAsia="ru-RU"/>
              </w:rPr>
            </w:pPr>
            <w:r w:rsidRPr="00B0245E">
              <w:rPr>
                <w:rFonts w:ascii="Times New Roman" w:eastAsia="Times New Roman" w:hAnsi="Times New Roman"/>
                <w:sz w:val="28"/>
                <w:szCs w:val="24"/>
                <w:lang w:val="uk-UA" w:eastAsia="ru-RU"/>
              </w:rPr>
              <w:t>58(69,05%)</w:t>
            </w:r>
          </w:p>
        </w:tc>
      </w:tr>
    </w:tbl>
    <w:p w14:paraId="4283383C"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p>
    <w:p w14:paraId="3F112C7D"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Згідно наведених даних, до першої групи дітей, народжених передчасно, було враховано 26 обстежених дітей. Їх середній гестаційний вік склав 29,8±2,4 тижнів, середня маса тіла при народженні дорівнювала </w:t>
      </w:r>
      <w:r w:rsidRPr="00B0245E">
        <w:rPr>
          <w:rFonts w:ascii="Times New Roman" w:eastAsia="Times New Roman" w:hAnsi="Times New Roman"/>
          <w:sz w:val="28"/>
          <w:szCs w:val="28"/>
          <w:lang w:val="uk-UA" w:eastAsia="ru-RU"/>
        </w:rPr>
        <w:t>1364</w:t>
      </w:r>
      <w:r w:rsidRPr="00B0245E">
        <w:rPr>
          <w:rFonts w:ascii="Times New Roman" w:hAnsi="Times New Roman" w:cs="Times New Roman"/>
          <w:sz w:val="28"/>
          <w:szCs w:val="28"/>
          <w:lang w:val="uk-UA"/>
        </w:rPr>
        <w:t xml:space="preserve">±142 грамів. </w:t>
      </w:r>
    </w:p>
    <w:p w14:paraId="10E49752"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До другої групи дітей належали діти, народжені з 32 по 37 тиждень. Середній гестаційний вік серед даної групи дітей дорівнював 35,4±2,9 тижнів, середня маса тіла становила 2040±148 грамів. </w:t>
      </w:r>
    </w:p>
    <w:p w14:paraId="2C8DEB73" w14:textId="66F952DF" w:rsidR="00B0245E" w:rsidRPr="00B0245E" w:rsidRDefault="00B0245E" w:rsidP="00B0245E">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Середній вік обстежених дітей склав 11,95 місяців, при цьому мінімальний вік дитини, яка прийняла участь у дослідженні, дорівнював 1 місяцю, максимальний – 30 місяців. Аналіз стоматологічного статусу проводили згідно хронологічного (постконцептуального) та паспортного віку. Хронологічний вік вираховували шляхом зменшення паспортного віку на кількість тижнів передчасного народження дитини. Середні значення паспортного та хронологічного (постконцептуального) віку наведені у таблиці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2.</w:t>
      </w:r>
    </w:p>
    <w:p w14:paraId="5B8E5944" w14:textId="123B3C18" w:rsidR="00B0245E" w:rsidRPr="00B0245E" w:rsidRDefault="00370858" w:rsidP="00B0245E">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7.2</w:t>
      </w:r>
    </w:p>
    <w:p w14:paraId="7F037245"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характеристика груп дітей, народжених передчасно</w:t>
      </w:r>
    </w:p>
    <w:tbl>
      <w:tblPr>
        <w:tblStyle w:val="TableGrid2"/>
        <w:tblW w:w="0" w:type="auto"/>
        <w:tblLook w:val="04A0" w:firstRow="1" w:lastRow="0" w:firstColumn="1" w:lastColumn="0" w:noHBand="0" w:noVBand="1"/>
      </w:tblPr>
      <w:tblGrid>
        <w:gridCol w:w="984"/>
        <w:gridCol w:w="2097"/>
        <w:gridCol w:w="2231"/>
        <w:gridCol w:w="2316"/>
        <w:gridCol w:w="2051"/>
      </w:tblGrid>
      <w:tr w:rsidR="00B0245E" w:rsidRPr="00852E54" w14:paraId="6A45D34D" w14:textId="77777777" w:rsidTr="00E62DF9">
        <w:tc>
          <w:tcPr>
            <w:tcW w:w="988" w:type="dxa"/>
          </w:tcPr>
          <w:p w14:paraId="4243C8D6"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Група</w:t>
            </w:r>
          </w:p>
        </w:tc>
        <w:tc>
          <w:tcPr>
            <w:tcW w:w="2126" w:type="dxa"/>
          </w:tcPr>
          <w:p w14:paraId="3D7C98A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Маса при народженні, г</w:t>
            </w:r>
          </w:p>
        </w:tc>
        <w:tc>
          <w:tcPr>
            <w:tcW w:w="2268" w:type="dxa"/>
          </w:tcPr>
          <w:p w14:paraId="6FFA0401"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Гестаційний вік, тижні</w:t>
            </w:r>
          </w:p>
        </w:tc>
        <w:tc>
          <w:tcPr>
            <w:tcW w:w="2361" w:type="dxa"/>
          </w:tcPr>
          <w:p w14:paraId="65788E6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Паспортний вік при обстеженні, місяці</w:t>
            </w:r>
          </w:p>
        </w:tc>
        <w:tc>
          <w:tcPr>
            <w:tcW w:w="1936" w:type="dxa"/>
          </w:tcPr>
          <w:p w14:paraId="5CFCD35F"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Хронологічний вік при обстеженні, місяці</w:t>
            </w:r>
          </w:p>
        </w:tc>
      </w:tr>
      <w:tr w:rsidR="00B0245E" w:rsidRPr="00B0245E" w14:paraId="3072EB76" w14:textId="77777777" w:rsidTr="00E62DF9">
        <w:tc>
          <w:tcPr>
            <w:tcW w:w="988" w:type="dxa"/>
          </w:tcPr>
          <w:p w14:paraId="13C8317A"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1</w:t>
            </w:r>
          </w:p>
        </w:tc>
        <w:tc>
          <w:tcPr>
            <w:tcW w:w="2126" w:type="dxa"/>
          </w:tcPr>
          <w:p w14:paraId="021EDC82"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eastAsia="Times New Roman" w:hAnsi="Times New Roman"/>
                <w:sz w:val="28"/>
                <w:szCs w:val="28"/>
                <w:lang w:val="uk-UA" w:eastAsia="ru-RU"/>
              </w:rPr>
              <w:t>1364</w:t>
            </w:r>
            <w:r w:rsidRPr="00B0245E">
              <w:rPr>
                <w:rFonts w:ascii="Times New Roman" w:hAnsi="Times New Roman" w:cs="Times New Roman"/>
                <w:sz w:val="28"/>
                <w:szCs w:val="28"/>
                <w:lang w:val="uk-UA"/>
              </w:rPr>
              <w:t>±142</w:t>
            </w:r>
          </w:p>
        </w:tc>
        <w:tc>
          <w:tcPr>
            <w:tcW w:w="2268" w:type="dxa"/>
          </w:tcPr>
          <w:p w14:paraId="74FE09C4"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29,8±2,4</w:t>
            </w:r>
          </w:p>
        </w:tc>
        <w:tc>
          <w:tcPr>
            <w:tcW w:w="2361" w:type="dxa"/>
          </w:tcPr>
          <w:p w14:paraId="50C99A4B"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rPr>
              <w:t>17,86</w:t>
            </w:r>
            <w:r w:rsidRPr="00B0245E">
              <w:rPr>
                <w:rFonts w:ascii="Times New Roman" w:hAnsi="Times New Roman" w:cs="Times New Roman"/>
                <w:sz w:val="28"/>
                <w:szCs w:val="28"/>
                <w:lang w:val="uk-UA"/>
              </w:rPr>
              <w:t>±0,83</w:t>
            </w:r>
          </w:p>
        </w:tc>
        <w:tc>
          <w:tcPr>
            <w:tcW w:w="1936" w:type="dxa"/>
          </w:tcPr>
          <w:p w14:paraId="613103FD"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rPr>
              <w:t>14</w:t>
            </w:r>
            <w:r w:rsidRPr="00B0245E">
              <w:rPr>
                <w:rFonts w:ascii="Times New Roman" w:hAnsi="Times New Roman" w:cs="Times New Roman"/>
                <w:sz w:val="28"/>
                <w:szCs w:val="28"/>
                <w:lang w:val="uk-UA"/>
              </w:rPr>
              <w:t>,94±0,96</w:t>
            </w:r>
          </w:p>
        </w:tc>
      </w:tr>
      <w:tr w:rsidR="00B0245E" w:rsidRPr="00B0245E" w14:paraId="1599C771" w14:textId="77777777" w:rsidTr="00E62DF9">
        <w:tc>
          <w:tcPr>
            <w:tcW w:w="988" w:type="dxa"/>
          </w:tcPr>
          <w:p w14:paraId="43BFCC95"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2</w:t>
            </w:r>
          </w:p>
        </w:tc>
        <w:tc>
          <w:tcPr>
            <w:tcW w:w="2126" w:type="dxa"/>
          </w:tcPr>
          <w:p w14:paraId="30184B3E"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lang w:val="uk-UA"/>
              </w:rPr>
              <w:t>2040±148</w:t>
            </w:r>
          </w:p>
        </w:tc>
        <w:tc>
          <w:tcPr>
            <w:tcW w:w="2268" w:type="dxa"/>
          </w:tcPr>
          <w:p w14:paraId="2F0B5E92"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35,4±2,9</w:t>
            </w:r>
          </w:p>
        </w:tc>
        <w:tc>
          <w:tcPr>
            <w:tcW w:w="2361" w:type="dxa"/>
          </w:tcPr>
          <w:p w14:paraId="6237C0BB" w14:textId="77777777" w:rsidR="00B0245E" w:rsidRPr="00B0245E" w:rsidRDefault="00B0245E" w:rsidP="00B0245E">
            <w:pPr>
              <w:spacing w:line="360" w:lineRule="auto"/>
              <w:jc w:val="both"/>
              <w:rPr>
                <w:rFonts w:ascii="Times New Roman" w:hAnsi="Times New Roman" w:cs="Times New Roman"/>
                <w:sz w:val="28"/>
                <w:szCs w:val="28"/>
              </w:rPr>
            </w:pPr>
            <w:r w:rsidRPr="00B0245E">
              <w:rPr>
                <w:rFonts w:ascii="Times New Roman" w:hAnsi="Times New Roman" w:cs="Times New Roman"/>
                <w:sz w:val="28"/>
                <w:szCs w:val="28"/>
              </w:rPr>
              <w:t>10,32</w:t>
            </w:r>
            <w:r w:rsidRPr="00B0245E">
              <w:rPr>
                <w:rFonts w:ascii="Times New Roman" w:hAnsi="Times New Roman" w:cs="Times New Roman"/>
                <w:sz w:val="28"/>
                <w:szCs w:val="28"/>
                <w:lang w:val="uk-UA"/>
              </w:rPr>
              <w:t>±1,2</w:t>
            </w:r>
          </w:p>
        </w:tc>
        <w:tc>
          <w:tcPr>
            <w:tcW w:w="1936" w:type="dxa"/>
          </w:tcPr>
          <w:p w14:paraId="0FE9C0E5" w14:textId="77777777" w:rsidR="00B0245E" w:rsidRPr="00B0245E" w:rsidRDefault="00B0245E" w:rsidP="00B0245E">
            <w:pPr>
              <w:spacing w:line="360" w:lineRule="auto"/>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8,79±0,88</w:t>
            </w:r>
          </w:p>
        </w:tc>
      </w:tr>
    </w:tbl>
    <w:p w14:paraId="47850102" w14:textId="77777777" w:rsidR="00B0245E" w:rsidRPr="00B0245E" w:rsidRDefault="00B0245E" w:rsidP="00B0245E">
      <w:pPr>
        <w:spacing w:line="360" w:lineRule="auto"/>
        <w:ind w:firstLine="709"/>
        <w:jc w:val="both"/>
        <w:rPr>
          <w:rFonts w:ascii="Times New Roman" w:hAnsi="Times New Roman" w:cs="Times New Roman"/>
          <w:sz w:val="28"/>
          <w:szCs w:val="28"/>
          <w:lang w:val="uk-UA"/>
        </w:rPr>
      </w:pPr>
    </w:p>
    <w:p w14:paraId="54848417" w14:textId="77777777" w:rsidR="00B0245E" w:rsidRP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Для проведення оцінювання закономірностей розвитку дітей різного гестаційного віку та для встановлення можливого взаємозв’язку між паспортним, хронологічним віком та формуванням зубощелепної системи дітей, народжених передчасно, увесь обстежений контингент дітей був розподілений згідно паспортного віку та середніх строків прорізування зубів. </w:t>
      </w:r>
    </w:p>
    <w:p w14:paraId="7ACC4270" w14:textId="6320CC80" w:rsidR="00B0245E" w:rsidRP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таблиці </w:t>
      </w:r>
      <w:r w:rsidR="00C03003">
        <w:rPr>
          <w:rFonts w:ascii="Times New Roman" w:hAnsi="Times New Roman" w:cs="Times New Roman"/>
          <w:sz w:val="28"/>
          <w:szCs w:val="28"/>
          <w:lang w:val="uk-UA"/>
        </w:rPr>
        <w:t>7.</w:t>
      </w:r>
      <w:r w:rsidRPr="00B0245E">
        <w:rPr>
          <w:rFonts w:ascii="Times New Roman" w:hAnsi="Times New Roman" w:cs="Times New Roman"/>
          <w:sz w:val="28"/>
          <w:szCs w:val="28"/>
          <w:lang w:val="uk-UA"/>
        </w:rPr>
        <w:t>3 наведено середні показники кількості наявних зубів відповідно до віку дітей та строків народження.</w:t>
      </w:r>
    </w:p>
    <w:p w14:paraId="7364E75A" w14:textId="77777777" w:rsidR="00936303" w:rsidRDefault="00936303" w:rsidP="00936303">
      <w:pPr>
        <w:spacing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Як видно з таблиці </w:t>
      </w:r>
      <w:r>
        <w:rPr>
          <w:rFonts w:ascii="Times New Roman" w:hAnsi="Times New Roman" w:cs="Times New Roman"/>
          <w:sz w:val="28"/>
          <w:szCs w:val="28"/>
          <w:lang w:val="uk-UA"/>
        </w:rPr>
        <w:t>7.</w:t>
      </w:r>
      <w:r w:rsidRPr="00B0245E">
        <w:rPr>
          <w:rFonts w:ascii="Times New Roman" w:hAnsi="Times New Roman" w:cs="Times New Roman"/>
          <w:sz w:val="28"/>
          <w:szCs w:val="28"/>
          <w:lang w:val="uk-UA"/>
        </w:rPr>
        <w:t xml:space="preserve">3, серед майже усіх вікових груп менша кількість зубів спостерігалася у дітей, народжених на більш ранніх строках гестації. Проте після 2-х років дана різниця у кількості зубів не є достовірною. </w:t>
      </w:r>
    </w:p>
    <w:p w14:paraId="091DCBF6" w14:textId="010C6727" w:rsidR="00B0245E" w:rsidRPr="00B0245E" w:rsidRDefault="00B0245E" w:rsidP="00936303">
      <w:pPr>
        <w:spacing w:line="360" w:lineRule="auto"/>
        <w:ind w:firstLine="709"/>
        <w:jc w:val="right"/>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Таблиця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3</w:t>
      </w:r>
    </w:p>
    <w:p w14:paraId="572646DA" w14:textId="77777777" w:rsidR="00B0245E" w:rsidRP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Строки прорізування зубів у передчасно народжених дітей</w:t>
      </w:r>
    </w:p>
    <w:tbl>
      <w:tblPr>
        <w:tblStyle w:val="TableGrid2"/>
        <w:tblW w:w="9686" w:type="dxa"/>
        <w:tblLook w:val="04A0" w:firstRow="1" w:lastRow="0" w:firstColumn="1" w:lastColumn="0" w:noHBand="0" w:noVBand="1"/>
      </w:tblPr>
      <w:tblGrid>
        <w:gridCol w:w="2830"/>
        <w:gridCol w:w="3402"/>
        <w:gridCol w:w="3454"/>
      </w:tblGrid>
      <w:tr w:rsidR="00B0245E" w:rsidRPr="00B0245E" w14:paraId="5B8FF28F" w14:textId="77777777" w:rsidTr="00E62DF9">
        <w:trPr>
          <w:trHeight w:val="507"/>
        </w:trPr>
        <w:tc>
          <w:tcPr>
            <w:tcW w:w="2830" w:type="dxa"/>
            <w:vMerge w:val="restart"/>
          </w:tcPr>
          <w:p w14:paraId="7278F2A8"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tc>
        <w:tc>
          <w:tcPr>
            <w:tcW w:w="6856" w:type="dxa"/>
            <w:gridSpan w:val="2"/>
          </w:tcPr>
          <w:p w14:paraId="25021297"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Середня кількість зубів</w:t>
            </w:r>
          </w:p>
        </w:tc>
      </w:tr>
      <w:tr w:rsidR="00B0245E" w:rsidRPr="00B0245E" w14:paraId="2E002AB9" w14:textId="77777777" w:rsidTr="00E62DF9">
        <w:trPr>
          <w:trHeight w:val="585"/>
        </w:trPr>
        <w:tc>
          <w:tcPr>
            <w:tcW w:w="2830" w:type="dxa"/>
            <w:vMerge/>
          </w:tcPr>
          <w:p w14:paraId="3C5951A2" w14:textId="77777777" w:rsidR="00B0245E" w:rsidRPr="00B0245E" w:rsidRDefault="00B0245E" w:rsidP="00B0245E">
            <w:pPr>
              <w:spacing w:line="360" w:lineRule="auto"/>
              <w:jc w:val="center"/>
              <w:rPr>
                <w:rFonts w:ascii="Times New Roman" w:hAnsi="Times New Roman" w:cs="Times New Roman"/>
                <w:sz w:val="28"/>
                <w:szCs w:val="28"/>
                <w:lang w:val="uk-UA"/>
              </w:rPr>
            </w:pPr>
          </w:p>
        </w:tc>
        <w:tc>
          <w:tcPr>
            <w:tcW w:w="3402" w:type="dxa"/>
          </w:tcPr>
          <w:p w14:paraId="499D8D17"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Група № 1 </w:t>
            </w:r>
            <w:r w:rsidRPr="00B0245E">
              <w:rPr>
                <w:rFonts w:ascii="Times New Roman" w:hAnsi="Times New Roman" w:cs="Times New Roman"/>
                <w:sz w:val="28"/>
                <w:szCs w:val="28"/>
                <w:lang w:val="uk-UA"/>
              </w:rPr>
              <w:br/>
              <w:t>(24-31 тижні гестації)</w:t>
            </w:r>
          </w:p>
        </w:tc>
        <w:tc>
          <w:tcPr>
            <w:tcW w:w="3454" w:type="dxa"/>
          </w:tcPr>
          <w:p w14:paraId="3C3A9202"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Група № 2</w:t>
            </w:r>
            <w:r w:rsidRPr="00B0245E">
              <w:rPr>
                <w:rFonts w:ascii="Times New Roman" w:hAnsi="Times New Roman" w:cs="Times New Roman"/>
                <w:sz w:val="28"/>
                <w:szCs w:val="28"/>
                <w:lang w:val="uk-UA"/>
              </w:rPr>
              <w:br/>
              <w:t>(32-37 тижні гестації)</w:t>
            </w:r>
          </w:p>
        </w:tc>
      </w:tr>
      <w:tr w:rsidR="00B0245E" w:rsidRPr="00B0245E" w14:paraId="2FA4AD4C" w14:textId="77777777" w:rsidTr="00E62DF9">
        <w:trPr>
          <w:trHeight w:val="553"/>
        </w:trPr>
        <w:tc>
          <w:tcPr>
            <w:tcW w:w="2830" w:type="dxa"/>
          </w:tcPr>
          <w:p w14:paraId="5773C66F"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3402" w:type="dxa"/>
          </w:tcPr>
          <w:p w14:paraId="0F907841"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2,0 ± 0,7</w:t>
            </w:r>
            <w:r w:rsidRPr="00B0245E">
              <w:rPr>
                <w:rFonts w:ascii="Times New Roman" w:hAnsi="Times New Roman" w:cs="Times New Roman"/>
                <w:sz w:val="28"/>
                <w:szCs w:val="28"/>
              </w:rPr>
              <w:t>5</w:t>
            </w:r>
            <w:r w:rsidRPr="00B0245E">
              <w:rPr>
                <w:rFonts w:ascii="Times New Roman" w:hAnsi="Times New Roman" w:cs="Times New Roman"/>
                <w:sz w:val="28"/>
                <w:szCs w:val="28"/>
                <w:lang w:val="uk-UA"/>
              </w:rPr>
              <w:t>*</w:t>
            </w:r>
          </w:p>
        </w:tc>
        <w:tc>
          <w:tcPr>
            <w:tcW w:w="3454" w:type="dxa"/>
          </w:tcPr>
          <w:p w14:paraId="3462069E"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4,3 ± 0,7</w:t>
            </w:r>
            <w:r w:rsidRPr="00B0245E">
              <w:rPr>
                <w:rFonts w:ascii="Times New Roman" w:hAnsi="Times New Roman" w:cs="Times New Roman"/>
                <w:sz w:val="28"/>
                <w:szCs w:val="28"/>
              </w:rPr>
              <w:t>1</w:t>
            </w:r>
            <w:r w:rsidRPr="00B0245E">
              <w:rPr>
                <w:rFonts w:ascii="Times New Roman" w:hAnsi="Times New Roman" w:cs="Times New Roman"/>
                <w:sz w:val="28"/>
                <w:szCs w:val="28"/>
                <w:lang w:val="uk-UA"/>
              </w:rPr>
              <w:t>*</w:t>
            </w:r>
          </w:p>
        </w:tc>
      </w:tr>
      <w:tr w:rsidR="00B0245E" w:rsidRPr="00B0245E" w14:paraId="0A3EA363" w14:textId="77777777" w:rsidTr="00E62DF9">
        <w:trPr>
          <w:trHeight w:val="553"/>
        </w:trPr>
        <w:tc>
          <w:tcPr>
            <w:tcW w:w="2830" w:type="dxa"/>
          </w:tcPr>
          <w:p w14:paraId="5B99048A"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3402" w:type="dxa"/>
          </w:tcPr>
          <w:p w14:paraId="18500A5C" w14:textId="77777777" w:rsidR="00B0245E" w:rsidRPr="00B0245E" w:rsidRDefault="00B0245E" w:rsidP="00B0245E">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7,4</w:t>
            </w:r>
            <w:r w:rsidRPr="00B0245E">
              <w:rPr>
                <w:rFonts w:ascii="Times New Roman" w:hAnsi="Times New Roman" w:cs="Times New Roman"/>
                <w:sz w:val="28"/>
                <w:szCs w:val="28"/>
                <w:lang w:val="uk-UA"/>
              </w:rPr>
              <w:t>± 0,54*</w:t>
            </w:r>
          </w:p>
        </w:tc>
        <w:tc>
          <w:tcPr>
            <w:tcW w:w="3454" w:type="dxa"/>
          </w:tcPr>
          <w:p w14:paraId="51AA384C"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10,8</w:t>
            </w:r>
            <w:r w:rsidRPr="00B0245E">
              <w:rPr>
                <w:rFonts w:ascii="Times New Roman" w:hAnsi="Times New Roman" w:cs="Times New Roman"/>
                <w:sz w:val="28"/>
                <w:szCs w:val="28"/>
                <w:lang w:val="uk-UA"/>
              </w:rPr>
              <w:t>± 0,9</w:t>
            </w:r>
            <w:r w:rsidRPr="00B0245E">
              <w:rPr>
                <w:rFonts w:ascii="Times New Roman" w:hAnsi="Times New Roman" w:cs="Times New Roman"/>
                <w:sz w:val="28"/>
                <w:szCs w:val="28"/>
              </w:rPr>
              <w:t>2</w:t>
            </w:r>
            <w:r w:rsidRPr="00B0245E">
              <w:rPr>
                <w:rFonts w:ascii="Times New Roman" w:hAnsi="Times New Roman" w:cs="Times New Roman"/>
                <w:sz w:val="28"/>
                <w:szCs w:val="28"/>
                <w:lang w:val="uk-UA"/>
              </w:rPr>
              <w:t>*</w:t>
            </w:r>
          </w:p>
        </w:tc>
      </w:tr>
      <w:tr w:rsidR="00B0245E" w:rsidRPr="00B0245E" w14:paraId="2C4A115E" w14:textId="77777777" w:rsidTr="00E62DF9">
        <w:trPr>
          <w:trHeight w:val="536"/>
        </w:trPr>
        <w:tc>
          <w:tcPr>
            <w:tcW w:w="2830" w:type="dxa"/>
          </w:tcPr>
          <w:p w14:paraId="200ED666"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3402" w:type="dxa"/>
          </w:tcPr>
          <w:p w14:paraId="7443BAD4"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14,4</w:t>
            </w:r>
            <w:r w:rsidRPr="00B0245E">
              <w:rPr>
                <w:rFonts w:ascii="Times New Roman" w:hAnsi="Times New Roman" w:cs="Times New Roman"/>
                <w:sz w:val="28"/>
                <w:szCs w:val="28"/>
                <w:lang w:val="uk-UA"/>
              </w:rPr>
              <w:t>± 0,7</w:t>
            </w:r>
          </w:p>
        </w:tc>
        <w:tc>
          <w:tcPr>
            <w:tcW w:w="3454" w:type="dxa"/>
          </w:tcPr>
          <w:p w14:paraId="6563448F" w14:textId="77777777" w:rsidR="00B0245E" w:rsidRPr="00B0245E" w:rsidRDefault="00B0245E" w:rsidP="00B0245E">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15,2</w:t>
            </w:r>
            <w:r w:rsidRPr="00B0245E">
              <w:rPr>
                <w:rFonts w:ascii="Times New Roman" w:hAnsi="Times New Roman" w:cs="Times New Roman"/>
                <w:sz w:val="28"/>
                <w:szCs w:val="28"/>
                <w:lang w:val="uk-UA"/>
              </w:rPr>
              <w:t>± 0,38</w:t>
            </w:r>
          </w:p>
        </w:tc>
      </w:tr>
      <w:tr w:rsidR="00B0245E" w:rsidRPr="00B0245E" w14:paraId="503B6EE2" w14:textId="77777777" w:rsidTr="00E62DF9">
        <w:trPr>
          <w:trHeight w:val="536"/>
        </w:trPr>
        <w:tc>
          <w:tcPr>
            <w:tcW w:w="2830" w:type="dxa"/>
          </w:tcPr>
          <w:p w14:paraId="308920CF"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3402" w:type="dxa"/>
          </w:tcPr>
          <w:p w14:paraId="17BC80FD" w14:textId="77777777" w:rsidR="00B0245E" w:rsidRPr="00B0245E" w:rsidRDefault="00B0245E" w:rsidP="00B0245E">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ru-RU"/>
              </w:rPr>
              <w:t>17,8</w:t>
            </w:r>
            <w:r w:rsidRPr="00B0245E">
              <w:rPr>
                <w:rFonts w:ascii="Times New Roman" w:hAnsi="Times New Roman" w:cs="Times New Roman"/>
                <w:sz w:val="28"/>
                <w:szCs w:val="28"/>
                <w:lang w:val="uk-UA"/>
              </w:rPr>
              <w:t>± 0,63</w:t>
            </w:r>
          </w:p>
        </w:tc>
        <w:tc>
          <w:tcPr>
            <w:tcW w:w="3454" w:type="dxa"/>
          </w:tcPr>
          <w:p w14:paraId="35AD30F1" w14:textId="77777777" w:rsidR="00B0245E" w:rsidRPr="00B0245E" w:rsidRDefault="00B0245E" w:rsidP="00B0245E">
            <w:pPr>
              <w:spacing w:line="360" w:lineRule="auto"/>
              <w:jc w:val="center"/>
              <w:rPr>
                <w:rFonts w:ascii="Times New Roman" w:hAnsi="Times New Roman" w:cs="Times New Roman"/>
                <w:sz w:val="28"/>
                <w:szCs w:val="28"/>
                <w:lang w:val="ru-RU"/>
              </w:rPr>
            </w:pPr>
            <w:r w:rsidRPr="00B0245E">
              <w:rPr>
                <w:rFonts w:ascii="Times New Roman" w:hAnsi="Times New Roman" w:cs="Times New Roman"/>
                <w:sz w:val="28"/>
                <w:szCs w:val="28"/>
                <w:lang w:val="ru-RU"/>
              </w:rPr>
              <w:t>18,6</w:t>
            </w:r>
            <w:r w:rsidRPr="00B0245E">
              <w:rPr>
                <w:rFonts w:ascii="Times New Roman" w:hAnsi="Times New Roman" w:cs="Times New Roman"/>
                <w:sz w:val="28"/>
                <w:szCs w:val="28"/>
                <w:lang w:val="uk-UA"/>
              </w:rPr>
              <w:t>± 0,7</w:t>
            </w:r>
            <w:r w:rsidRPr="00B0245E">
              <w:rPr>
                <w:rFonts w:ascii="Times New Roman" w:hAnsi="Times New Roman" w:cs="Times New Roman"/>
                <w:sz w:val="28"/>
                <w:szCs w:val="28"/>
                <w:lang w:val="ru-RU"/>
              </w:rPr>
              <w:t>2</w:t>
            </w:r>
          </w:p>
        </w:tc>
      </w:tr>
    </w:tbl>
    <w:p w14:paraId="1319AC12" w14:textId="77777777" w:rsidR="00B0245E" w:rsidRPr="00B0245E" w:rsidRDefault="00B0245E" w:rsidP="00B0245E">
      <w:pPr>
        <w:spacing w:line="360" w:lineRule="auto"/>
        <w:ind w:firstLine="709"/>
        <w:rPr>
          <w:rFonts w:ascii="Times New Roman" w:hAnsi="Times New Roman" w:cs="Times New Roman"/>
          <w:sz w:val="28"/>
          <w:szCs w:val="28"/>
          <w:lang w:val="uk-UA"/>
        </w:rPr>
      </w:pPr>
      <w:r w:rsidRPr="00B0245E">
        <w:rPr>
          <w:rFonts w:ascii="Times New Roman" w:hAnsi="Times New Roman" w:cs="Times New Roman"/>
          <w:sz w:val="28"/>
          <w:szCs w:val="28"/>
        </w:rPr>
        <w:t xml:space="preserve">* - </w:t>
      </w:r>
      <w:r w:rsidRPr="00B0245E">
        <w:rPr>
          <w:rFonts w:ascii="Times New Roman" w:hAnsi="Times New Roman" w:cs="Times New Roman"/>
          <w:sz w:val="28"/>
          <w:szCs w:val="28"/>
          <w:lang w:val="uk-UA"/>
        </w:rPr>
        <w:t>різниця достовірна, р&lt;0,05</w:t>
      </w:r>
    </w:p>
    <w:p w14:paraId="3DC18653" w14:textId="2A85481B" w:rsidR="00936303" w:rsidRDefault="00B0245E" w:rsidP="00936303">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Отже, аналіз отриманих даних дозволяє зробити висновок про те, що пізнє прорізування зубів у дітей, народжених передчасно, компенсується після 2-х років. </w:t>
      </w:r>
    </w:p>
    <w:p w14:paraId="4B1A7B56" w14:textId="0523AB6E" w:rsidR="00936303" w:rsidRDefault="00B0245E" w:rsidP="00936303">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той же час, необхідно відмітити, що при аналізі відповідності середньостатистичним строкам прорізування зубів у дітей, народжених передчасно, але відповідно до хронологічного віку, різниці майже не спостерігається (таблиця </w:t>
      </w:r>
      <w:r w:rsidR="00370858">
        <w:rPr>
          <w:rFonts w:ascii="Times New Roman" w:hAnsi="Times New Roman" w:cs="Times New Roman"/>
          <w:sz w:val="28"/>
          <w:szCs w:val="28"/>
          <w:lang w:val="uk-UA"/>
        </w:rPr>
        <w:t>7.</w:t>
      </w:r>
      <w:r w:rsidR="00936303">
        <w:rPr>
          <w:rFonts w:ascii="Times New Roman" w:hAnsi="Times New Roman" w:cs="Times New Roman"/>
          <w:sz w:val="28"/>
          <w:szCs w:val="28"/>
          <w:lang w:val="uk-UA"/>
        </w:rPr>
        <w:t>4).</w:t>
      </w:r>
    </w:p>
    <w:p w14:paraId="0D6D8630" w14:textId="77777777" w:rsidR="00936303" w:rsidRDefault="00936303" w:rsidP="00936303">
      <w:pPr>
        <w:spacing w:after="0" w:line="360" w:lineRule="auto"/>
        <w:rPr>
          <w:rFonts w:ascii="Times New Roman" w:hAnsi="Times New Roman" w:cs="Times New Roman"/>
          <w:sz w:val="28"/>
          <w:szCs w:val="28"/>
          <w:lang w:val="uk-UA"/>
        </w:rPr>
      </w:pPr>
    </w:p>
    <w:p w14:paraId="0157B4D6" w14:textId="28A4A12E" w:rsidR="00B0245E" w:rsidRPr="00B0245E" w:rsidRDefault="00B0245E" w:rsidP="00B0245E">
      <w:pPr>
        <w:spacing w:line="360" w:lineRule="auto"/>
        <w:ind w:firstLine="709"/>
        <w:jc w:val="right"/>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Таблиця </w:t>
      </w:r>
      <w:r w:rsidR="00370858">
        <w:rPr>
          <w:rFonts w:ascii="Times New Roman" w:hAnsi="Times New Roman" w:cs="Times New Roman"/>
          <w:sz w:val="28"/>
          <w:szCs w:val="28"/>
          <w:lang w:val="uk-UA"/>
        </w:rPr>
        <w:t>7.</w:t>
      </w:r>
      <w:r w:rsidRPr="00B0245E">
        <w:rPr>
          <w:rFonts w:ascii="Times New Roman" w:hAnsi="Times New Roman" w:cs="Times New Roman"/>
          <w:sz w:val="28"/>
          <w:szCs w:val="28"/>
          <w:lang w:val="uk-UA"/>
        </w:rPr>
        <w:t>4</w:t>
      </w:r>
    </w:p>
    <w:p w14:paraId="1CC1143E" w14:textId="77777777" w:rsidR="00B0245E" w:rsidRDefault="00B0245E" w:rsidP="00370858">
      <w:pPr>
        <w:spacing w:line="360" w:lineRule="auto"/>
        <w:ind w:firstLine="709"/>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Строки прорізування зубів у передчасно народжених дітей відповідно до хронологічного віку</w:t>
      </w:r>
    </w:p>
    <w:tbl>
      <w:tblPr>
        <w:tblStyle w:val="TableGrid2"/>
        <w:tblW w:w="9686" w:type="dxa"/>
        <w:tblLook w:val="04A0" w:firstRow="1" w:lastRow="0" w:firstColumn="1" w:lastColumn="0" w:noHBand="0" w:noVBand="1"/>
      </w:tblPr>
      <w:tblGrid>
        <w:gridCol w:w="2830"/>
        <w:gridCol w:w="3402"/>
        <w:gridCol w:w="3454"/>
      </w:tblGrid>
      <w:tr w:rsidR="00C03003" w:rsidRPr="00852E54" w14:paraId="3B12A519" w14:textId="77777777" w:rsidTr="00E62DF9">
        <w:trPr>
          <w:trHeight w:val="507"/>
        </w:trPr>
        <w:tc>
          <w:tcPr>
            <w:tcW w:w="2830" w:type="dxa"/>
            <w:vMerge w:val="restart"/>
          </w:tcPr>
          <w:p w14:paraId="46F5206D"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p w14:paraId="44E9D6C8"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(у перерахунку згідно до хронологічного віку)</w:t>
            </w:r>
          </w:p>
        </w:tc>
        <w:tc>
          <w:tcPr>
            <w:tcW w:w="6856" w:type="dxa"/>
            <w:gridSpan w:val="2"/>
          </w:tcPr>
          <w:p w14:paraId="59E180AF" w14:textId="77777777" w:rsidR="00C03003" w:rsidRPr="00B0245E" w:rsidRDefault="00C03003" w:rsidP="00E62DF9">
            <w:pPr>
              <w:spacing w:line="276" w:lineRule="auto"/>
              <w:jc w:val="center"/>
              <w:rPr>
                <w:rFonts w:ascii="Times New Roman" w:hAnsi="Times New Roman" w:cs="Times New Roman"/>
                <w:sz w:val="28"/>
                <w:szCs w:val="28"/>
                <w:lang w:val="uk-UA"/>
              </w:rPr>
            </w:pPr>
          </w:p>
        </w:tc>
      </w:tr>
      <w:tr w:rsidR="00C03003" w:rsidRPr="00B0245E" w14:paraId="0254D953" w14:textId="77777777" w:rsidTr="00E62DF9">
        <w:trPr>
          <w:trHeight w:val="585"/>
        </w:trPr>
        <w:tc>
          <w:tcPr>
            <w:tcW w:w="2830" w:type="dxa"/>
            <w:vMerge/>
          </w:tcPr>
          <w:p w14:paraId="55547CA8" w14:textId="77777777" w:rsidR="00C03003" w:rsidRPr="00B0245E" w:rsidRDefault="00C03003" w:rsidP="00E62DF9">
            <w:pPr>
              <w:spacing w:line="276" w:lineRule="auto"/>
              <w:jc w:val="center"/>
              <w:rPr>
                <w:rFonts w:ascii="Times New Roman" w:hAnsi="Times New Roman" w:cs="Times New Roman"/>
                <w:sz w:val="28"/>
                <w:szCs w:val="28"/>
                <w:lang w:val="uk-UA"/>
              </w:rPr>
            </w:pPr>
          </w:p>
        </w:tc>
        <w:tc>
          <w:tcPr>
            <w:tcW w:w="3402" w:type="dxa"/>
          </w:tcPr>
          <w:p w14:paraId="253F2B4D"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Група № 1 </w:t>
            </w:r>
            <w:r w:rsidRPr="00B0245E">
              <w:rPr>
                <w:rFonts w:ascii="Times New Roman" w:hAnsi="Times New Roman" w:cs="Times New Roman"/>
                <w:sz w:val="28"/>
                <w:szCs w:val="28"/>
                <w:lang w:val="uk-UA"/>
              </w:rPr>
              <w:br/>
              <w:t>(24-31 тижні гестації)</w:t>
            </w:r>
          </w:p>
        </w:tc>
        <w:tc>
          <w:tcPr>
            <w:tcW w:w="3454" w:type="dxa"/>
          </w:tcPr>
          <w:p w14:paraId="036CDC87"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Група № 2</w:t>
            </w:r>
            <w:r w:rsidRPr="00B0245E">
              <w:rPr>
                <w:rFonts w:ascii="Times New Roman" w:hAnsi="Times New Roman" w:cs="Times New Roman"/>
                <w:sz w:val="28"/>
                <w:szCs w:val="28"/>
                <w:lang w:val="uk-UA"/>
              </w:rPr>
              <w:br/>
              <w:t>(32-37 тижні гестації)</w:t>
            </w:r>
          </w:p>
        </w:tc>
      </w:tr>
      <w:tr w:rsidR="00C03003" w:rsidRPr="00B0245E" w14:paraId="500ADEB3" w14:textId="77777777" w:rsidTr="00E62DF9">
        <w:trPr>
          <w:trHeight w:val="553"/>
        </w:trPr>
        <w:tc>
          <w:tcPr>
            <w:tcW w:w="2830" w:type="dxa"/>
          </w:tcPr>
          <w:p w14:paraId="0C21F410"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3402" w:type="dxa"/>
          </w:tcPr>
          <w:p w14:paraId="0D9CB20E"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5,1 ± 0,69</w:t>
            </w:r>
          </w:p>
        </w:tc>
        <w:tc>
          <w:tcPr>
            <w:tcW w:w="3454" w:type="dxa"/>
          </w:tcPr>
          <w:p w14:paraId="4F677BF2"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6,3 ± 0,84</w:t>
            </w:r>
          </w:p>
        </w:tc>
      </w:tr>
      <w:tr w:rsidR="00693ED3" w:rsidRPr="00B0245E" w14:paraId="2FFBF9F4" w14:textId="77777777" w:rsidTr="00693ED3">
        <w:trPr>
          <w:trHeight w:val="553"/>
        </w:trPr>
        <w:tc>
          <w:tcPr>
            <w:tcW w:w="9686" w:type="dxa"/>
            <w:gridSpan w:val="3"/>
            <w:tcBorders>
              <w:top w:val="single" w:sz="4" w:space="0" w:color="FFFFFF"/>
              <w:left w:val="single" w:sz="4" w:space="0" w:color="FFFFFF"/>
              <w:right w:val="single" w:sz="4" w:space="0" w:color="FFFFFF"/>
            </w:tcBorders>
          </w:tcPr>
          <w:p w14:paraId="1F62E51B" w14:textId="00C18F4E" w:rsidR="00693ED3" w:rsidRPr="00693ED3" w:rsidRDefault="00693ED3" w:rsidP="00693ED3">
            <w:pPr>
              <w:spacing w:line="360" w:lineRule="auto"/>
              <w:jc w:val="right"/>
              <w:rPr>
                <w:rFonts w:ascii="Times New Roman" w:hAnsi="Times New Roman" w:cs="Times New Roman"/>
                <w:i/>
                <w:sz w:val="28"/>
                <w:szCs w:val="28"/>
                <w:lang w:val="uk-UA"/>
              </w:rPr>
            </w:pPr>
            <w:r w:rsidRPr="00693ED3">
              <w:rPr>
                <w:rFonts w:ascii="Times New Roman" w:hAnsi="Times New Roman" w:cs="Times New Roman"/>
                <w:i/>
                <w:sz w:val="28"/>
                <w:szCs w:val="28"/>
                <w:lang w:val="uk-UA"/>
              </w:rPr>
              <w:t>Продовження таблиці 7.4</w:t>
            </w:r>
          </w:p>
        </w:tc>
      </w:tr>
      <w:tr w:rsidR="00C03003" w:rsidRPr="00B0245E" w14:paraId="5746C43D" w14:textId="77777777" w:rsidTr="00E62DF9">
        <w:trPr>
          <w:trHeight w:val="553"/>
        </w:trPr>
        <w:tc>
          <w:tcPr>
            <w:tcW w:w="2830" w:type="dxa"/>
          </w:tcPr>
          <w:p w14:paraId="4C0E4AD9"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3402" w:type="dxa"/>
          </w:tcPr>
          <w:p w14:paraId="5B5A4E28" w14:textId="77777777" w:rsidR="00C03003" w:rsidRPr="00B0245E" w:rsidRDefault="00C03003" w:rsidP="00E62DF9">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10,4</w:t>
            </w:r>
            <w:r w:rsidRPr="00B0245E">
              <w:rPr>
                <w:rFonts w:ascii="Times New Roman" w:hAnsi="Times New Roman" w:cs="Times New Roman"/>
                <w:sz w:val="28"/>
                <w:szCs w:val="28"/>
                <w:lang w:val="uk-UA"/>
              </w:rPr>
              <w:t>± 0,47</w:t>
            </w:r>
          </w:p>
        </w:tc>
        <w:tc>
          <w:tcPr>
            <w:tcW w:w="3454" w:type="dxa"/>
          </w:tcPr>
          <w:p w14:paraId="327540E1"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10,6</w:t>
            </w:r>
            <w:r w:rsidRPr="00B0245E">
              <w:rPr>
                <w:rFonts w:ascii="Times New Roman" w:hAnsi="Times New Roman" w:cs="Times New Roman"/>
                <w:sz w:val="28"/>
                <w:szCs w:val="28"/>
                <w:lang w:val="uk-UA"/>
              </w:rPr>
              <w:t>± 0,9</w:t>
            </w:r>
            <w:r w:rsidRPr="00B0245E">
              <w:rPr>
                <w:rFonts w:ascii="Times New Roman" w:hAnsi="Times New Roman" w:cs="Times New Roman"/>
                <w:sz w:val="28"/>
                <w:szCs w:val="28"/>
              </w:rPr>
              <w:t>7</w:t>
            </w:r>
          </w:p>
        </w:tc>
      </w:tr>
      <w:tr w:rsidR="00C03003" w:rsidRPr="00B0245E" w14:paraId="202234D9" w14:textId="77777777" w:rsidTr="00E62DF9">
        <w:trPr>
          <w:trHeight w:val="536"/>
        </w:trPr>
        <w:tc>
          <w:tcPr>
            <w:tcW w:w="2830" w:type="dxa"/>
          </w:tcPr>
          <w:p w14:paraId="50E34375"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3402" w:type="dxa"/>
          </w:tcPr>
          <w:p w14:paraId="399FBD8A"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rPr>
              <w:t>18,7</w:t>
            </w:r>
            <w:r w:rsidRPr="00B0245E">
              <w:rPr>
                <w:rFonts w:ascii="Times New Roman" w:hAnsi="Times New Roman" w:cs="Times New Roman"/>
                <w:sz w:val="28"/>
                <w:szCs w:val="28"/>
                <w:lang w:val="uk-UA"/>
              </w:rPr>
              <w:t>± 0,71</w:t>
            </w:r>
          </w:p>
        </w:tc>
        <w:tc>
          <w:tcPr>
            <w:tcW w:w="3454" w:type="dxa"/>
          </w:tcPr>
          <w:p w14:paraId="40372F66" w14:textId="77777777" w:rsidR="00C03003" w:rsidRPr="00B0245E" w:rsidRDefault="00C03003" w:rsidP="00E62DF9">
            <w:pPr>
              <w:spacing w:line="360" w:lineRule="auto"/>
              <w:jc w:val="center"/>
              <w:rPr>
                <w:rFonts w:ascii="Times New Roman" w:hAnsi="Times New Roman" w:cs="Times New Roman"/>
                <w:sz w:val="28"/>
                <w:szCs w:val="28"/>
              </w:rPr>
            </w:pPr>
            <w:r w:rsidRPr="00B0245E">
              <w:rPr>
                <w:rFonts w:ascii="Times New Roman" w:hAnsi="Times New Roman" w:cs="Times New Roman"/>
                <w:sz w:val="28"/>
                <w:szCs w:val="28"/>
              </w:rPr>
              <w:t>18,2</w:t>
            </w:r>
            <w:r w:rsidRPr="00B0245E">
              <w:rPr>
                <w:rFonts w:ascii="Times New Roman" w:hAnsi="Times New Roman" w:cs="Times New Roman"/>
                <w:sz w:val="28"/>
                <w:szCs w:val="28"/>
                <w:lang w:val="uk-UA"/>
              </w:rPr>
              <w:t>± 0,44</w:t>
            </w:r>
          </w:p>
        </w:tc>
      </w:tr>
      <w:tr w:rsidR="00C03003" w:rsidRPr="00B0245E" w14:paraId="6A45AAA3" w14:textId="77777777" w:rsidTr="00E62DF9">
        <w:trPr>
          <w:trHeight w:val="536"/>
        </w:trPr>
        <w:tc>
          <w:tcPr>
            <w:tcW w:w="2830" w:type="dxa"/>
          </w:tcPr>
          <w:p w14:paraId="5B5225AC"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3402" w:type="dxa"/>
          </w:tcPr>
          <w:p w14:paraId="797C2434"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ru-RU"/>
              </w:rPr>
              <w:t>19,8</w:t>
            </w:r>
            <w:r w:rsidRPr="00B0245E">
              <w:rPr>
                <w:rFonts w:ascii="Times New Roman" w:hAnsi="Times New Roman" w:cs="Times New Roman"/>
                <w:sz w:val="28"/>
                <w:szCs w:val="28"/>
                <w:lang w:val="uk-UA"/>
              </w:rPr>
              <w:t>± 0,41</w:t>
            </w:r>
          </w:p>
        </w:tc>
        <w:tc>
          <w:tcPr>
            <w:tcW w:w="3454" w:type="dxa"/>
          </w:tcPr>
          <w:p w14:paraId="2A85CE3C" w14:textId="77777777" w:rsidR="00C03003" w:rsidRPr="00B0245E" w:rsidRDefault="00C03003" w:rsidP="00E62DF9">
            <w:pPr>
              <w:spacing w:line="360" w:lineRule="auto"/>
              <w:jc w:val="center"/>
              <w:rPr>
                <w:rFonts w:ascii="Times New Roman" w:hAnsi="Times New Roman" w:cs="Times New Roman"/>
                <w:sz w:val="28"/>
                <w:szCs w:val="28"/>
                <w:lang w:val="ru-RU"/>
              </w:rPr>
            </w:pPr>
            <w:r w:rsidRPr="00B0245E">
              <w:rPr>
                <w:rFonts w:ascii="Times New Roman" w:hAnsi="Times New Roman" w:cs="Times New Roman"/>
                <w:sz w:val="28"/>
                <w:szCs w:val="28"/>
                <w:lang w:val="ru-RU"/>
              </w:rPr>
              <w:t>19,6</w:t>
            </w:r>
            <w:r w:rsidRPr="00B0245E">
              <w:rPr>
                <w:rFonts w:ascii="Times New Roman" w:hAnsi="Times New Roman" w:cs="Times New Roman"/>
                <w:sz w:val="28"/>
                <w:szCs w:val="28"/>
                <w:lang w:val="uk-UA"/>
              </w:rPr>
              <w:t>± 0,63</w:t>
            </w:r>
          </w:p>
        </w:tc>
      </w:tr>
    </w:tbl>
    <w:p w14:paraId="686153FA" w14:textId="77777777" w:rsidR="00C03003" w:rsidRDefault="00C03003" w:rsidP="00370858">
      <w:pPr>
        <w:spacing w:line="360" w:lineRule="auto"/>
        <w:ind w:firstLine="709"/>
        <w:jc w:val="center"/>
        <w:rPr>
          <w:rFonts w:ascii="Times New Roman" w:hAnsi="Times New Roman" w:cs="Times New Roman"/>
          <w:sz w:val="28"/>
          <w:szCs w:val="28"/>
          <w:lang w:val="uk-UA"/>
        </w:rPr>
      </w:pPr>
    </w:p>
    <w:p w14:paraId="2D8E28D4" w14:textId="7B88E7F5" w:rsidR="00B0245E" w:rsidRPr="00B0245E" w:rsidRDefault="00174E13" w:rsidP="00174E1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проведене комплексне стоматологічне обстеження даного контингенту дітей з моніторуванням наявності атопічного дерматиту (АД). Метою даного обстеження було виявлення патологічних змін тканин пародонту та слизової оболонки порожнини рота (візуально), стан твердих тканин зубів (за даними індексу інтенсивності карієсу «кп»). Результати наведені у таблиці 7.5.</w:t>
      </w:r>
    </w:p>
    <w:p w14:paraId="59B5A297" w14:textId="212745AE" w:rsidR="00370858" w:rsidRPr="00370858" w:rsidRDefault="00370858" w:rsidP="00370858">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7.5</w:t>
      </w:r>
    </w:p>
    <w:p w14:paraId="6D54B44D" w14:textId="39AC6C3F" w:rsidR="00370858" w:rsidRDefault="00370858" w:rsidP="0037085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атопії та стоматологічної патології у дітей, народжених передчасно</w:t>
      </w:r>
    </w:p>
    <w:tbl>
      <w:tblPr>
        <w:tblStyle w:val="TableGrid2"/>
        <w:tblW w:w="9686" w:type="dxa"/>
        <w:tblLook w:val="04A0" w:firstRow="1" w:lastRow="0" w:firstColumn="1" w:lastColumn="0" w:noHBand="0" w:noVBand="1"/>
      </w:tblPr>
      <w:tblGrid>
        <w:gridCol w:w="2793"/>
        <w:gridCol w:w="1455"/>
        <w:gridCol w:w="1701"/>
        <w:gridCol w:w="1559"/>
        <w:gridCol w:w="2178"/>
      </w:tblGrid>
      <w:tr w:rsidR="00C03003" w:rsidRPr="00B0245E" w14:paraId="24B83E80" w14:textId="77777777" w:rsidTr="00C03003">
        <w:trPr>
          <w:trHeight w:val="507"/>
        </w:trPr>
        <w:tc>
          <w:tcPr>
            <w:tcW w:w="2793" w:type="dxa"/>
            <w:vMerge w:val="restart"/>
          </w:tcPr>
          <w:p w14:paraId="0A072F3F"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Вікова група, місяці</w:t>
            </w:r>
          </w:p>
          <w:p w14:paraId="50AC4B11" w14:textId="77777777" w:rsidR="00C03003" w:rsidRPr="00B0245E" w:rsidRDefault="00C03003" w:rsidP="00E62DF9">
            <w:pPr>
              <w:spacing w:line="276"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(у перерахунку згідно до хронологічного віку)</w:t>
            </w:r>
          </w:p>
        </w:tc>
        <w:tc>
          <w:tcPr>
            <w:tcW w:w="3156" w:type="dxa"/>
            <w:gridSpan w:val="2"/>
          </w:tcPr>
          <w:p w14:paraId="7CC8BA71" w14:textId="77777777" w:rsidR="00C03003" w:rsidRPr="00370858"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 xml:space="preserve">Група № 1 </w:t>
            </w:r>
          </w:p>
          <w:p w14:paraId="3BA57723" w14:textId="77777777" w:rsidR="00C03003" w:rsidRPr="00B0245E"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(24-31 тижні гестації)</w:t>
            </w:r>
          </w:p>
        </w:tc>
        <w:tc>
          <w:tcPr>
            <w:tcW w:w="3737" w:type="dxa"/>
            <w:gridSpan w:val="2"/>
          </w:tcPr>
          <w:p w14:paraId="55D85DBE" w14:textId="77777777" w:rsidR="00C03003" w:rsidRPr="00370858"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Група № 2</w:t>
            </w:r>
          </w:p>
          <w:p w14:paraId="68912EAB" w14:textId="77777777" w:rsidR="00C03003" w:rsidRPr="00B0245E" w:rsidRDefault="00C03003" w:rsidP="00E62DF9">
            <w:pPr>
              <w:spacing w:line="276" w:lineRule="auto"/>
              <w:jc w:val="center"/>
              <w:rPr>
                <w:rFonts w:ascii="Times New Roman" w:hAnsi="Times New Roman" w:cs="Times New Roman"/>
                <w:sz w:val="28"/>
                <w:szCs w:val="28"/>
                <w:lang w:val="uk-UA"/>
              </w:rPr>
            </w:pPr>
            <w:r w:rsidRPr="00370858">
              <w:rPr>
                <w:rFonts w:ascii="Times New Roman" w:hAnsi="Times New Roman" w:cs="Times New Roman"/>
                <w:sz w:val="28"/>
                <w:szCs w:val="28"/>
                <w:lang w:val="uk-UA"/>
              </w:rPr>
              <w:t>(32-37 тижні гестації)</w:t>
            </w:r>
          </w:p>
        </w:tc>
      </w:tr>
      <w:tr w:rsidR="00C03003" w:rsidRPr="00B0245E" w14:paraId="19B59F5A" w14:textId="77777777" w:rsidTr="00C03003">
        <w:trPr>
          <w:trHeight w:val="585"/>
        </w:trPr>
        <w:tc>
          <w:tcPr>
            <w:tcW w:w="2793" w:type="dxa"/>
            <w:vMerge/>
          </w:tcPr>
          <w:p w14:paraId="4B4268F3" w14:textId="77777777" w:rsidR="00C03003" w:rsidRPr="00B0245E" w:rsidRDefault="00C03003" w:rsidP="00E62DF9">
            <w:pPr>
              <w:spacing w:line="276" w:lineRule="auto"/>
              <w:jc w:val="center"/>
              <w:rPr>
                <w:rFonts w:ascii="Times New Roman" w:hAnsi="Times New Roman" w:cs="Times New Roman"/>
                <w:sz w:val="28"/>
                <w:szCs w:val="28"/>
                <w:lang w:val="uk-UA"/>
              </w:rPr>
            </w:pPr>
          </w:p>
        </w:tc>
        <w:tc>
          <w:tcPr>
            <w:tcW w:w="1455" w:type="dxa"/>
          </w:tcPr>
          <w:p w14:paraId="4DC111CF" w14:textId="16AA1F47"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кп</w:t>
            </w:r>
          </w:p>
        </w:tc>
        <w:tc>
          <w:tcPr>
            <w:tcW w:w="1701" w:type="dxa"/>
          </w:tcPr>
          <w:p w14:paraId="45A2A61E" w14:textId="712A6B2B"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АД</w:t>
            </w:r>
            <w:r w:rsidR="00174E13">
              <w:rPr>
                <w:rFonts w:ascii="Times New Roman" w:hAnsi="Times New Roman" w:cs="Times New Roman"/>
                <w:sz w:val="28"/>
                <w:szCs w:val="28"/>
                <w:lang w:val="uk-UA"/>
              </w:rPr>
              <w:t xml:space="preserve"> (%)</w:t>
            </w:r>
          </w:p>
        </w:tc>
        <w:tc>
          <w:tcPr>
            <w:tcW w:w="1559" w:type="dxa"/>
          </w:tcPr>
          <w:p w14:paraId="0BCBB79A" w14:textId="177EB6BF"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кп</w:t>
            </w:r>
          </w:p>
        </w:tc>
        <w:tc>
          <w:tcPr>
            <w:tcW w:w="2178" w:type="dxa"/>
          </w:tcPr>
          <w:p w14:paraId="7A2C89F6" w14:textId="4FDD339D" w:rsidR="00C03003" w:rsidRPr="00B0245E" w:rsidRDefault="00C03003" w:rsidP="00E62DF9">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АД</w:t>
            </w:r>
            <w:r w:rsidR="00174E13">
              <w:rPr>
                <w:rFonts w:ascii="Times New Roman" w:hAnsi="Times New Roman" w:cs="Times New Roman"/>
                <w:sz w:val="28"/>
                <w:szCs w:val="28"/>
                <w:lang w:val="uk-UA"/>
              </w:rPr>
              <w:t xml:space="preserve"> (%)</w:t>
            </w:r>
          </w:p>
        </w:tc>
      </w:tr>
      <w:tr w:rsidR="00C03003" w:rsidRPr="00B0245E" w14:paraId="759E58AD" w14:textId="77777777" w:rsidTr="00C03003">
        <w:trPr>
          <w:trHeight w:val="553"/>
        </w:trPr>
        <w:tc>
          <w:tcPr>
            <w:tcW w:w="2793" w:type="dxa"/>
          </w:tcPr>
          <w:p w14:paraId="67AEF245"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6-11</w:t>
            </w:r>
          </w:p>
        </w:tc>
        <w:tc>
          <w:tcPr>
            <w:tcW w:w="1455" w:type="dxa"/>
          </w:tcPr>
          <w:p w14:paraId="3D913235" w14:textId="1920D79B"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60429906" w14:textId="3935096D"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559" w:type="dxa"/>
          </w:tcPr>
          <w:p w14:paraId="75F57130" w14:textId="31E0B68D"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125F85D8" w14:textId="519C04F5"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C03003" w:rsidRPr="00B0245E" w14:paraId="17B83DBF" w14:textId="77777777" w:rsidTr="00C03003">
        <w:trPr>
          <w:trHeight w:val="553"/>
        </w:trPr>
        <w:tc>
          <w:tcPr>
            <w:tcW w:w="2793" w:type="dxa"/>
          </w:tcPr>
          <w:p w14:paraId="56BCE14D"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12-17</w:t>
            </w:r>
          </w:p>
        </w:tc>
        <w:tc>
          <w:tcPr>
            <w:tcW w:w="1455" w:type="dxa"/>
          </w:tcPr>
          <w:p w14:paraId="271C3BF0" w14:textId="1BFC1C91"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9E59C9B" w14:textId="42B75DF5" w:rsidR="00C03003" w:rsidRPr="006739E4"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559" w:type="dxa"/>
          </w:tcPr>
          <w:p w14:paraId="08B5C912" w14:textId="14C80AD4" w:rsidR="00C03003" w:rsidRPr="00B0245E" w:rsidRDefault="00C0300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3A317DEA" w14:textId="69770B6F"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C03003" w:rsidRPr="00B0245E" w14:paraId="3A1AC98A" w14:textId="77777777" w:rsidTr="00C03003">
        <w:trPr>
          <w:trHeight w:val="536"/>
        </w:trPr>
        <w:tc>
          <w:tcPr>
            <w:tcW w:w="2793" w:type="dxa"/>
          </w:tcPr>
          <w:p w14:paraId="122583A8"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18-23</w:t>
            </w:r>
          </w:p>
        </w:tc>
        <w:tc>
          <w:tcPr>
            <w:tcW w:w="1455" w:type="dxa"/>
          </w:tcPr>
          <w:p w14:paraId="44389182" w14:textId="62296999" w:rsidR="00C03003" w:rsidRPr="00B0245E" w:rsidRDefault="00174E1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701" w:type="dxa"/>
          </w:tcPr>
          <w:p w14:paraId="43D4E401" w14:textId="0F9C6529"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559" w:type="dxa"/>
          </w:tcPr>
          <w:p w14:paraId="593BD77F" w14:textId="69C50871" w:rsidR="00C03003" w:rsidRPr="00B0245E" w:rsidRDefault="00174E13"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178" w:type="dxa"/>
          </w:tcPr>
          <w:p w14:paraId="5C5EC0E4" w14:textId="16FE98C3" w:rsidR="00C03003" w:rsidRPr="006739E4"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C03003" w:rsidRPr="00B0245E" w14:paraId="41207EB8" w14:textId="77777777" w:rsidTr="00C03003">
        <w:trPr>
          <w:trHeight w:val="536"/>
        </w:trPr>
        <w:tc>
          <w:tcPr>
            <w:tcW w:w="2793" w:type="dxa"/>
          </w:tcPr>
          <w:p w14:paraId="30B27D63" w14:textId="77777777" w:rsidR="00C03003" w:rsidRPr="00B0245E" w:rsidRDefault="00C03003" w:rsidP="00E62DF9">
            <w:pPr>
              <w:spacing w:line="360" w:lineRule="auto"/>
              <w:jc w:val="center"/>
              <w:rPr>
                <w:rFonts w:ascii="Times New Roman" w:hAnsi="Times New Roman" w:cs="Times New Roman"/>
                <w:sz w:val="28"/>
                <w:szCs w:val="28"/>
                <w:lang w:val="uk-UA"/>
              </w:rPr>
            </w:pPr>
            <w:r w:rsidRPr="00B0245E">
              <w:rPr>
                <w:rFonts w:ascii="Times New Roman" w:hAnsi="Times New Roman" w:cs="Times New Roman"/>
                <w:sz w:val="28"/>
                <w:szCs w:val="28"/>
                <w:lang w:val="uk-UA"/>
              </w:rPr>
              <w:t>24 та більше</w:t>
            </w:r>
          </w:p>
        </w:tc>
        <w:tc>
          <w:tcPr>
            <w:tcW w:w="1455" w:type="dxa"/>
          </w:tcPr>
          <w:p w14:paraId="4A811907" w14:textId="7AC7BDCF" w:rsidR="00C03003" w:rsidRPr="00B0245E" w:rsidRDefault="008119BC"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1.91±0.58</w:t>
            </w:r>
          </w:p>
        </w:tc>
        <w:tc>
          <w:tcPr>
            <w:tcW w:w="1701" w:type="dxa"/>
          </w:tcPr>
          <w:p w14:paraId="77065A49" w14:textId="7DE1919C" w:rsidR="00C03003" w:rsidRPr="00B0245E" w:rsidRDefault="006739E4" w:rsidP="00E62DF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559" w:type="dxa"/>
          </w:tcPr>
          <w:p w14:paraId="49C2983B" w14:textId="4539FAEA" w:rsidR="00C03003" w:rsidRPr="00B0245E" w:rsidRDefault="006739E4" w:rsidP="00E62DF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1.52±0.47</w:t>
            </w:r>
          </w:p>
        </w:tc>
        <w:tc>
          <w:tcPr>
            <w:tcW w:w="2178" w:type="dxa"/>
          </w:tcPr>
          <w:p w14:paraId="2850DC4F" w14:textId="403738D9" w:rsidR="00C03003" w:rsidRPr="00B0245E" w:rsidRDefault="006739E4" w:rsidP="00E62DF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22</w:t>
            </w:r>
          </w:p>
        </w:tc>
      </w:tr>
    </w:tbl>
    <w:p w14:paraId="5062BEFA" w14:textId="77777777" w:rsidR="00174E13" w:rsidRDefault="00174E13" w:rsidP="00174E13">
      <w:pPr>
        <w:spacing w:line="360" w:lineRule="auto"/>
        <w:ind w:firstLine="709"/>
        <w:jc w:val="both"/>
        <w:rPr>
          <w:rFonts w:ascii="Times New Roman" w:hAnsi="Times New Roman" w:cs="Times New Roman"/>
          <w:sz w:val="28"/>
          <w:szCs w:val="28"/>
          <w:lang w:val="uk-UA"/>
        </w:rPr>
      </w:pPr>
    </w:p>
    <w:p w14:paraId="3A646CBD" w14:textId="218CA5AA" w:rsidR="00370858" w:rsidRDefault="00174E13" w:rsidP="00F74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аналізом отриманих даних об</w:t>
      </w:r>
      <w:r w:rsidRPr="00174E13">
        <w:rPr>
          <w:rFonts w:ascii="Times New Roman" w:hAnsi="Times New Roman" w:cs="Times New Roman"/>
          <w:sz w:val="28"/>
          <w:szCs w:val="28"/>
          <w:lang w:val="uk-UA"/>
        </w:rPr>
        <w:t>’</w:t>
      </w:r>
      <w:r>
        <w:rPr>
          <w:rFonts w:ascii="Times New Roman" w:hAnsi="Times New Roman" w:cs="Times New Roman"/>
          <w:sz w:val="28"/>
          <w:szCs w:val="28"/>
          <w:lang w:val="uk-UA"/>
        </w:rPr>
        <w:t>єктивного обстеження, зміни слизової оболонки порожнини рота були пов</w:t>
      </w:r>
      <w:r w:rsidRPr="00174E13">
        <w:rPr>
          <w:rFonts w:ascii="Times New Roman" w:hAnsi="Times New Roman" w:cs="Times New Roman"/>
          <w:sz w:val="28"/>
          <w:szCs w:val="28"/>
          <w:lang w:val="uk-UA"/>
        </w:rPr>
        <w:t>’</w:t>
      </w:r>
      <w:r>
        <w:rPr>
          <w:rFonts w:ascii="Times New Roman" w:hAnsi="Times New Roman" w:cs="Times New Roman"/>
          <w:sz w:val="28"/>
          <w:szCs w:val="28"/>
          <w:lang w:val="uk-UA"/>
        </w:rPr>
        <w:t>язані тільки з фізіологічним прорізуванням тимчасових зубів. Так само на низькому рівні знаходилася інтенсивність карієсу тимчасових зубів. Але розповсюдженість атопічного дерматиту, виявлена під час обстеження або в анамнезі, була доволі високою серед обстежених</w:t>
      </w:r>
      <w:r w:rsidR="006739E4">
        <w:rPr>
          <w:rFonts w:ascii="Times New Roman" w:hAnsi="Times New Roman" w:cs="Times New Roman"/>
          <w:sz w:val="28"/>
          <w:szCs w:val="28"/>
          <w:lang w:val="uk-UA"/>
        </w:rPr>
        <w:t xml:space="preserve"> обох груп</w:t>
      </w:r>
      <w:r>
        <w:rPr>
          <w:rFonts w:ascii="Times New Roman" w:hAnsi="Times New Roman" w:cs="Times New Roman"/>
          <w:sz w:val="28"/>
          <w:szCs w:val="28"/>
          <w:lang w:val="uk-UA"/>
        </w:rPr>
        <w:t>. Оскільки атопічний дерматит є першим кроком у розвитку атопічних захворювань, даний факт є загрозливим з точки зору формування атопії. Отже, дітей, народжених з малою вагою або передч</w:t>
      </w:r>
      <w:r w:rsidR="008119BC">
        <w:rPr>
          <w:rFonts w:ascii="Times New Roman" w:hAnsi="Times New Roman" w:cs="Times New Roman"/>
          <w:sz w:val="28"/>
          <w:szCs w:val="28"/>
          <w:lang w:val="uk-UA"/>
        </w:rPr>
        <w:t>а</w:t>
      </w:r>
      <w:r>
        <w:rPr>
          <w:rFonts w:ascii="Times New Roman" w:hAnsi="Times New Roman" w:cs="Times New Roman"/>
          <w:sz w:val="28"/>
          <w:szCs w:val="28"/>
          <w:lang w:val="uk-UA"/>
        </w:rPr>
        <w:t>сно</w:t>
      </w:r>
      <w:r w:rsidR="008119BC">
        <w:rPr>
          <w:rFonts w:ascii="Times New Roman" w:hAnsi="Times New Roman" w:cs="Times New Roman"/>
          <w:sz w:val="28"/>
          <w:szCs w:val="28"/>
          <w:lang w:val="uk-UA"/>
        </w:rPr>
        <w:t>,</w:t>
      </w:r>
      <w:r>
        <w:rPr>
          <w:rFonts w:ascii="Times New Roman" w:hAnsi="Times New Roman" w:cs="Times New Roman"/>
          <w:sz w:val="28"/>
          <w:szCs w:val="28"/>
          <w:lang w:val="uk-UA"/>
        </w:rPr>
        <w:t xml:space="preserve"> слід відносити до групи ризику по форм</w:t>
      </w:r>
      <w:r w:rsidR="008119BC">
        <w:rPr>
          <w:rFonts w:ascii="Times New Roman" w:hAnsi="Times New Roman" w:cs="Times New Roman"/>
          <w:sz w:val="28"/>
          <w:szCs w:val="28"/>
          <w:lang w:val="uk-UA"/>
        </w:rPr>
        <w:t>уванню атопічних захворювань, що у свою чергу створює підгрунтя для формування патології тканин пародонту.</w:t>
      </w:r>
    </w:p>
    <w:p w14:paraId="44652F5D" w14:textId="13E357AF" w:rsidR="00B0245E" w:rsidRDefault="00B0245E" w:rsidP="00F7440D">
      <w:pPr>
        <w:spacing w:after="0" w:line="360" w:lineRule="auto"/>
        <w:ind w:firstLine="709"/>
        <w:jc w:val="both"/>
        <w:rPr>
          <w:rFonts w:ascii="Times New Roman" w:hAnsi="Times New Roman" w:cs="Times New Roman"/>
          <w:sz w:val="28"/>
          <w:szCs w:val="28"/>
          <w:lang w:val="uk-UA"/>
        </w:rPr>
      </w:pPr>
      <w:r w:rsidRPr="00B0245E">
        <w:rPr>
          <w:rFonts w:ascii="Times New Roman" w:hAnsi="Times New Roman" w:cs="Times New Roman"/>
          <w:sz w:val="28"/>
          <w:szCs w:val="28"/>
          <w:lang w:val="uk-UA"/>
        </w:rPr>
        <w:t xml:space="preserve">У зв’язку з </w:t>
      </w:r>
      <w:r w:rsidR="008119BC">
        <w:rPr>
          <w:rFonts w:ascii="Times New Roman" w:hAnsi="Times New Roman" w:cs="Times New Roman"/>
          <w:sz w:val="28"/>
          <w:szCs w:val="28"/>
          <w:lang w:val="uk-UA"/>
        </w:rPr>
        <w:t>проведеним дослідженням дітей, народжених передчасно та з малою вагою</w:t>
      </w:r>
      <w:r w:rsidRPr="00B0245E">
        <w:rPr>
          <w:rFonts w:ascii="Times New Roman" w:hAnsi="Times New Roman" w:cs="Times New Roman"/>
          <w:sz w:val="28"/>
          <w:szCs w:val="28"/>
          <w:lang w:val="uk-UA"/>
        </w:rPr>
        <w:t>,</w:t>
      </w:r>
      <w:r w:rsidR="008119BC">
        <w:rPr>
          <w:rFonts w:ascii="Times New Roman" w:hAnsi="Times New Roman" w:cs="Times New Roman"/>
          <w:sz w:val="28"/>
          <w:szCs w:val="28"/>
          <w:lang w:val="uk-UA"/>
        </w:rPr>
        <w:t xml:space="preserve"> було зроблено кілька висновків. З</w:t>
      </w:r>
      <w:r w:rsidRPr="00B0245E">
        <w:rPr>
          <w:rFonts w:ascii="Times New Roman" w:hAnsi="Times New Roman" w:cs="Times New Roman"/>
          <w:sz w:val="28"/>
          <w:szCs w:val="28"/>
          <w:lang w:val="uk-UA"/>
        </w:rPr>
        <w:t xml:space="preserve"> нашої точки зору, доцільно розглядати формування зубощелепної системи дітей, народжених передчасно, відповідно до постконцептуального віку.</w:t>
      </w:r>
      <w:r w:rsidR="008119BC">
        <w:rPr>
          <w:rFonts w:ascii="Times New Roman" w:hAnsi="Times New Roman" w:cs="Times New Roman"/>
          <w:sz w:val="28"/>
          <w:szCs w:val="28"/>
          <w:lang w:val="uk-UA"/>
        </w:rPr>
        <w:t xml:space="preserve"> Також даний контингент дітей має бути під наглядом лікарів-педіатрів та лікарів-алергологів у зв</w:t>
      </w:r>
      <w:r w:rsidR="008119BC" w:rsidRPr="008119BC">
        <w:rPr>
          <w:rFonts w:ascii="Times New Roman" w:hAnsi="Times New Roman" w:cs="Times New Roman"/>
          <w:sz w:val="28"/>
          <w:szCs w:val="28"/>
          <w:lang w:val="uk-UA"/>
        </w:rPr>
        <w:t>’</w:t>
      </w:r>
      <w:r w:rsidR="008119BC">
        <w:rPr>
          <w:rFonts w:ascii="Times New Roman" w:hAnsi="Times New Roman" w:cs="Times New Roman"/>
          <w:sz w:val="28"/>
          <w:szCs w:val="28"/>
          <w:lang w:val="uk-UA"/>
        </w:rPr>
        <w:t>язку з ризиком формування або прогресування атопічних захворювань. Крім цього, з 5-річного  віку діти з групи ризику мають бути на диспансерному обліку у лікаря-стоматолога з оглядом один раз на шість місяців та неінвазивним контролем рівнів біомаркерів запалення тканин пародонту.</w:t>
      </w:r>
    </w:p>
    <w:p w14:paraId="4474466B" w14:textId="77777777" w:rsidR="00936303" w:rsidRPr="00936303" w:rsidRDefault="00936303" w:rsidP="00936303">
      <w:pPr>
        <w:spacing w:after="0" w:line="360" w:lineRule="auto"/>
        <w:ind w:firstLine="709"/>
        <w:jc w:val="both"/>
        <w:rPr>
          <w:rFonts w:ascii="Times New Roman" w:hAnsi="Times New Roman" w:cs="Times New Roman"/>
          <w:sz w:val="28"/>
          <w:szCs w:val="28"/>
          <w:lang w:val="uk-UA"/>
        </w:rPr>
      </w:pPr>
    </w:p>
    <w:p w14:paraId="19A219A0" w14:textId="0F83F32B" w:rsidR="0087146D" w:rsidRPr="00936303" w:rsidRDefault="00B0245E" w:rsidP="00936303">
      <w:pPr>
        <w:pStyle w:val="Heading3"/>
        <w:spacing w:before="0" w:line="360" w:lineRule="auto"/>
        <w:ind w:firstLine="709"/>
        <w:rPr>
          <w:rFonts w:ascii="Times New Roman" w:hAnsi="Times New Roman" w:cs="Times New Roman"/>
          <w:color w:val="auto"/>
          <w:sz w:val="28"/>
          <w:szCs w:val="28"/>
          <w:lang w:val="uk-UA"/>
        </w:rPr>
      </w:pPr>
      <w:bookmarkStart w:id="32" w:name="_Toc507575325"/>
      <w:r w:rsidRPr="00936303">
        <w:rPr>
          <w:rFonts w:ascii="Times New Roman" w:hAnsi="Times New Roman" w:cs="Times New Roman"/>
          <w:color w:val="auto"/>
          <w:sz w:val="28"/>
          <w:szCs w:val="28"/>
          <w:lang w:val="uk-UA"/>
        </w:rPr>
        <w:t xml:space="preserve">7.2 </w:t>
      </w:r>
      <w:r w:rsidR="001624CF" w:rsidRPr="00936303">
        <w:rPr>
          <w:rFonts w:ascii="Times New Roman" w:hAnsi="Times New Roman" w:cs="Times New Roman"/>
          <w:color w:val="auto"/>
          <w:sz w:val="28"/>
          <w:szCs w:val="28"/>
          <w:lang w:val="uk-UA"/>
        </w:rPr>
        <w:t>Результати епідеміологічних досліджень</w:t>
      </w:r>
      <w:r w:rsidR="00B11C46" w:rsidRPr="00936303">
        <w:rPr>
          <w:rFonts w:ascii="Times New Roman" w:hAnsi="Times New Roman" w:cs="Times New Roman"/>
          <w:color w:val="auto"/>
          <w:sz w:val="28"/>
          <w:szCs w:val="28"/>
          <w:lang w:val="uk-UA"/>
        </w:rPr>
        <w:t xml:space="preserve"> як предиктивного інструменту у профілактиці гінгівіту</w:t>
      </w:r>
      <w:bookmarkEnd w:id="32"/>
    </w:p>
    <w:p w14:paraId="7D74D306" w14:textId="1DEAD7B6" w:rsidR="00E96E97" w:rsidRDefault="00E96E97" w:rsidP="00936303">
      <w:pPr>
        <w:spacing w:after="0" w:line="360" w:lineRule="auto"/>
        <w:ind w:firstLine="709"/>
        <w:jc w:val="both"/>
        <w:rPr>
          <w:rFonts w:ascii="Times New Roman" w:hAnsi="Times New Roman"/>
          <w:sz w:val="28"/>
          <w:szCs w:val="28"/>
          <w:lang w:val="uk-UA"/>
        </w:rPr>
      </w:pPr>
      <w:r w:rsidRPr="00936303">
        <w:rPr>
          <w:rFonts w:ascii="Times New Roman" w:hAnsi="Times New Roman" w:cs="Times New Roman"/>
          <w:sz w:val="28"/>
          <w:szCs w:val="28"/>
          <w:lang w:val="uk-UA"/>
        </w:rPr>
        <w:t>Для з’ясування можливості та необхідності профілактики хронічного гінгівіту через гігієнічне виховання молоді, нами було проведене традиційне епідеміологічне дослідження</w:t>
      </w:r>
      <w:r w:rsidR="00FB3A3B" w:rsidRPr="00936303">
        <w:rPr>
          <w:rFonts w:ascii="Times New Roman" w:hAnsi="Times New Roman"/>
          <w:sz w:val="28"/>
          <w:szCs w:val="28"/>
          <w:lang w:val="uk-UA"/>
        </w:rPr>
        <w:t xml:space="preserve"> </w:t>
      </w:r>
      <w:r w:rsidR="00FB3A3B">
        <w:rPr>
          <w:rFonts w:ascii="Times New Roman" w:hAnsi="Times New Roman"/>
          <w:sz w:val="28"/>
          <w:szCs w:val="28"/>
          <w:lang w:val="uk-UA"/>
        </w:rPr>
        <w:t>анкетно-опитувальним методом</w:t>
      </w:r>
      <w:r>
        <w:rPr>
          <w:rFonts w:ascii="Times New Roman" w:hAnsi="Times New Roman"/>
          <w:sz w:val="28"/>
          <w:szCs w:val="28"/>
          <w:lang w:val="uk-UA"/>
        </w:rPr>
        <w:t>, рекомендоване ВООЗ, з метою визначення рівня знань школярів.</w:t>
      </w:r>
    </w:p>
    <w:p w14:paraId="0784E254" w14:textId="79CACAAF"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uk-UA"/>
        </w:rPr>
        <w:t xml:space="preserve">За результатами дослідження суб'єктивна оцінка здоров'я порожнини рота у більшості респондентів відповідала рівню </w:t>
      </w:r>
      <w:r w:rsidRPr="00E96E97">
        <w:rPr>
          <w:rFonts w:ascii="Times New Roman" w:hAnsi="Times New Roman"/>
          <w:sz w:val="28"/>
          <w:szCs w:val="28"/>
          <w:lang w:val="ru-RU"/>
        </w:rPr>
        <w:t xml:space="preserve">«добре» (34,8 ± 1,2%); </w:t>
      </w:r>
      <w:r>
        <w:rPr>
          <w:rFonts w:ascii="Times New Roman" w:hAnsi="Times New Roman"/>
          <w:sz w:val="28"/>
          <w:szCs w:val="28"/>
          <w:lang w:val="ru-RU"/>
        </w:rPr>
        <w:t xml:space="preserve">у той час </w:t>
      </w:r>
      <w:r w:rsidRPr="00E96E97">
        <w:rPr>
          <w:rFonts w:ascii="Times New Roman" w:hAnsi="Times New Roman"/>
          <w:sz w:val="28"/>
          <w:szCs w:val="28"/>
          <w:lang w:val="ru-RU"/>
        </w:rPr>
        <w:t>як «відмінно» готові були оцінити лише 18,7 ± 0,98% опитаних. У той же час 16,2 ± 1,13% школярів вважали, що рівень здоров'я їхніх зубів відповідають рівню «дуже добре». 15,4 ± 0,93% респондентів відповіли «посередньо», 11,2 ± 1,3% оцінили стан зубів як «погано», 3,7 ± 0,79% опитаних були не задоволені станом своїх зубів і відповіли «дуже погано »</w:t>
      </w:r>
      <w:r w:rsidR="00534F67" w:rsidRPr="00534F67">
        <w:rPr>
          <w:rFonts w:ascii="Times New Roman" w:hAnsi="Times New Roman"/>
          <w:sz w:val="28"/>
          <w:szCs w:val="28"/>
          <w:lang w:val="ru-RU"/>
        </w:rPr>
        <w:t xml:space="preserve"> [301]</w:t>
      </w:r>
      <w:r w:rsidRPr="00E96E97">
        <w:rPr>
          <w:rFonts w:ascii="Times New Roman" w:hAnsi="Times New Roman"/>
          <w:sz w:val="28"/>
          <w:szCs w:val="28"/>
          <w:lang w:val="ru-RU"/>
        </w:rPr>
        <w:t>.</w:t>
      </w:r>
    </w:p>
    <w:p w14:paraId="2252DD49" w14:textId="77777777"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Цікавим є той факт, що, незважаючи на досить високу суб'єктивну оцінку власного здоров'я порожнини рота, часто скаржаться на дискомфорт 21,28% опитаних, часом відзначали дискомфорт 42,51% школярів, «рідко» відповіли 18,5%, «ніколи» - 8,24%, «не знаю» - 9,47% опитаних.</w:t>
      </w:r>
    </w:p>
    <w:p w14:paraId="565EE250" w14:textId="32532F68"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 xml:space="preserve">Аналіз даних анкетування показав, </w:t>
      </w:r>
      <w:r>
        <w:rPr>
          <w:rFonts w:ascii="Times New Roman" w:hAnsi="Times New Roman"/>
          <w:sz w:val="28"/>
          <w:szCs w:val="28"/>
          <w:lang w:val="ru-RU"/>
        </w:rPr>
        <w:t>що у більшості опитаних відсутня</w:t>
      </w:r>
      <w:r w:rsidRPr="00E96E97">
        <w:rPr>
          <w:rFonts w:ascii="Times New Roman" w:hAnsi="Times New Roman"/>
          <w:sz w:val="28"/>
          <w:szCs w:val="28"/>
          <w:lang w:val="ru-RU"/>
        </w:rPr>
        <w:t xml:space="preserve"> необхідна систематичність відвідувань. Тільки 18,39% опитаних відзначили дворазове відвідування стоматолога за</w:t>
      </w:r>
      <w:r>
        <w:rPr>
          <w:rFonts w:ascii="Times New Roman" w:hAnsi="Times New Roman"/>
          <w:sz w:val="28"/>
          <w:szCs w:val="28"/>
          <w:lang w:val="ru-RU"/>
        </w:rPr>
        <w:t xml:space="preserve"> рік, 25,95% заявили про щорічні огляди</w:t>
      </w:r>
      <w:r w:rsidRPr="00E96E97">
        <w:rPr>
          <w:rFonts w:ascii="Times New Roman" w:hAnsi="Times New Roman"/>
          <w:sz w:val="28"/>
          <w:szCs w:val="28"/>
          <w:lang w:val="ru-RU"/>
        </w:rPr>
        <w:t xml:space="preserve"> у стоматолога. Несприятливим для прогнозу стоматологічних захворювань є той факт, що 36,92% школярів не відвідували стоматолога за останні 12 місяців, 12,74% відповіли, що вони ніколи не були на прийомі у стоматолога. При цьому найбільш частою причиною звернення до стоматолога була наявність дискомфорту або болю (42,54%), для профілактичного огляду звернулися всього лише 12,68%, з приводу лікування або продовження лікування зверталися 35,75% респондентів, 9,03% не пам'ятають причину, по якій вони відвідали стоматолога.</w:t>
      </w:r>
    </w:p>
    <w:p w14:paraId="0F76E6AE" w14:textId="77777777"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Опитування з приводу використовуваних засобів індивідуальної гігієни порожнини рота показав, що 100% опитаних застосовують зубну щітку, тільки 28,55% застосовують додатково зубну нитку, 84% школярів назвали жувальну гумку як додатковий засіб гігієни, 16,14% вказали додатково зубочистку. Як показали результати анкетування, 35,8% опитаних не можуть відповісти на питання про наявність фтору в використовуваної ними зубній пасті.</w:t>
      </w:r>
    </w:p>
    <w:p w14:paraId="2F318444" w14:textId="77777777" w:rsidR="00E96E97" w:rsidRP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Незважаючи на досить високу суб'єктивну оцінку здоров'я порожнини рота і низьку частоту відвідувань стоматолога, школярі відзначали у себе такі проблеми: 24,75% опитаних були незадоволені зовнішнім виглядом зубів, 10,64% відповіли, що вони не хочуть посміхатися через своїх зубів, 8,49% вказали, що інші діти сміються над ними, 18,54% опитаних відзначили, що відчувають біль і дискомфорт при жуванні.</w:t>
      </w:r>
    </w:p>
    <w:p w14:paraId="2B6F5CA4" w14:textId="19ABF541" w:rsidR="001624CF" w:rsidRPr="002804DE"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Блок питань, який характеризував раціон школярів, показав високий вміст вуглеводної їжі. Наприклад, вживання солодощів щодня зазначалося у 94,56% опитаних. У той же час, свіжі овочі і фрукти вживають щодня тільки 32,49% школярів.</w:t>
      </w:r>
      <w:r w:rsidR="001624CF" w:rsidRPr="002804DE">
        <w:rPr>
          <w:rFonts w:ascii="Times New Roman" w:hAnsi="Times New Roman"/>
          <w:sz w:val="28"/>
          <w:szCs w:val="28"/>
          <w:lang w:val="ru-RU"/>
        </w:rPr>
        <w:t xml:space="preserve"> </w:t>
      </w:r>
    </w:p>
    <w:p w14:paraId="14E30ED2" w14:textId="3CCC9C04" w:rsidR="00E96E97" w:rsidRDefault="00E96E97" w:rsidP="00F7440D">
      <w:pPr>
        <w:spacing w:after="0" w:line="360" w:lineRule="auto"/>
        <w:ind w:firstLine="709"/>
        <w:jc w:val="both"/>
        <w:rPr>
          <w:rFonts w:ascii="Times New Roman" w:hAnsi="Times New Roman"/>
          <w:sz w:val="28"/>
          <w:szCs w:val="28"/>
          <w:lang w:val="ru-RU"/>
        </w:rPr>
      </w:pPr>
      <w:r w:rsidRPr="00E96E97">
        <w:rPr>
          <w:rFonts w:ascii="Times New Roman" w:hAnsi="Times New Roman"/>
          <w:sz w:val="28"/>
          <w:szCs w:val="28"/>
          <w:lang w:val="ru-RU"/>
        </w:rPr>
        <w:t>Проведене анкетування також мало на увазі встановлення взаємозв'язку між рівнем гігієнічних знань і навичок підлітків і рівнем освіти їх батьків як основи стоматологічних знань даного контингенту. Аналіз отри</w:t>
      </w:r>
      <w:r w:rsidR="00CD0C56">
        <w:rPr>
          <w:rFonts w:ascii="Times New Roman" w:hAnsi="Times New Roman"/>
          <w:sz w:val="28"/>
          <w:szCs w:val="28"/>
          <w:lang w:val="ru-RU"/>
        </w:rPr>
        <w:t>маних даних показав, що у більшість</w:t>
      </w:r>
      <w:r w:rsidRPr="00E96E97">
        <w:rPr>
          <w:rFonts w:ascii="Times New Roman" w:hAnsi="Times New Roman"/>
          <w:sz w:val="28"/>
          <w:szCs w:val="28"/>
          <w:lang w:val="ru-RU"/>
        </w:rPr>
        <w:t xml:space="preserve"> батьків (88,65%) </w:t>
      </w:r>
      <w:r w:rsidR="00CD0C56">
        <w:rPr>
          <w:rFonts w:ascii="Times New Roman" w:hAnsi="Times New Roman"/>
          <w:sz w:val="28"/>
          <w:szCs w:val="28"/>
          <w:lang w:val="ru-RU"/>
        </w:rPr>
        <w:t xml:space="preserve">мали </w:t>
      </w:r>
      <w:r w:rsidRPr="00E96E97">
        <w:rPr>
          <w:rFonts w:ascii="Times New Roman" w:hAnsi="Times New Roman"/>
          <w:sz w:val="28"/>
          <w:szCs w:val="28"/>
          <w:lang w:val="ru-RU"/>
        </w:rPr>
        <w:t>вищу освіту. При цьому, як показали дані анкетування, рівень стоматологічних знань підлітків досить низький.</w:t>
      </w:r>
    </w:p>
    <w:p w14:paraId="79338714" w14:textId="04464AA9" w:rsidR="001624CF" w:rsidRDefault="00E96E97" w:rsidP="00F7440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Таким чином, а</w:t>
      </w:r>
      <w:r w:rsidRPr="00E96E97">
        <w:rPr>
          <w:rFonts w:ascii="Times New Roman" w:hAnsi="Times New Roman"/>
          <w:sz w:val="28"/>
          <w:szCs w:val="28"/>
          <w:lang w:val="ru-RU"/>
        </w:rPr>
        <w:t>наліз даних анкетування показав, що рівень гігієнічних знань недостатній серед школярів, що є значним фактором ризику розвитку стоматологічних захворювань в подальшому. Перспективною є розробка методів освіти дитячого контингенту з урахуванням найбільш проблемних питань, виявлених в результаті проведеного анкетування.</w:t>
      </w:r>
    </w:p>
    <w:p w14:paraId="05228FD3" w14:textId="77777777" w:rsidR="00F7440D" w:rsidRPr="00936303" w:rsidRDefault="00F7440D" w:rsidP="00936303">
      <w:pPr>
        <w:spacing w:after="0" w:line="360" w:lineRule="auto"/>
        <w:ind w:firstLine="709"/>
        <w:jc w:val="both"/>
        <w:rPr>
          <w:rFonts w:ascii="Times New Roman" w:hAnsi="Times New Roman" w:cs="Times New Roman"/>
          <w:sz w:val="28"/>
          <w:szCs w:val="28"/>
          <w:lang w:val="ru-RU"/>
        </w:rPr>
      </w:pPr>
    </w:p>
    <w:p w14:paraId="6F3A230F" w14:textId="1C40FFB7" w:rsidR="00BB412C" w:rsidRPr="00936303" w:rsidRDefault="00BB412C" w:rsidP="00936303">
      <w:pPr>
        <w:pStyle w:val="Heading3"/>
        <w:spacing w:line="360" w:lineRule="auto"/>
        <w:ind w:firstLine="709"/>
        <w:rPr>
          <w:rFonts w:ascii="Times New Roman" w:hAnsi="Times New Roman" w:cs="Times New Roman"/>
          <w:color w:val="auto"/>
          <w:sz w:val="28"/>
          <w:szCs w:val="28"/>
          <w:lang w:val="ru-RU"/>
        </w:rPr>
      </w:pPr>
      <w:bookmarkStart w:id="33" w:name="_Toc507575326"/>
      <w:r w:rsidRPr="00936303">
        <w:rPr>
          <w:rFonts w:ascii="Times New Roman" w:hAnsi="Times New Roman" w:cs="Times New Roman"/>
          <w:color w:val="auto"/>
          <w:sz w:val="28"/>
          <w:szCs w:val="28"/>
          <w:lang w:val="ru-RU"/>
        </w:rPr>
        <w:t xml:space="preserve">7.3 </w:t>
      </w:r>
      <w:r w:rsidR="005B3CAA" w:rsidRPr="00936303">
        <w:rPr>
          <w:rFonts w:ascii="Times New Roman" w:hAnsi="Times New Roman" w:cs="Times New Roman"/>
          <w:color w:val="auto"/>
          <w:sz w:val="28"/>
          <w:szCs w:val="28"/>
          <w:lang w:val="uk-UA"/>
        </w:rPr>
        <w:t xml:space="preserve">Можливості </w:t>
      </w:r>
      <w:r w:rsidR="005B3CAA" w:rsidRPr="00936303">
        <w:rPr>
          <w:rFonts w:ascii="Times New Roman" w:hAnsi="Times New Roman" w:cs="Times New Roman"/>
          <w:color w:val="auto"/>
          <w:sz w:val="28"/>
          <w:szCs w:val="28"/>
          <w:lang w:val="ru-RU"/>
        </w:rPr>
        <w:t>в</w:t>
      </w:r>
      <w:r w:rsidRPr="00936303">
        <w:rPr>
          <w:rFonts w:ascii="Times New Roman" w:hAnsi="Times New Roman" w:cs="Times New Roman"/>
          <w:color w:val="auto"/>
          <w:sz w:val="28"/>
          <w:szCs w:val="28"/>
          <w:lang w:val="ru-RU"/>
        </w:rPr>
        <w:t xml:space="preserve">икористання </w:t>
      </w:r>
      <w:r w:rsidR="00A2227C" w:rsidRPr="00936303">
        <w:rPr>
          <w:rFonts w:ascii="Times New Roman" w:hAnsi="Times New Roman" w:cs="Times New Roman"/>
          <w:color w:val="auto"/>
          <w:sz w:val="28"/>
          <w:szCs w:val="28"/>
          <w:lang w:val="ru-RU"/>
        </w:rPr>
        <w:t xml:space="preserve">параклінічних </w:t>
      </w:r>
      <w:r w:rsidRPr="00936303">
        <w:rPr>
          <w:rFonts w:ascii="Times New Roman" w:hAnsi="Times New Roman" w:cs="Times New Roman"/>
          <w:color w:val="auto"/>
          <w:sz w:val="28"/>
          <w:szCs w:val="28"/>
          <w:lang w:val="ru-RU"/>
        </w:rPr>
        <w:t xml:space="preserve">методів для ранньої діагностики та прогнозу </w:t>
      </w:r>
      <w:r w:rsidR="00687E26" w:rsidRPr="00936303">
        <w:rPr>
          <w:rFonts w:ascii="Times New Roman" w:hAnsi="Times New Roman" w:cs="Times New Roman"/>
          <w:color w:val="auto"/>
          <w:sz w:val="28"/>
          <w:szCs w:val="28"/>
          <w:lang w:val="ru-RU"/>
        </w:rPr>
        <w:t>у дітей з атопічними захворюваннями</w:t>
      </w:r>
      <w:bookmarkEnd w:id="33"/>
    </w:p>
    <w:p w14:paraId="647326E4" w14:textId="6930899F" w:rsidR="005B3CAA" w:rsidRPr="00814C64" w:rsidRDefault="005B3CAA" w:rsidP="00936303">
      <w:pPr>
        <w:spacing w:after="0" w:line="360" w:lineRule="auto"/>
        <w:ind w:firstLine="709"/>
        <w:jc w:val="both"/>
        <w:rPr>
          <w:rFonts w:ascii="Times New Roman" w:hAnsi="Times New Roman"/>
          <w:sz w:val="28"/>
          <w:szCs w:val="28"/>
          <w:lang w:val="ru-RU"/>
        </w:rPr>
      </w:pPr>
      <w:r w:rsidRPr="00936303">
        <w:rPr>
          <w:rFonts w:ascii="Times New Roman" w:hAnsi="Times New Roman" w:cs="Times New Roman"/>
          <w:sz w:val="28"/>
          <w:szCs w:val="28"/>
          <w:lang w:val="ru-RU"/>
        </w:rPr>
        <w:t>Комп'ютерна томографія</w:t>
      </w:r>
      <w:r w:rsidRPr="00936303">
        <w:rPr>
          <w:rFonts w:ascii="Times New Roman" w:hAnsi="Times New Roman"/>
          <w:sz w:val="28"/>
          <w:szCs w:val="28"/>
          <w:lang w:val="ru-RU"/>
        </w:rPr>
        <w:t xml:space="preserve"> </w:t>
      </w:r>
      <w:r w:rsidRPr="005B3CAA">
        <w:rPr>
          <w:rFonts w:ascii="Times New Roman" w:hAnsi="Times New Roman"/>
          <w:sz w:val="28"/>
          <w:szCs w:val="28"/>
          <w:lang w:val="ru-RU"/>
        </w:rPr>
        <w:t>(КТ) є одним з найбільш поширених та корисних способів сканування для дослідження легені</w:t>
      </w:r>
      <w:r>
        <w:rPr>
          <w:rFonts w:ascii="Times New Roman" w:hAnsi="Times New Roman"/>
          <w:sz w:val="28"/>
          <w:szCs w:val="28"/>
          <w:lang w:val="ru-RU"/>
        </w:rPr>
        <w:t>в</w:t>
      </w:r>
      <w:r w:rsidRPr="005B3CAA">
        <w:rPr>
          <w:rFonts w:ascii="Times New Roman" w:hAnsi="Times New Roman"/>
          <w:sz w:val="28"/>
          <w:szCs w:val="28"/>
          <w:lang w:val="ru-RU"/>
        </w:rPr>
        <w:t xml:space="preserve"> in vivo. Вичерпна природа функціональної діагностики з даними КТ підвищує ймовірність </w:t>
      </w:r>
      <w:r>
        <w:rPr>
          <w:rFonts w:ascii="Times New Roman" w:hAnsi="Times New Roman"/>
          <w:sz w:val="28"/>
          <w:szCs w:val="28"/>
          <w:lang w:val="ru-RU"/>
        </w:rPr>
        <w:t>похибок</w:t>
      </w:r>
      <w:r w:rsidRPr="005B3CAA">
        <w:rPr>
          <w:rFonts w:ascii="Times New Roman" w:hAnsi="Times New Roman"/>
          <w:sz w:val="28"/>
          <w:szCs w:val="28"/>
          <w:lang w:val="ru-RU"/>
        </w:rPr>
        <w:t xml:space="preserve"> радіологів і робить КТ ідеальним кандидатом для автоматичної обробки даних або </w:t>
      </w:r>
      <w:r>
        <w:rPr>
          <w:rFonts w:ascii="Times New Roman" w:hAnsi="Times New Roman"/>
          <w:sz w:val="28"/>
          <w:szCs w:val="28"/>
          <w:lang w:val="ru-RU"/>
        </w:rPr>
        <w:t>застосування інших новітніх технологій</w:t>
      </w:r>
      <w:r w:rsidRPr="005B3CAA">
        <w:rPr>
          <w:rFonts w:ascii="Times New Roman" w:hAnsi="Times New Roman"/>
          <w:sz w:val="28"/>
          <w:szCs w:val="28"/>
          <w:lang w:val="ru-RU"/>
        </w:rPr>
        <w:t xml:space="preserve">, розроблених для </w:t>
      </w:r>
      <w:r>
        <w:rPr>
          <w:rFonts w:ascii="Times New Roman" w:hAnsi="Times New Roman"/>
          <w:sz w:val="28"/>
          <w:szCs w:val="28"/>
          <w:lang w:val="ru-RU"/>
        </w:rPr>
        <w:t>покращення діагностики</w:t>
      </w:r>
      <w:r w:rsidRPr="005B3CAA">
        <w:rPr>
          <w:rFonts w:ascii="Times New Roman" w:hAnsi="Times New Roman"/>
          <w:sz w:val="28"/>
          <w:szCs w:val="28"/>
          <w:lang w:val="ru-RU"/>
        </w:rPr>
        <w:t>. В</w:t>
      </w:r>
      <w:r w:rsidRPr="00F7440D">
        <w:rPr>
          <w:rFonts w:ascii="Times New Roman" w:hAnsi="Times New Roman"/>
          <w:sz w:val="28"/>
          <w:szCs w:val="28"/>
          <w:lang w:val="ru-RU"/>
        </w:rPr>
        <w:t xml:space="preserve"> </w:t>
      </w:r>
      <w:r w:rsidRPr="005B3CAA">
        <w:rPr>
          <w:rFonts w:ascii="Times New Roman" w:hAnsi="Times New Roman"/>
          <w:sz w:val="28"/>
          <w:szCs w:val="28"/>
          <w:lang w:val="ru-RU"/>
        </w:rPr>
        <w:t>останні</w:t>
      </w:r>
      <w:r w:rsidRPr="00F7440D">
        <w:rPr>
          <w:rFonts w:ascii="Times New Roman" w:hAnsi="Times New Roman"/>
          <w:sz w:val="28"/>
          <w:szCs w:val="28"/>
          <w:lang w:val="ru-RU"/>
        </w:rPr>
        <w:t xml:space="preserve"> </w:t>
      </w:r>
      <w:r w:rsidRPr="005B3CAA">
        <w:rPr>
          <w:rFonts w:ascii="Times New Roman" w:hAnsi="Times New Roman"/>
          <w:sz w:val="28"/>
          <w:szCs w:val="28"/>
          <w:lang w:val="ru-RU"/>
        </w:rPr>
        <w:t>роки</w:t>
      </w:r>
      <w:r w:rsidRPr="00F7440D">
        <w:rPr>
          <w:rFonts w:ascii="Times New Roman" w:hAnsi="Times New Roman"/>
          <w:sz w:val="28"/>
          <w:szCs w:val="28"/>
          <w:lang w:val="ru-RU"/>
        </w:rPr>
        <w:t xml:space="preserve"> </w:t>
      </w:r>
      <w:r>
        <w:rPr>
          <w:rFonts w:ascii="Times New Roman" w:hAnsi="Times New Roman"/>
          <w:sz w:val="28"/>
          <w:szCs w:val="28"/>
          <w:lang w:val="ru-RU"/>
        </w:rPr>
        <w:t>є</w:t>
      </w:r>
      <w:r w:rsidRPr="00F7440D">
        <w:rPr>
          <w:rFonts w:ascii="Times New Roman" w:hAnsi="Times New Roman"/>
          <w:sz w:val="28"/>
          <w:szCs w:val="28"/>
          <w:lang w:val="ru-RU"/>
        </w:rPr>
        <w:t xml:space="preserve"> </w:t>
      </w:r>
      <w:r w:rsidRPr="005B3CAA">
        <w:rPr>
          <w:rFonts w:ascii="Times New Roman" w:hAnsi="Times New Roman"/>
          <w:sz w:val="28"/>
          <w:szCs w:val="28"/>
          <w:lang w:val="ru-RU"/>
        </w:rPr>
        <w:t>велика</w:t>
      </w:r>
      <w:r w:rsidRPr="00F7440D">
        <w:rPr>
          <w:rFonts w:ascii="Times New Roman" w:hAnsi="Times New Roman"/>
          <w:sz w:val="28"/>
          <w:szCs w:val="28"/>
          <w:lang w:val="ru-RU"/>
        </w:rPr>
        <w:t xml:space="preserve"> </w:t>
      </w:r>
      <w:r w:rsidRPr="005B3CAA">
        <w:rPr>
          <w:rFonts w:ascii="Times New Roman" w:hAnsi="Times New Roman"/>
          <w:sz w:val="28"/>
          <w:szCs w:val="28"/>
          <w:lang w:val="ru-RU"/>
        </w:rPr>
        <w:t>кількість</w:t>
      </w:r>
      <w:r w:rsidRPr="00F7440D">
        <w:rPr>
          <w:rFonts w:ascii="Times New Roman" w:hAnsi="Times New Roman"/>
          <w:sz w:val="28"/>
          <w:szCs w:val="28"/>
          <w:lang w:val="ru-RU"/>
        </w:rPr>
        <w:t xml:space="preserve"> </w:t>
      </w:r>
      <w:r w:rsidRPr="005B3CAA">
        <w:rPr>
          <w:rFonts w:ascii="Times New Roman" w:hAnsi="Times New Roman"/>
          <w:sz w:val="28"/>
          <w:szCs w:val="28"/>
          <w:lang w:val="ru-RU"/>
        </w:rPr>
        <w:t>досліджень</w:t>
      </w:r>
      <w:r w:rsidRPr="00F7440D">
        <w:rPr>
          <w:rFonts w:ascii="Times New Roman" w:hAnsi="Times New Roman"/>
          <w:sz w:val="28"/>
          <w:szCs w:val="28"/>
          <w:lang w:val="ru-RU"/>
        </w:rPr>
        <w:t xml:space="preserve"> </w:t>
      </w:r>
      <w:r w:rsidRPr="005B3CAA">
        <w:rPr>
          <w:rFonts w:ascii="Times New Roman" w:hAnsi="Times New Roman"/>
          <w:sz w:val="28"/>
          <w:szCs w:val="28"/>
          <w:lang w:val="ru-RU"/>
        </w:rPr>
        <w:t>з</w:t>
      </w:r>
      <w:r w:rsidRPr="00F7440D">
        <w:rPr>
          <w:rFonts w:ascii="Times New Roman" w:hAnsi="Times New Roman"/>
          <w:sz w:val="28"/>
          <w:szCs w:val="28"/>
          <w:lang w:val="ru-RU"/>
        </w:rPr>
        <w:t xml:space="preserve"> </w:t>
      </w:r>
      <w:r w:rsidRPr="005B3CAA">
        <w:rPr>
          <w:rFonts w:ascii="Times New Roman" w:hAnsi="Times New Roman"/>
          <w:sz w:val="28"/>
          <w:szCs w:val="28"/>
          <w:lang w:val="ru-RU"/>
        </w:rPr>
        <w:t>автоматичної</w:t>
      </w:r>
      <w:r w:rsidRPr="00F7440D">
        <w:rPr>
          <w:rFonts w:ascii="Times New Roman" w:hAnsi="Times New Roman"/>
          <w:sz w:val="28"/>
          <w:szCs w:val="28"/>
          <w:lang w:val="ru-RU"/>
        </w:rPr>
        <w:t xml:space="preserve"> </w:t>
      </w:r>
      <w:r w:rsidRPr="005B3CAA">
        <w:rPr>
          <w:rFonts w:ascii="Times New Roman" w:hAnsi="Times New Roman"/>
          <w:sz w:val="28"/>
          <w:szCs w:val="28"/>
          <w:lang w:val="ru-RU"/>
        </w:rPr>
        <w:t>обробки</w:t>
      </w:r>
      <w:r w:rsidRPr="00F7440D">
        <w:rPr>
          <w:rFonts w:ascii="Times New Roman" w:hAnsi="Times New Roman"/>
          <w:sz w:val="28"/>
          <w:szCs w:val="28"/>
          <w:lang w:val="ru-RU"/>
        </w:rPr>
        <w:t xml:space="preserve"> </w:t>
      </w:r>
      <w:r w:rsidRPr="005B3CAA">
        <w:rPr>
          <w:rFonts w:ascii="Times New Roman" w:hAnsi="Times New Roman"/>
          <w:sz w:val="28"/>
          <w:szCs w:val="28"/>
          <w:lang w:val="ru-RU"/>
        </w:rPr>
        <w:t>торакальної</w:t>
      </w:r>
      <w:r w:rsidRPr="00F7440D">
        <w:rPr>
          <w:rFonts w:ascii="Times New Roman" w:hAnsi="Times New Roman"/>
          <w:sz w:val="28"/>
          <w:szCs w:val="28"/>
          <w:lang w:val="ru-RU"/>
        </w:rPr>
        <w:t xml:space="preserve"> </w:t>
      </w:r>
      <w:r w:rsidRPr="005B3CAA">
        <w:rPr>
          <w:rFonts w:ascii="Times New Roman" w:hAnsi="Times New Roman"/>
          <w:sz w:val="28"/>
          <w:szCs w:val="28"/>
          <w:lang w:val="ru-RU"/>
        </w:rPr>
        <w:t>КТ</w:t>
      </w:r>
      <w:r w:rsidRPr="00F7440D">
        <w:rPr>
          <w:rFonts w:ascii="Times New Roman" w:hAnsi="Times New Roman"/>
          <w:sz w:val="28"/>
          <w:szCs w:val="28"/>
          <w:lang w:val="ru-RU"/>
        </w:rPr>
        <w:t xml:space="preserve"> [</w:t>
      </w:r>
      <w:r w:rsidR="009C7A8A">
        <w:rPr>
          <w:rFonts w:ascii="Times New Roman" w:hAnsi="Times New Roman"/>
          <w:sz w:val="28"/>
          <w:szCs w:val="28"/>
          <w:lang w:val="ru-RU"/>
        </w:rPr>
        <w:t>302</w:t>
      </w:r>
      <w:r w:rsidR="00F7440D" w:rsidRPr="00F7440D">
        <w:rPr>
          <w:rFonts w:ascii="Times New Roman" w:hAnsi="Times New Roman"/>
          <w:sz w:val="28"/>
          <w:szCs w:val="28"/>
          <w:lang w:val="ru-RU"/>
        </w:rPr>
        <w:t>]</w:t>
      </w:r>
      <w:r w:rsidRPr="00F7440D">
        <w:rPr>
          <w:rFonts w:ascii="Times New Roman" w:hAnsi="Times New Roman"/>
          <w:sz w:val="28"/>
          <w:szCs w:val="28"/>
          <w:lang w:val="ru-RU"/>
        </w:rPr>
        <w:t xml:space="preserve">. </w:t>
      </w:r>
      <w:r w:rsidRPr="005B3CAA">
        <w:rPr>
          <w:rFonts w:ascii="Times New Roman" w:hAnsi="Times New Roman"/>
          <w:sz w:val="28"/>
          <w:szCs w:val="28"/>
          <w:lang w:val="ru-RU"/>
        </w:rPr>
        <w:t>Концепція</w:t>
      </w:r>
      <w:r w:rsidRPr="00814C64">
        <w:rPr>
          <w:rFonts w:ascii="Times New Roman" w:hAnsi="Times New Roman"/>
          <w:sz w:val="28"/>
          <w:szCs w:val="28"/>
          <w:lang w:val="ru-RU"/>
        </w:rPr>
        <w:t xml:space="preserve"> </w:t>
      </w:r>
      <w:r w:rsidRPr="005B3CAA">
        <w:rPr>
          <w:rFonts w:ascii="Times New Roman" w:hAnsi="Times New Roman"/>
          <w:sz w:val="28"/>
          <w:szCs w:val="28"/>
          <w:lang w:val="ru-RU"/>
        </w:rPr>
        <w:t>публічного</w:t>
      </w:r>
      <w:r w:rsidRPr="00814C64">
        <w:rPr>
          <w:rFonts w:ascii="Times New Roman" w:hAnsi="Times New Roman"/>
          <w:sz w:val="28"/>
          <w:szCs w:val="28"/>
          <w:lang w:val="ru-RU"/>
        </w:rPr>
        <w:t xml:space="preserve"> </w:t>
      </w:r>
      <w:r w:rsidRPr="005B3CAA">
        <w:rPr>
          <w:rFonts w:ascii="Times New Roman" w:hAnsi="Times New Roman"/>
          <w:sz w:val="28"/>
          <w:szCs w:val="28"/>
          <w:lang w:val="ru-RU"/>
        </w:rPr>
        <w:t>виклику</w:t>
      </w:r>
      <w:r w:rsidRPr="00814C64">
        <w:rPr>
          <w:rFonts w:ascii="Times New Roman" w:hAnsi="Times New Roman"/>
          <w:sz w:val="28"/>
          <w:szCs w:val="28"/>
          <w:lang w:val="ru-RU"/>
        </w:rPr>
        <w:t xml:space="preserve"> </w:t>
      </w:r>
      <w:r w:rsidRPr="005B3CAA">
        <w:rPr>
          <w:rFonts w:ascii="Times New Roman" w:hAnsi="Times New Roman"/>
          <w:sz w:val="28"/>
          <w:szCs w:val="28"/>
          <w:lang w:val="ru-RU"/>
        </w:rPr>
        <w:t>забезпечує</w:t>
      </w:r>
      <w:r w:rsidRPr="00814C64">
        <w:rPr>
          <w:rFonts w:ascii="Times New Roman" w:hAnsi="Times New Roman"/>
          <w:sz w:val="28"/>
          <w:szCs w:val="28"/>
          <w:lang w:val="ru-RU"/>
        </w:rPr>
        <w:t xml:space="preserve"> </w:t>
      </w:r>
      <w:r w:rsidRPr="005B3CAA">
        <w:rPr>
          <w:rFonts w:ascii="Times New Roman" w:hAnsi="Times New Roman"/>
          <w:sz w:val="28"/>
          <w:szCs w:val="28"/>
          <w:lang w:val="ru-RU"/>
        </w:rPr>
        <w:t>пряме</w:t>
      </w:r>
      <w:r w:rsidRPr="00814C64">
        <w:rPr>
          <w:rFonts w:ascii="Times New Roman" w:hAnsi="Times New Roman"/>
          <w:sz w:val="28"/>
          <w:szCs w:val="28"/>
          <w:lang w:val="ru-RU"/>
        </w:rPr>
        <w:t xml:space="preserve"> </w:t>
      </w:r>
      <w:r w:rsidRPr="005B3CAA">
        <w:rPr>
          <w:rFonts w:ascii="Times New Roman" w:hAnsi="Times New Roman"/>
          <w:sz w:val="28"/>
          <w:szCs w:val="28"/>
          <w:lang w:val="ru-RU"/>
        </w:rPr>
        <w:t>порівняння</w:t>
      </w:r>
      <w:r w:rsidRPr="00814C64">
        <w:rPr>
          <w:rFonts w:ascii="Times New Roman" w:hAnsi="Times New Roman"/>
          <w:sz w:val="28"/>
          <w:szCs w:val="28"/>
          <w:lang w:val="ru-RU"/>
        </w:rPr>
        <w:t xml:space="preserve"> </w:t>
      </w:r>
      <w:r w:rsidRPr="005B3CAA">
        <w:rPr>
          <w:rFonts w:ascii="Times New Roman" w:hAnsi="Times New Roman"/>
          <w:sz w:val="28"/>
          <w:szCs w:val="28"/>
          <w:lang w:val="ru-RU"/>
        </w:rPr>
        <w:t>багатьох</w:t>
      </w:r>
      <w:r w:rsidRPr="00814C64">
        <w:rPr>
          <w:rFonts w:ascii="Times New Roman" w:hAnsi="Times New Roman"/>
          <w:sz w:val="28"/>
          <w:szCs w:val="28"/>
          <w:lang w:val="ru-RU"/>
        </w:rPr>
        <w:t xml:space="preserve"> </w:t>
      </w:r>
      <w:r w:rsidRPr="005B3CAA">
        <w:rPr>
          <w:rFonts w:ascii="Times New Roman" w:hAnsi="Times New Roman"/>
          <w:sz w:val="28"/>
          <w:szCs w:val="28"/>
          <w:lang w:val="ru-RU"/>
        </w:rPr>
        <w:t>алгоритмів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на</w:t>
      </w:r>
      <w:r w:rsidRPr="00814C64">
        <w:rPr>
          <w:rFonts w:ascii="Times New Roman" w:hAnsi="Times New Roman"/>
          <w:sz w:val="28"/>
          <w:szCs w:val="28"/>
          <w:lang w:val="ru-RU"/>
        </w:rPr>
        <w:t xml:space="preserve"> </w:t>
      </w:r>
      <w:r w:rsidRPr="005B3CAA">
        <w:rPr>
          <w:rFonts w:ascii="Times New Roman" w:hAnsi="Times New Roman"/>
          <w:sz w:val="28"/>
          <w:szCs w:val="28"/>
          <w:lang w:val="ru-RU"/>
        </w:rPr>
        <w:t>основі</w:t>
      </w:r>
      <w:r w:rsidRPr="00814C64">
        <w:rPr>
          <w:rFonts w:ascii="Times New Roman" w:hAnsi="Times New Roman"/>
          <w:sz w:val="28"/>
          <w:szCs w:val="28"/>
          <w:lang w:val="ru-RU"/>
        </w:rPr>
        <w:t xml:space="preserve"> </w:t>
      </w:r>
      <w:r w:rsidRPr="005B3CAA">
        <w:rPr>
          <w:rFonts w:ascii="Times New Roman" w:hAnsi="Times New Roman"/>
          <w:sz w:val="28"/>
          <w:szCs w:val="28"/>
          <w:lang w:val="ru-RU"/>
        </w:rPr>
        <w:t>ідентичних</w:t>
      </w:r>
      <w:r w:rsidRPr="00814C64">
        <w:rPr>
          <w:rFonts w:ascii="Times New Roman" w:hAnsi="Times New Roman"/>
          <w:sz w:val="28"/>
          <w:szCs w:val="28"/>
          <w:lang w:val="ru-RU"/>
        </w:rPr>
        <w:t xml:space="preserve"> </w:t>
      </w:r>
      <w:r w:rsidRPr="005B3CAA">
        <w:rPr>
          <w:rFonts w:ascii="Times New Roman" w:hAnsi="Times New Roman"/>
          <w:sz w:val="28"/>
          <w:szCs w:val="28"/>
          <w:lang w:val="ru-RU"/>
        </w:rPr>
        <w:t>наборів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даних</w:t>
      </w:r>
      <w:r w:rsidRPr="00814C64">
        <w:rPr>
          <w:rFonts w:ascii="Times New Roman" w:hAnsi="Times New Roman"/>
          <w:sz w:val="28"/>
          <w:szCs w:val="28"/>
          <w:lang w:val="ru-RU"/>
        </w:rPr>
        <w:t xml:space="preserve"> </w:t>
      </w:r>
      <w:r w:rsidRPr="005B3CAA">
        <w:rPr>
          <w:rFonts w:ascii="Times New Roman" w:hAnsi="Times New Roman"/>
          <w:sz w:val="28"/>
          <w:szCs w:val="28"/>
          <w:lang w:val="ru-RU"/>
        </w:rPr>
        <w:t>та</w:t>
      </w:r>
      <w:r w:rsidRPr="00814C64">
        <w:rPr>
          <w:rFonts w:ascii="Times New Roman" w:hAnsi="Times New Roman"/>
          <w:sz w:val="28"/>
          <w:szCs w:val="28"/>
          <w:lang w:val="ru-RU"/>
        </w:rPr>
        <w:t xml:space="preserve"> </w:t>
      </w:r>
      <w:r w:rsidRPr="005B3CAA">
        <w:rPr>
          <w:rFonts w:ascii="Times New Roman" w:hAnsi="Times New Roman"/>
          <w:sz w:val="28"/>
          <w:szCs w:val="28"/>
          <w:lang w:val="ru-RU"/>
        </w:rPr>
        <w:t>методів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оцінки</w:t>
      </w:r>
      <w:r w:rsidRPr="00814C64">
        <w:rPr>
          <w:rFonts w:ascii="Times New Roman" w:hAnsi="Times New Roman"/>
          <w:sz w:val="28"/>
          <w:szCs w:val="28"/>
          <w:lang w:val="ru-RU"/>
        </w:rPr>
        <w:t>.</w:t>
      </w:r>
    </w:p>
    <w:p w14:paraId="0F3305AE" w14:textId="2778850E" w:rsidR="00BB412C" w:rsidRPr="00A2227C" w:rsidRDefault="005B3CAA" w:rsidP="00F7440D">
      <w:pPr>
        <w:spacing w:after="0" w:line="360" w:lineRule="auto"/>
        <w:ind w:firstLine="709"/>
        <w:jc w:val="both"/>
        <w:rPr>
          <w:rFonts w:ascii="Times New Roman" w:hAnsi="Times New Roman"/>
          <w:sz w:val="28"/>
          <w:szCs w:val="28"/>
          <w:lang w:val="ru-RU"/>
        </w:rPr>
      </w:pPr>
      <w:r w:rsidRPr="005B3CAA">
        <w:rPr>
          <w:rFonts w:ascii="Times New Roman" w:hAnsi="Times New Roman"/>
          <w:sz w:val="28"/>
          <w:szCs w:val="28"/>
          <w:lang w:val="ru-RU"/>
        </w:rPr>
        <w:t>Необхідність</w:t>
      </w:r>
      <w:r w:rsidRPr="00814C64">
        <w:rPr>
          <w:rFonts w:ascii="Times New Roman" w:hAnsi="Times New Roman"/>
          <w:sz w:val="28"/>
          <w:szCs w:val="28"/>
          <w:lang w:val="ru-RU"/>
        </w:rPr>
        <w:t xml:space="preserve"> </w:t>
      </w:r>
      <w:r>
        <w:rPr>
          <w:rFonts w:ascii="Times New Roman" w:hAnsi="Times New Roman"/>
          <w:sz w:val="28"/>
          <w:szCs w:val="28"/>
          <w:lang w:val="ru-RU"/>
        </w:rPr>
        <w:t>у</w:t>
      </w:r>
      <w:r w:rsidRPr="00814C64">
        <w:rPr>
          <w:rFonts w:ascii="Times New Roman" w:hAnsi="Times New Roman"/>
          <w:sz w:val="28"/>
          <w:szCs w:val="28"/>
          <w:lang w:val="ru-RU"/>
        </w:rPr>
        <w:t xml:space="preserve"> </w:t>
      </w:r>
      <w:r>
        <w:rPr>
          <w:rFonts w:ascii="Times New Roman" w:hAnsi="Times New Roman"/>
          <w:sz w:val="28"/>
          <w:szCs w:val="28"/>
          <w:lang w:val="ru-RU"/>
        </w:rPr>
        <w:t>застосуванні</w:t>
      </w:r>
      <w:r w:rsidRPr="00814C64">
        <w:rPr>
          <w:rFonts w:ascii="Times New Roman" w:hAnsi="Times New Roman"/>
          <w:sz w:val="28"/>
          <w:szCs w:val="28"/>
          <w:lang w:val="ru-RU"/>
        </w:rPr>
        <w:t xml:space="preserve"> </w:t>
      </w:r>
      <w:r>
        <w:rPr>
          <w:rFonts w:ascii="Times New Roman" w:hAnsi="Times New Roman"/>
          <w:sz w:val="28"/>
          <w:szCs w:val="28"/>
          <w:lang w:val="ru-RU"/>
        </w:rPr>
        <w:t>сучасних</w:t>
      </w:r>
      <w:r w:rsidRPr="00814C64">
        <w:rPr>
          <w:rFonts w:ascii="Times New Roman" w:hAnsi="Times New Roman"/>
          <w:sz w:val="28"/>
          <w:szCs w:val="28"/>
          <w:lang w:val="ru-RU"/>
        </w:rPr>
        <w:t xml:space="preserve"> </w:t>
      </w:r>
      <w:r>
        <w:rPr>
          <w:rFonts w:ascii="Times New Roman" w:hAnsi="Times New Roman"/>
          <w:sz w:val="28"/>
          <w:szCs w:val="28"/>
          <w:lang w:val="ru-RU"/>
        </w:rPr>
        <w:t>технологій</w:t>
      </w:r>
      <w:r w:rsidRPr="00814C64">
        <w:rPr>
          <w:rFonts w:ascii="Times New Roman" w:hAnsi="Times New Roman"/>
          <w:sz w:val="28"/>
          <w:szCs w:val="28"/>
          <w:lang w:val="ru-RU"/>
        </w:rPr>
        <w:t xml:space="preserve">, </w:t>
      </w:r>
      <w:r>
        <w:rPr>
          <w:rFonts w:ascii="Times New Roman" w:hAnsi="Times New Roman"/>
          <w:sz w:val="28"/>
          <w:szCs w:val="28"/>
          <w:lang w:val="ru-RU"/>
        </w:rPr>
        <w:t>а</w:t>
      </w:r>
      <w:r w:rsidRPr="00814C64">
        <w:rPr>
          <w:rFonts w:ascii="Times New Roman" w:hAnsi="Times New Roman"/>
          <w:sz w:val="28"/>
          <w:szCs w:val="28"/>
          <w:lang w:val="ru-RU"/>
        </w:rPr>
        <w:t xml:space="preserve"> </w:t>
      </w:r>
      <w:r>
        <w:rPr>
          <w:rFonts w:ascii="Times New Roman" w:hAnsi="Times New Roman"/>
          <w:sz w:val="28"/>
          <w:szCs w:val="28"/>
          <w:lang w:val="ru-RU"/>
        </w:rPr>
        <w:t>саме</w:t>
      </w:r>
      <w:r w:rsidRPr="00814C64">
        <w:rPr>
          <w:rFonts w:ascii="Times New Roman" w:hAnsi="Times New Roman"/>
          <w:sz w:val="28"/>
          <w:szCs w:val="28"/>
          <w:lang w:val="ru-RU"/>
        </w:rPr>
        <w:t xml:space="preserve"> </w:t>
      </w:r>
      <w:r>
        <w:rPr>
          <w:rFonts w:ascii="Times New Roman" w:hAnsi="Times New Roman"/>
          <w:sz w:val="28"/>
          <w:szCs w:val="28"/>
          <w:lang w:val="ru-RU"/>
        </w:rPr>
        <w:t>у</w:t>
      </w:r>
      <w:r w:rsidRPr="00814C64">
        <w:rPr>
          <w:rFonts w:ascii="Times New Roman" w:hAnsi="Times New Roman"/>
          <w:sz w:val="28"/>
          <w:szCs w:val="28"/>
          <w:lang w:val="ru-RU"/>
        </w:rPr>
        <w:t xml:space="preserve"> </w:t>
      </w:r>
      <w:r>
        <w:rPr>
          <w:rFonts w:ascii="Times New Roman" w:hAnsi="Times New Roman"/>
          <w:sz w:val="28"/>
          <w:szCs w:val="28"/>
          <w:lang w:val="ru-RU"/>
        </w:rPr>
        <w:t>застосуванні</w:t>
      </w:r>
      <w:r w:rsidR="00B8223A" w:rsidRPr="00814C64">
        <w:rPr>
          <w:rFonts w:ascii="Times New Roman" w:hAnsi="Times New Roman"/>
          <w:sz w:val="28"/>
          <w:szCs w:val="28"/>
          <w:lang w:val="ru-RU"/>
        </w:rPr>
        <w:t xml:space="preserve"> </w:t>
      </w:r>
      <w:r w:rsidR="00B8223A">
        <w:rPr>
          <w:rFonts w:ascii="Times New Roman" w:hAnsi="Times New Roman"/>
          <w:sz w:val="28"/>
          <w:szCs w:val="28"/>
          <w:lang w:val="ru-RU"/>
        </w:rPr>
        <w:t>Інтернету</w:t>
      </w:r>
      <w:r w:rsidRPr="00814C64">
        <w:rPr>
          <w:rFonts w:ascii="Times New Roman" w:hAnsi="Times New Roman"/>
          <w:sz w:val="28"/>
          <w:szCs w:val="28"/>
          <w:lang w:val="ru-RU"/>
        </w:rPr>
        <w:t xml:space="preserve"> </w:t>
      </w:r>
      <w:r w:rsidRPr="005B3CAA">
        <w:rPr>
          <w:rFonts w:ascii="Times New Roman" w:hAnsi="Times New Roman"/>
          <w:sz w:val="28"/>
          <w:szCs w:val="28"/>
          <w:lang w:val="ru-RU"/>
        </w:rPr>
        <w:t>речей</w:t>
      </w:r>
      <w:r w:rsidRPr="00814C64">
        <w:rPr>
          <w:rFonts w:ascii="Times New Roman" w:hAnsi="Times New Roman"/>
          <w:sz w:val="28"/>
          <w:szCs w:val="28"/>
          <w:lang w:val="ru-RU"/>
        </w:rPr>
        <w:t xml:space="preserve"> (</w:t>
      </w:r>
      <w:r>
        <w:rPr>
          <w:rFonts w:ascii="Times New Roman" w:hAnsi="Times New Roman"/>
          <w:sz w:val="28"/>
          <w:szCs w:val="28"/>
        </w:rPr>
        <w:t>Internet</w:t>
      </w:r>
      <w:r w:rsidRPr="00814C64">
        <w:rPr>
          <w:rFonts w:ascii="Times New Roman" w:hAnsi="Times New Roman"/>
          <w:sz w:val="28"/>
          <w:szCs w:val="28"/>
          <w:lang w:val="ru-RU"/>
        </w:rPr>
        <w:t xml:space="preserve"> </w:t>
      </w:r>
      <w:r>
        <w:rPr>
          <w:rFonts w:ascii="Times New Roman" w:hAnsi="Times New Roman"/>
          <w:sz w:val="28"/>
          <w:szCs w:val="28"/>
        </w:rPr>
        <w:t>of</w:t>
      </w:r>
      <w:r w:rsidRPr="00814C64">
        <w:rPr>
          <w:rFonts w:ascii="Times New Roman" w:hAnsi="Times New Roman"/>
          <w:sz w:val="28"/>
          <w:szCs w:val="28"/>
          <w:lang w:val="ru-RU"/>
        </w:rPr>
        <w:t xml:space="preserve"> </w:t>
      </w:r>
      <w:r>
        <w:rPr>
          <w:rFonts w:ascii="Times New Roman" w:hAnsi="Times New Roman"/>
          <w:sz w:val="28"/>
          <w:szCs w:val="28"/>
        </w:rPr>
        <w:t>things</w:t>
      </w:r>
      <w:r w:rsidR="00B8223A">
        <w:rPr>
          <w:rFonts w:ascii="Times New Roman" w:hAnsi="Times New Roman"/>
          <w:sz w:val="28"/>
          <w:szCs w:val="28"/>
          <w:lang w:val="uk-UA"/>
        </w:rPr>
        <w:t xml:space="preserve"> - </w:t>
      </w:r>
      <w:r w:rsidR="00B8223A">
        <w:rPr>
          <w:rFonts w:ascii="Times New Roman" w:hAnsi="Times New Roman"/>
          <w:sz w:val="28"/>
          <w:szCs w:val="28"/>
        </w:rPr>
        <w:t>IoT</w:t>
      </w:r>
      <w:r w:rsidRPr="00814C64">
        <w:rPr>
          <w:rFonts w:ascii="Times New Roman" w:hAnsi="Times New Roman"/>
          <w:sz w:val="28"/>
          <w:szCs w:val="28"/>
          <w:lang w:val="ru-RU"/>
        </w:rPr>
        <w:t xml:space="preserve">) </w:t>
      </w:r>
      <w:r w:rsidRPr="005B3CAA">
        <w:rPr>
          <w:rFonts w:ascii="Times New Roman" w:hAnsi="Times New Roman"/>
          <w:sz w:val="28"/>
          <w:szCs w:val="28"/>
          <w:lang w:val="ru-RU"/>
        </w:rPr>
        <w:t>виникла</w:t>
      </w:r>
      <w:r w:rsidRPr="00814C64">
        <w:rPr>
          <w:rFonts w:ascii="Times New Roman" w:hAnsi="Times New Roman"/>
          <w:sz w:val="28"/>
          <w:szCs w:val="28"/>
          <w:lang w:val="ru-RU"/>
        </w:rPr>
        <w:t xml:space="preserve"> </w:t>
      </w:r>
      <w:r w:rsidRPr="005B3CAA">
        <w:rPr>
          <w:rFonts w:ascii="Times New Roman" w:hAnsi="Times New Roman"/>
          <w:sz w:val="28"/>
          <w:szCs w:val="28"/>
          <w:lang w:val="ru-RU"/>
        </w:rPr>
        <w:t>з</w:t>
      </w:r>
      <w:r w:rsidRPr="00814C64">
        <w:rPr>
          <w:rFonts w:ascii="Times New Roman" w:hAnsi="Times New Roman"/>
          <w:sz w:val="28"/>
          <w:szCs w:val="28"/>
          <w:lang w:val="ru-RU"/>
        </w:rPr>
        <w:t xml:space="preserve"> </w:t>
      </w:r>
      <w:r w:rsidRPr="005B3CAA">
        <w:rPr>
          <w:rFonts w:ascii="Times New Roman" w:hAnsi="Times New Roman"/>
          <w:sz w:val="28"/>
          <w:szCs w:val="28"/>
          <w:lang w:val="ru-RU"/>
        </w:rPr>
        <w:t>посиленням</w:t>
      </w:r>
      <w:r w:rsidRPr="00814C64">
        <w:rPr>
          <w:rFonts w:ascii="Times New Roman" w:hAnsi="Times New Roman"/>
          <w:sz w:val="28"/>
          <w:szCs w:val="28"/>
          <w:lang w:val="ru-RU"/>
        </w:rPr>
        <w:t xml:space="preserve"> </w:t>
      </w:r>
      <w:r w:rsidRPr="005B3CAA">
        <w:rPr>
          <w:rFonts w:ascii="Times New Roman" w:hAnsi="Times New Roman"/>
          <w:sz w:val="28"/>
          <w:szCs w:val="28"/>
          <w:lang w:val="ru-RU"/>
        </w:rPr>
        <w:t>складності</w:t>
      </w:r>
      <w:r w:rsidRPr="00814C64">
        <w:rPr>
          <w:rFonts w:ascii="Times New Roman" w:hAnsi="Times New Roman"/>
          <w:sz w:val="28"/>
          <w:szCs w:val="28"/>
          <w:lang w:val="ru-RU"/>
        </w:rPr>
        <w:t xml:space="preserve"> </w:t>
      </w:r>
      <w:r w:rsidRPr="005B3CAA">
        <w:rPr>
          <w:rFonts w:ascii="Times New Roman" w:hAnsi="Times New Roman"/>
          <w:sz w:val="28"/>
          <w:szCs w:val="28"/>
          <w:lang w:val="ru-RU"/>
        </w:rPr>
        <w:t>систем</w:t>
      </w:r>
      <w:r w:rsidRPr="00814C64">
        <w:rPr>
          <w:rFonts w:ascii="Times New Roman" w:hAnsi="Times New Roman"/>
          <w:sz w:val="28"/>
          <w:szCs w:val="28"/>
          <w:lang w:val="ru-RU"/>
        </w:rPr>
        <w:t xml:space="preserve"> </w:t>
      </w:r>
      <w:r w:rsidRPr="005B3CAA">
        <w:rPr>
          <w:rFonts w:ascii="Times New Roman" w:hAnsi="Times New Roman"/>
          <w:sz w:val="28"/>
          <w:szCs w:val="28"/>
          <w:lang w:val="ru-RU"/>
        </w:rPr>
        <w:t>та</w:t>
      </w:r>
      <w:r w:rsidRPr="00814C64">
        <w:rPr>
          <w:rFonts w:ascii="Times New Roman" w:hAnsi="Times New Roman"/>
          <w:sz w:val="28"/>
          <w:szCs w:val="28"/>
          <w:lang w:val="ru-RU"/>
        </w:rPr>
        <w:t xml:space="preserve"> </w:t>
      </w:r>
      <w:r w:rsidRPr="005B3CAA">
        <w:rPr>
          <w:rFonts w:ascii="Times New Roman" w:hAnsi="Times New Roman"/>
          <w:sz w:val="28"/>
          <w:szCs w:val="28"/>
          <w:lang w:val="ru-RU"/>
        </w:rPr>
        <w:t>проектів</w:t>
      </w:r>
      <w:r w:rsidRPr="00814C64">
        <w:rPr>
          <w:rFonts w:ascii="Times New Roman" w:hAnsi="Times New Roman"/>
          <w:sz w:val="28"/>
          <w:szCs w:val="28"/>
          <w:lang w:val="ru-RU"/>
        </w:rPr>
        <w:t xml:space="preserve">. </w:t>
      </w:r>
      <w:r w:rsidRPr="005B3CAA">
        <w:rPr>
          <w:rFonts w:ascii="Times New Roman" w:hAnsi="Times New Roman"/>
          <w:sz w:val="28"/>
          <w:szCs w:val="28"/>
          <w:lang w:val="ru-RU"/>
        </w:rPr>
        <w:t xml:space="preserve">Наприклад, у томографії використовується цифрова робоча станція, яка включає складні математичні алгоритми та фундаментальну їх частину, тобто систему лінійних рівнянь. </w:t>
      </w:r>
      <w:r w:rsidRPr="00A2227C">
        <w:rPr>
          <w:rFonts w:ascii="Times New Roman" w:hAnsi="Times New Roman"/>
          <w:sz w:val="28"/>
          <w:szCs w:val="28"/>
          <w:lang w:val="ru-RU"/>
        </w:rPr>
        <w:t>Метою</w:t>
      </w:r>
      <w:r w:rsidR="00B8223A" w:rsidRPr="00A2227C">
        <w:rPr>
          <w:rFonts w:ascii="Times New Roman" w:hAnsi="Times New Roman"/>
          <w:sz w:val="28"/>
          <w:szCs w:val="28"/>
          <w:lang w:val="ru-RU"/>
        </w:rPr>
        <w:t xml:space="preserve"> проведення даного параклінічного дослідження було розглянути</w:t>
      </w:r>
      <w:r w:rsidRPr="00A2227C">
        <w:rPr>
          <w:rFonts w:ascii="Times New Roman" w:hAnsi="Times New Roman"/>
          <w:sz w:val="28"/>
          <w:szCs w:val="28"/>
          <w:lang w:val="ru-RU"/>
        </w:rPr>
        <w:t xml:space="preserve"> метод поліпшення обробки даних пацієнта</w:t>
      </w:r>
      <w:r w:rsidR="00B8223A" w:rsidRPr="00A2227C">
        <w:rPr>
          <w:rFonts w:ascii="Times New Roman" w:hAnsi="Times New Roman"/>
          <w:sz w:val="28"/>
          <w:szCs w:val="28"/>
          <w:lang w:val="ru-RU"/>
        </w:rPr>
        <w:t>, отриманих під час додаткових методів обстеження,</w:t>
      </w:r>
      <w:r w:rsidRPr="00A2227C">
        <w:rPr>
          <w:rFonts w:ascii="Times New Roman" w:hAnsi="Times New Roman"/>
          <w:sz w:val="28"/>
          <w:szCs w:val="28"/>
          <w:lang w:val="ru-RU"/>
        </w:rPr>
        <w:t xml:space="preserve"> для пі</w:t>
      </w:r>
      <w:r w:rsidR="00B8223A" w:rsidRPr="00A2227C">
        <w:rPr>
          <w:rFonts w:ascii="Times New Roman" w:hAnsi="Times New Roman"/>
          <w:sz w:val="28"/>
          <w:szCs w:val="28"/>
          <w:lang w:val="ru-RU"/>
        </w:rPr>
        <w:t>двищення ефективності діагностики</w:t>
      </w:r>
      <w:r w:rsidRPr="00A2227C">
        <w:rPr>
          <w:rFonts w:ascii="Times New Roman" w:hAnsi="Times New Roman"/>
          <w:sz w:val="28"/>
          <w:szCs w:val="28"/>
          <w:lang w:val="ru-RU"/>
        </w:rPr>
        <w:t>.</w:t>
      </w:r>
    </w:p>
    <w:p w14:paraId="3EBD3829" w14:textId="020C5B0E" w:rsidR="005B3CAA" w:rsidRPr="00814C64" w:rsidRDefault="005B3CAA" w:rsidP="00F7440D">
      <w:pPr>
        <w:spacing w:after="0" w:line="360" w:lineRule="auto"/>
        <w:ind w:firstLine="709"/>
        <w:jc w:val="both"/>
        <w:rPr>
          <w:rFonts w:ascii="Times New Roman" w:hAnsi="Times New Roman"/>
          <w:sz w:val="28"/>
          <w:szCs w:val="28"/>
          <w:lang w:val="ru-RU"/>
        </w:rPr>
      </w:pPr>
      <w:r w:rsidRPr="005B3CAA">
        <w:rPr>
          <w:rFonts w:ascii="Times New Roman" w:hAnsi="Times New Roman"/>
          <w:sz w:val="28"/>
          <w:szCs w:val="28"/>
          <w:lang w:val="ru-RU"/>
        </w:rPr>
        <w:t xml:space="preserve">Рамки IoT допомагають підтримувати взаємодію між "речами" та дозволяють використовувати більш складні структури, такі як розподілені обчислення та розробка розподілених програм. У загальному вигляді реєстрація зображень полягає у визначенні просторового перетворення зображення, яке змусить його бути вирівняним з іншим. У деяких випадках необхідне перетворення може бути настільки ж простим, як переклад або обертання (жорстка реєстрація), однак для точної реєстрації торакальних образів КТ необхідна трансформація, як правило, набагато складніша і називається пружною або еластичною </w:t>
      </w:r>
      <w:r w:rsidRPr="00814C64">
        <w:rPr>
          <w:rFonts w:ascii="Times New Roman" w:hAnsi="Times New Roman"/>
          <w:sz w:val="28"/>
          <w:szCs w:val="28"/>
          <w:lang w:val="ru-RU"/>
        </w:rPr>
        <w:t>[</w:t>
      </w:r>
      <w:r w:rsidR="00534F67">
        <w:rPr>
          <w:rFonts w:ascii="Times New Roman" w:hAnsi="Times New Roman"/>
          <w:sz w:val="28"/>
          <w:szCs w:val="28"/>
          <w:lang w:val="ru-RU"/>
        </w:rPr>
        <w:t>303</w:t>
      </w:r>
      <w:r w:rsidR="00F7440D" w:rsidRPr="00814C64">
        <w:rPr>
          <w:rFonts w:ascii="Times New Roman" w:hAnsi="Times New Roman"/>
          <w:sz w:val="28"/>
          <w:szCs w:val="28"/>
          <w:lang w:val="ru-RU"/>
        </w:rPr>
        <w:t>]</w:t>
      </w:r>
      <w:r w:rsidRPr="00814C64">
        <w:rPr>
          <w:rFonts w:ascii="Times New Roman" w:hAnsi="Times New Roman"/>
          <w:sz w:val="28"/>
          <w:szCs w:val="28"/>
          <w:lang w:val="ru-RU"/>
        </w:rPr>
        <w:t>.</w:t>
      </w:r>
    </w:p>
    <w:p w14:paraId="70860E9D" w14:textId="09B3D0F0" w:rsidR="00687E26" w:rsidRPr="001D7D2F" w:rsidRDefault="00687E26" w:rsidP="00B8223A">
      <w:pPr>
        <w:spacing w:line="360" w:lineRule="auto"/>
        <w:ind w:firstLine="709"/>
        <w:jc w:val="both"/>
        <w:rPr>
          <w:rFonts w:ascii="Times New Roman" w:hAnsi="Times New Roman"/>
          <w:sz w:val="28"/>
          <w:szCs w:val="28"/>
          <w:lang w:val="uk-UA"/>
        </w:rPr>
      </w:pPr>
      <w:r w:rsidRPr="00687E26">
        <w:rPr>
          <w:rFonts w:ascii="Times New Roman" w:hAnsi="Times New Roman"/>
          <w:sz w:val="28"/>
          <w:szCs w:val="28"/>
          <w:lang w:val="ru-RU"/>
        </w:rPr>
        <w:t xml:space="preserve">У цьому дослідженні </w:t>
      </w:r>
      <w:r>
        <w:rPr>
          <w:rFonts w:ascii="Times New Roman" w:hAnsi="Times New Roman"/>
          <w:sz w:val="28"/>
          <w:szCs w:val="28"/>
          <w:lang w:val="ru-RU"/>
        </w:rPr>
        <w:t>було представлено</w:t>
      </w:r>
      <w:r w:rsidRPr="00687E26">
        <w:rPr>
          <w:rFonts w:ascii="Times New Roman" w:hAnsi="Times New Roman"/>
          <w:sz w:val="28"/>
          <w:szCs w:val="28"/>
          <w:lang w:val="ru-RU"/>
        </w:rPr>
        <w:t xml:space="preserve"> нову схему оцінки автоматичних алгоритмів виявлення </w:t>
      </w:r>
      <w:r>
        <w:rPr>
          <w:rFonts w:ascii="Times New Roman" w:hAnsi="Times New Roman"/>
          <w:sz w:val="28"/>
          <w:szCs w:val="28"/>
          <w:lang w:val="ru-RU"/>
        </w:rPr>
        <w:t>патологічних змін у тканинах за даними комп</w:t>
      </w:r>
      <w:r w:rsidRPr="00687E26">
        <w:rPr>
          <w:rFonts w:ascii="Times New Roman" w:hAnsi="Times New Roman"/>
          <w:sz w:val="28"/>
          <w:szCs w:val="28"/>
          <w:lang w:val="ru-RU"/>
        </w:rPr>
        <w:t>'</w:t>
      </w:r>
      <w:r>
        <w:rPr>
          <w:rFonts w:ascii="Times New Roman" w:hAnsi="Times New Roman"/>
          <w:sz w:val="28"/>
          <w:szCs w:val="28"/>
          <w:lang w:val="ru-RU"/>
        </w:rPr>
        <w:t>ютерної томографії</w:t>
      </w:r>
      <w:r w:rsidRPr="00687E26">
        <w:rPr>
          <w:rFonts w:ascii="Times New Roman" w:hAnsi="Times New Roman"/>
          <w:sz w:val="28"/>
          <w:szCs w:val="28"/>
          <w:lang w:val="ru-RU"/>
        </w:rPr>
        <w:t xml:space="preserve">. Метою дослідження було надання науковому співтовариству рамки для перевірки та порівняння алгоритмів спільної великої бази даних з стандартизованим протоколом оцінки. Це дозволяє спільноті об'єктивно оцінювати різні системи автоматизованого виявлення та просунути розробку сучасних алгоритмів виявлення вузлів. Представлені системи були описані, а продуктивність була оцінена. Ми показали, що поєднання кількох речей, застосованих IoT на об'єднаному наборі кандидатів, перевершило будь-яку індивідуальну систему. Це підкреслює потенціал поєднання алгоритмів для підвищення </w:t>
      </w:r>
      <w:r w:rsidR="00B8223A">
        <w:rPr>
          <w:rFonts w:ascii="Times New Roman" w:hAnsi="Times New Roman"/>
          <w:sz w:val="28"/>
          <w:szCs w:val="28"/>
          <w:lang w:val="ru-RU"/>
        </w:rPr>
        <w:t xml:space="preserve">ефективності виявлення. </w:t>
      </w:r>
      <w:r w:rsidR="001D7D2F">
        <w:rPr>
          <w:rFonts w:ascii="Times New Roman" w:hAnsi="Times New Roman"/>
          <w:sz w:val="28"/>
          <w:szCs w:val="28"/>
          <w:lang w:val="ru-RU"/>
        </w:rPr>
        <w:t xml:space="preserve">На рис.7.1 та 7.2 представлені зразки обробки даних томографії, виконаних у дітей з атопічними захворюваннями. </w:t>
      </w:r>
      <w:r w:rsidR="001D7D2F" w:rsidRPr="001D7D2F">
        <w:rPr>
          <w:rFonts w:ascii="Times New Roman" w:hAnsi="Times New Roman"/>
          <w:sz w:val="28"/>
          <w:szCs w:val="28"/>
          <w:lang w:val="ru-RU"/>
        </w:rPr>
        <w:t xml:space="preserve">Ці зображення були відправлені </w:t>
      </w:r>
      <w:r w:rsidR="001D7D2F">
        <w:rPr>
          <w:rFonts w:ascii="Times New Roman" w:hAnsi="Times New Roman"/>
          <w:sz w:val="28"/>
          <w:szCs w:val="28"/>
          <w:lang w:val="ru-RU"/>
        </w:rPr>
        <w:t>фахівцям</w:t>
      </w:r>
      <w:r w:rsidR="001D7D2F" w:rsidRPr="001D7D2F">
        <w:rPr>
          <w:rFonts w:ascii="Times New Roman" w:hAnsi="Times New Roman"/>
          <w:sz w:val="28"/>
          <w:szCs w:val="28"/>
          <w:lang w:val="ru-RU"/>
        </w:rPr>
        <w:t xml:space="preserve"> Io</w:t>
      </w:r>
      <w:r w:rsidR="001D7D2F">
        <w:rPr>
          <w:rFonts w:ascii="Times New Roman" w:hAnsi="Times New Roman"/>
          <w:sz w:val="28"/>
          <w:szCs w:val="28"/>
          <w:lang w:val="ru-RU"/>
        </w:rPr>
        <w:t xml:space="preserve">T сервером Bottle-SQLite Server, далі побудована модель </w:t>
      </w:r>
      <w:r w:rsidR="001D7D2F">
        <w:rPr>
          <w:rFonts w:ascii="Times New Roman" w:hAnsi="Times New Roman"/>
          <w:sz w:val="28"/>
          <w:szCs w:val="28"/>
        </w:rPr>
        <w:t>MATLAB</w:t>
      </w:r>
      <w:r w:rsidR="001D7D2F">
        <w:rPr>
          <w:rFonts w:ascii="Times New Roman" w:hAnsi="Times New Roman"/>
          <w:sz w:val="28"/>
          <w:szCs w:val="28"/>
          <w:lang w:val="uk-UA"/>
        </w:rPr>
        <w:t>, виконані необхідні розрахунки</w:t>
      </w:r>
      <w:r w:rsidR="00534F67" w:rsidRPr="00534F67">
        <w:rPr>
          <w:rFonts w:ascii="Times New Roman" w:hAnsi="Times New Roman"/>
          <w:sz w:val="28"/>
          <w:szCs w:val="28"/>
          <w:lang w:val="ru-RU"/>
        </w:rPr>
        <w:t xml:space="preserve"> [303]</w:t>
      </w:r>
      <w:r w:rsidR="001D7D2F">
        <w:rPr>
          <w:rFonts w:ascii="Times New Roman" w:hAnsi="Times New Roman"/>
          <w:sz w:val="28"/>
          <w:szCs w:val="28"/>
          <w:lang w:val="uk-UA"/>
        </w:rPr>
        <w:t>.</w:t>
      </w:r>
    </w:p>
    <w:p w14:paraId="5AD19296" w14:textId="34F15EA2" w:rsidR="009E5BF9" w:rsidRDefault="009E5BF9" w:rsidP="00B8223A">
      <w:pPr>
        <w:spacing w:line="360" w:lineRule="auto"/>
        <w:ind w:firstLine="709"/>
        <w:jc w:val="both"/>
        <w:rPr>
          <w:rFonts w:ascii="Times New Roman" w:hAnsi="Times New Roman"/>
          <w:sz w:val="28"/>
          <w:szCs w:val="28"/>
          <w:lang w:val="ru-RU"/>
        </w:rPr>
      </w:pPr>
      <w:r>
        <w:rPr>
          <w:noProof/>
        </w:rPr>
        <w:drawing>
          <wp:inline distT="0" distB="0" distL="0" distR="0" wp14:anchorId="2AC83409" wp14:editId="4A1E996F">
            <wp:extent cx="1400175" cy="13940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id300x300.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441757" cy="1435424"/>
                    </a:xfrm>
                    <a:prstGeom prst="rect">
                      <a:avLst/>
                    </a:prstGeom>
                  </pic:spPr>
                </pic:pic>
              </a:graphicData>
            </a:graphic>
          </wp:inline>
        </w:drawing>
      </w:r>
    </w:p>
    <w:p w14:paraId="3D697DBA" w14:textId="6C5ACC11" w:rsidR="009E5BF9" w:rsidRDefault="009E5BF9" w:rsidP="009E5BF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Рис. 7.1. Модель томограми (виконана у </w:t>
      </w:r>
      <w:r>
        <w:rPr>
          <w:rFonts w:ascii="Times New Roman" w:hAnsi="Times New Roman"/>
          <w:sz w:val="28"/>
          <w:szCs w:val="28"/>
        </w:rPr>
        <w:t>MATLAB</w:t>
      </w:r>
      <w:r>
        <w:rPr>
          <w:rFonts w:ascii="Times New Roman" w:hAnsi="Times New Roman"/>
          <w:sz w:val="28"/>
          <w:szCs w:val="28"/>
          <w:lang w:val="uk-UA"/>
        </w:rPr>
        <w:t>)</w:t>
      </w:r>
      <w:r>
        <w:rPr>
          <w:rFonts w:ascii="Times New Roman" w:hAnsi="Times New Roman"/>
          <w:sz w:val="28"/>
          <w:szCs w:val="28"/>
          <w:lang w:val="ru-RU"/>
        </w:rPr>
        <w:t xml:space="preserve"> </w:t>
      </w:r>
      <w:r w:rsidR="001D7D2F">
        <w:rPr>
          <w:rFonts w:ascii="Times New Roman" w:hAnsi="Times New Roman"/>
          <w:sz w:val="28"/>
          <w:szCs w:val="28"/>
          <w:lang w:val="ru-RU"/>
        </w:rPr>
        <w:t>торакальної області</w:t>
      </w:r>
      <w:r>
        <w:rPr>
          <w:rFonts w:ascii="Times New Roman" w:hAnsi="Times New Roman"/>
          <w:sz w:val="28"/>
          <w:szCs w:val="28"/>
          <w:lang w:val="ru-RU"/>
        </w:rPr>
        <w:t xml:space="preserve"> дитини з атопічними захворювань – квадрант 1</w:t>
      </w:r>
    </w:p>
    <w:p w14:paraId="629E7BE3" w14:textId="77777777" w:rsidR="009E5BF9" w:rsidRDefault="009E5BF9" w:rsidP="009E5BF9">
      <w:pPr>
        <w:pStyle w:val="BodyText"/>
        <w:ind w:firstLine="709"/>
      </w:pPr>
      <w:r>
        <w:rPr>
          <w:noProof/>
        </w:rPr>
        <w:drawing>
          <wp:inline distT="0" distB="0" distL="0" distR="0" wp14:anchorId="7503B084" wp14:editId="2997BE3A">
            <wp:extent cx="1493520" cy="14871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id300x900.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498194" cy="1491814"/>
                    </a:xfrm>
                    <a:prstGeom prst="rect">
                      <a:avLst/>
                    </a:prstGeom>
                  </pic:spPr>
                </pic:pic>
              </a:graphicData>
            </a:graphic>
          </wp:inline>
        </w:drawing>
      </w:r>
    </w:p>
    <w:p w14:paraId="6A2A98AA" w14:textId="0B75A556" w:rsidR="009E5BF9" w:rsidRPr="00687E26" w:rsidRDefault="009E5BF9" w:rsidP="009E5BF9">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Рис. 7.2. Модель томограми (виконана у </w:t>
      </w:r>
      <w:r>
        <w:rPr>
          <w:rFonts w:ascii="Times New Roman" w:hAnsi="Times New Roman"/>
          <w:sz w:val="28"/>
          <w:szCs w:val="28"/>
        </w:rPr>
        <w:t>MATLAB</w:t>
      </w:r>
      <w:r>
        <w:rPr>
          <w:rFonts w:ascii="Times New Roman" w:hAnsi="Times New Roman"/>
          <w:sz w:val="28"/>
          <w:szCs w:val="28"/>
          <w:lang w:val="uk-UA"/>
        </w:rPr>
        <w:t>)</w:t>
      </w:r>
      <w:r>
        <w:rPr>
          <w:rFonts w:ascii="Times New Roman" w:hAnsi="Times New Roman"/>
          <w:sz w:val="28"/>
          <w:szCs w:val="28"/>
          <w:lang w:val="ru-RU"/>
        </w:rPr>
        <w:t xml:space="preserve"> </w:t>
      </w:r>
      <w:r w:rsidR="001D7D2F">
        <w:rPr>
          <w:rFonts w:ascii="Times New Roman" w:hAnsi="Times New Roman"/>
          <w:sz w:val="28"/>
          <w:szCs w:val="28"/>
          <w:lang w:val="ru-RU"/>
        </w:rPr>
        <w:t>торакальної області</w:t>
      </w:r>
      <w:r>
        <w:rPr>
          <w:rFonts w:ascii="Times New Roman" w:hAnsi="Times New Roman"/>
          <w:sz w:val="28"/>
          <w:szCs w:val="28"/>
          <w:lang w:val="ru-RU"/>
        </w:rPr>
        <w:t xml:space="preserve"> дитини з атопічними захворюваннями – квадрант 2</w:t>
      </w:r>
    </w:p>
    <w:p w14:paraId="3AD451E9" w14:textId="2646CA57" w:rsidR="00687E26" w:rsidRDefault="00B8223A" w:rsidP="00687E2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У результаті проведеного дослідження, м</w:t>
      </w:r>
      <w:r w:rsidR="00687E26" w:rsidRPr="00687E26">
        <w:rPr>
          <w:rFonts w:ascii="Times New Roman" w:hAnsi="Times New Roman"/>
          <w:sz w:val="28"/>
          <w:szCs w:val="28"/>
          <w:lang w:val="ru-RU"/>
        </w:rPr>
        <w:t>и представили систему, яку побудовано на основі Інтернету речей IoT для справедливої та автоматизованої функціональної діагностики з використанням реконструкції томографії електричного імпедансу. Ми провели оцінку алгоритмів виявлення вузлів, використовуючи найбільший загальнодоступний набір даних комп'ютерних ск</w:t>
      </w:r>
      <w:r>
        <w:rPr>
          <w:rFonts w:ascii="Times New Roman" w:hAnsi="Times New Roman"/>
          <w:sz w:val="28"/>
          <w:szCs w:val="28"/>
          <w:lang w:val="ru-RU"/>
        </w:rPr>
        <w:t>анерів на грудях, в яких вузли</w:t>
      </w:r>
      <w:r w:rsidR="00687E26" w:rsidRPr="00687E26">
        <w:rPr>
          <w:rFonts w:ascii="Times New Roman" w:hAnsi="Times New Roman"/>
          <w:sz w:val="28"/>
          <w:szCs w:val="28"/>
          <w:lang w:val="ru-RU"/>
        </w:rPr>
        <w:t xml:space="preserve"> були анотовані численними читачами. Ми показали, що поєднання реконструкції томографії електричного імпедансу та Інтернет</w:t>
      </w:r>
      <w:r>
        <w:rPr>
          <w:rFonts w:ascii="Times New Roman" w:hAnsi="Times New Roman"/>
          <w:sz w:val="28"/>
          <w:szCs w:val="28"/>
          <w:lang w:val="ru-RU"/>
        </w:rPr>
        <w:t>у</w:t>
      </w:r>
      <w:r w:rsidR="00687E26" w:rsidRPr="00687E26">
        <w:rPr>
          <w:rFonts w:ascii="Times New Roman" w:hAnsi="Times New Roman"/>
          <w:sz w:val="28"/>
          <w:szCs w:val="28"/>
          <w:lang w:val="ru-RU"/>
        </w:rPr>
        <w:t xml:space="preserve"> речей дає чудові результати. Електроімпедансна томографія залишатиметься відкрит</w:t>
      </w:r>
      <w:r>
        <w:rPr>
          <w:rFonts w:ascii="Times New Roman" w:hAnsi="Times New Roman"/>
          <w:sz w:val="28"/>
          <w:szCs w:val="28"/>
          <w:lang w:val="ru-RU"/>
        </w:rPr>
        <w:t>ою для майбутніх КТ-застосувань, у тому числі для оцінювання структур щелепно-лицевої ділянки</w:t>
      </w:r>
      <w:r w:rsidR="00687E26" w:rsidRPr="00687E26">
        <w:rPr>
          <w:rFonts w:ascii="Times New Roman" w:hAnsi="Times New Roman"/>
          <w:sz w:val="28"/>
          <w:szCs w:val="28"/>
          <w:lang w:val="ru-RU"/>
        </w:rPr>
        <w:t xml:space="preserve"> та інші</w:t>
      </w:r>
      <w:r w:rsidR="00A2227C">
        <w:rPr>
          <w:rFonts w:ascii="Times New Roman" w:hAnsi="Times New Roman"/>
          <w:sz w:val="28"/>
          <w:szCs w:val="28"/>
          <w:lang w:val="ru-RU"/>
        </w:rPr>
        <w:t>.</w:t>
      </w:r>
    </w:p>
    <w:p w14:paraId="497DB1CC" w14:textId="77777777" w:rsidR="009860FF" w:rsidRDefault="009860FF" w:rsidP="009860FF">
      <w:pPr>
        <w:spacing w:after="0" w:line="360" w:lineRule="auto"/>
        <w:ind w:firstLine="709"/>
        <w:jc w:val="both"/>
        <w:rPr>
          <w:rFonts w:ascii="Times New Roman" w:hAnsi="Times New Roman"/>
          <w:sz w:val="28"/>
          <w:szCs w:val="28"/>
          <w:lang w:val="uk-UA"/>
        </w:rPr>
      </w:pPr>
    </w:p>
    <w:p w14:paraId="60FDED5A" w14:textId="77777777" w:rsidR="00936303" w:rsidRDefault="00936303" w:rsidP="009860FF">
      <w:pPr>
        <w:spacing w:after="0" w:line="360" w:lineRule="auto"/>
        <w:ind w:firstLine="709"/>
        <w:jc w:val="both"/>
        <w:rPr>
          <w:rFonts w:ascii="Times New Roman" w:hAnsi="Times New Roman"/>
          <w:sz w:val="28"/>
          <w:szCs w:val="28"/>
          <w:lang w:val="uk-UA"/>
        </w:rPr>
      </w:pPr>
    </w:p>
    <w:p w14:paraId="6D1511F5" w14:textId="77777777" w:rsidR="009860FF" w:rsidRDefault="009860FF" w:rsidP="009860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74026A33" w14:textId="77777777" w:rsidR="009860FF" w:rsidRPr="009860FF" w:rsidRDefault="009860FF" w:rsidP="009860FF">
      <w:pPr>
        <w:pStyle w:val="ListParagraph"/>
        <w:numPr>
          <w:ilvl w:val="0"/>
          <w:numId w:val="15"/>
        </w:numPr>
        <w:spacing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Выявление факторов риска развития стоматологических заболеваний среди школьников г. Харькова / Л. С. Кривенко // Медицина сегодня и завтра. – 2016. – №4 (73).– С.92-95.</w:t>
      </w:r>
    </w:p>
    <w:p w14:paraId="4D73C338" w14:textId="05FABCFC" w:rsidR="009860FF" w:rsidRDefault="009860FF" w:rsidP="009860FF">
      <w:pPr>
        <w:pStyle w:val="ListParagraph"/>
        <w:numPr>
          <w:ilvl w:val="0"/>
          <w:numId w:val="15"/>
        </w:numPr>
        <w:spacing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Закономірності розвитку та формування зубощелепної системи дітей, народжених передчасно / І. Ю. Кондратова, Р. С. Назарян, А. О. Хоценко, Л. С. Кривенко // Медицина сегодня и завтра. – 2015. – № 4 (69). – С. 125-127.</w:t>
      </w:r>
    </w:p>
    <w:p w14:paraId="28462F30" w14:textId="0FA7D482" w:rsidR="00E6538B" w:rsidRPr="00534F67" w:rsidRDefault="009860FF" w:rsidP="00534F67">
      <w:pPr>
        <w:pStyle w:val="ListParagraph"/>
        <w:numPr>
          <w:ilvl w:val="0"/>
          <w:numId w:val="15"/>
        </w:numPr>
        <w:spacing w:line="360" w:lineRule="auto"/>
        <w:jc w:val="both"/>
        <w:rPr>
          <w:rFonts w:ascii="Times New Roman" w:hAnsi="Times New Roman"/>
          <w:sz w:val="28"/>
          <w:szCs w:val="28"/>
        </w:rPr>
      </w:pPr>
      <w:r w:rsidRPr="009860FF">
        <w:rPr>
          <w:rFonts w:ascii="Times New Roman" w:hAnsi="Times New Roman"/>
          <w:sz w:val="28"/>
          <w:szCs w:val="28"/>
        </w:rPr>
        <w:t xml:space="preserve">Kryvenko L. S. Functional diagnostic using Electrical Impedance Tomography Reconstruction and the Internet of Things / L. S. Kryvenko, A. A. Pulavskyi, S. S. Krivenko // 2017 6th Mediterranean Conference on Embedded Computing (MECO): proceedings, research monograph. – 2017. – </w:t>
      </w:r>
      <w:r w:rsidRPr="009860FF">
        <w:rPr>
          <w:rFonts w:ascii="Times New Roman" w:hAnsi="Times New Roman"/>
          <w:sz w:val="28"/>
          <w:szCs w:val="28"/>
          <w:lang w:val="ru-RU"/>
        </w:rPr>
        <w:t>Р</w:t>
      </w:r>
      <w:r w:rsidRPr="009860FF">
        <w:rPr>
          <w:rFonts w:ascii="Times New Roman" w:hAnsi="Times New Roman"/>
          <w:sz w:val="28"/>
          <w:szCs w:val="28"/>
        </w:rPr>
        <w:t>.379-382</w:t>
      </w:r>
    </w:p>
    <w:p w14:paraId="1C3AC673" w14:textId="77777777" w:rsidR="00534F67" w:rsidRDefault="00534F67">
      <w:pPr>
        <w:rPr>
          <w:rFonts w:asciiTheme="majorHAnsi" w:eastAsiaTheme="majorEastAsia" w:hAnsiTheme="majorHAnsi" w:cstheme="majorBidi"/>
          <w:color w:val="2E74B5" w:themeColor="accent1" w:themeShade="BF"/>
          <w:sz w:val="32"/>
          <w:szCs w:val="32"/>
          <w:lang w:val="uk-UA"/>
        </w:rPr>
      </w:pPr>
      <w:r>
        <w:rPr>
          <w:lang w:val="uk-UA"/>
        </w:rPr>
        <w:br w:type="page"/>
      </w:r>
    </w:p>
    <w:p w14:paraId="6B567044" w14:textId="6FA24629" w:rsidR="00936303" w:rsidRDefault="00936303" w:rsidP="00936303">
      <w:pPr>
        <w:pStyle w:val="Heading1"/>
        <w:spacing w:before="0" w:line="360" w:lineRule="auto"/>
        <w:jc w:val="center"/>
        <w:rPr>
          <w:rFonts w:ascii="Times New Roman" w:hAnsi="Times New Roman" w:cs="Times New Roman"/>
          <w:color w:val="auto"/>
          <w:sz w:val="28"/>
          <w:szCs w:val="28"/>
          <w:lang w:val="uk-UA"/>
        </w:rPr>
      </w:pPr>
      <w:bookmarkStart w:id="34" w:name="_Toc507575327"/>
      <w:r>
        <w:rPr>
          <w:rFonts w:ascii="Times New Roman" w:hAnsi="Times New Roman" w:cs="Times New Roman"/>
          <w:color w:val="auto"/>
          <w:sz w:val="28"/>
          <w:szCs w:val="28"/>
          <w:lang w:val="uk-UA"/>
        </w:rPr>
        <w:t>РОЗДІЛ 8</w:t>
      </w:r>
      <w:bookmarkEnd w:id="34"/>
    </w:p>
    <w:p w14:paraId="01C408A8" w14:textId="77777777" w:rsidR="00936303" w:rsidRPr="00936303" w:rsidRDefault="00936303" w:rsidP="00936303">
      <w:pPr>
        <w:rPr>
          <w:lang w:val="uk-UA"/>
        </w:rPr>
      </w:pPr>
    </w:p>
    <w:p w14:paraId="35FBD461" w14:textId="24B220CE" w:rsidR="001624CF" w:rsidRDefault="00936303" w:rsidP="00936303">
      <w:pPr>
        <w:pStyle w:val="Heading1"/>
        <w:spacing w:before="0" w:line="360" w:lineRule="auto"/>
        <w:jc w:val="center"/>
        <w:rPr>
          <w:rFonts w:ascii="Times New Roman" w:hAnsi="Times New Roman" w:cs="Times New Roman"/>
          <w:color w:val="auto"/>
          <w:sz w:val="28"/>
          <w:szCs w:val="28"/>
          <w:lang w:val="uk-UA"/>
        </w:rPr>
      </w:pPr>
      <w:bookmarkStart w:id="35" w:name="_Toc507575328"/>
      <w:r w:rsidRPr="00936303">
        <w:rPr>
          <w:rFonts w:ascii="Times New Roman" w:hAnsi="Times New Roman" w:cs="Times New Roman"/>
          <w:color w:val="auto"/>
          <w:sz w:val="28"/>
          <w:szCs w:val="28"/>
          <w:lang w:val="uk-UA"/>
        </w:rPr>
        <w:t>РЕЗУЛЬТАТИ РЕГРЕСІЙНОГО АНАЛІЗУ ЗАЛЕЖНОСТІ СТОМАТОЛОГІЧНОГО ТА ІМУНОМЕТАБОЛІЧНОГО СТАТУСУ ПАЦІЄНТІВ НА ТЛІ АТОПІЧНИХ ЗАХВОРЮВАНЬ</w:t>
      </w:r>
      <w:bookmarkEnd w:id="35"/>
    </w:p>
    <w:p w14:paraId="588CBEC4" w14:textId="77777777" w:rsidR="00936303" w:rsidRPr="00936303" w:rsidRDefault="00936303" w:rsidP="00936303">
      <w:pPr>
        <w:rPr>
          <w:lang w:val="uk-UA"/>
        </w:rPr>
      </w:pPr>
    </w:p>
    <w:p w14:paraId="69617DC1" w14:textId="77777777" w:rsidR="006C6396" w:rsidRDefault="006C6396" w:rsidP="00C219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проведеного нами дослідження нами були отримані та проаналізовані масиви клінічних, клініко-лабораторних та лабораторних даних. Ми змогли порівняти дані, які характеризують загальний клінічний статус, оксидантний та імунний статус (як мукозальний, так і загальний), провести їх аналіз у динаміці з певною достовірністю. Проте для виявлення залежності одних показників від інших, у сучасному аспекті доказової медицини, для використання результатів проведеного дослідження для виявлення найбільш важливих прогностичних біомаркерів, потрібні вагомі статистичні методи аналізу даних. У зв’язку з поставленою метою виявити прогностичні та діагностичні біомаркери у дітей з атопічними захворюваннями, нами був проведений регресійний аналіз отриманих даних.</w:t>
      </w:r>
    </w:p>
    <w:p w14:paraId="5C2244E8" w14:textId="10B28CFE" w:rsidR="006C6396" w:rsidRPr="006C6396" w:rsidRDefault="00030031" w:rsidP="00C2197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Регресійний ан</w:t>
      </w:r>
      <w:r w:rsidR="006C6396" w:rsidRPr="006C6396">
        <w:rPr>
          <w:rFonts w:ascii="Times New Roman" w:hAnsi="Times New Roman" w:cs="Times New Roman"/>
          <w:sz w:val="28"/>
          <w:szCs w:val="28"/>
          <w:lang w:val="uk-UA"/>
        </w:rPr>
        <w:t>аліз — розділ математичної статистики, присвячений методам аналізу залежності однієї величини від іншої. На відміну від кореляційного аналізу не з'ясовує чи істотний зв'язок, а займається пошуком моделі цього зв'язку, вираженої у функції регресії [</w:t>
      </w:r>
      <w:r w:rsidR="00245372">
        <w:rPr>
          <w:rFonts w:ascii="Times New Roman" w:hAnsi="Times New Roman" w:cs="Times New Roman"/>
          <w:sz w:val="28"/>
          <w:szCs w:val="28"/>
          <w:lang w:val="uk-UA"/>
        </w:rPr>
        <w:t>305</w:t>
      </w:r>
      <w:r w:rsidR="00F7440D" w:rsidRPr="00F7440D">
        <w:rPr>
          <w:rFonts w:ascii="Times New Roman" w:hAnsi="Times New Roman" w:cs="Times New Roman"/>
          <w:sz w:val="28"/>
          <w:szCs w:val="28"/>
          <w:lang w:val="uk-UA"/>
        </w:rPr>
        <w:t>-</w:t>
      </w:r>
      <w:r w:rsidR="00245372">
        <w:rPr>
          <w:rFonts w:ascii="Times New Roman" w:hAnsi="Times New Roman" w:cs="Times New Roman"/>
          <w:sz w:val="28"/>
          <w:szCs w:val="28"/>
          <w:lang w:val="uk-UA"/>
        </w:rPr>
        <w:t>308</w:t>
      </w:r>
      <w:r w:rsidR="006C6396" w:rsidRPr="006C6396">
        <w:rPr>
          <w:rFonts w:ascii="Times New Roman" w:hAnsi="Times New Roman" w:cs="Times New Roman"/>
          <w:sz w:val="28"/>
          <w:szCs w:val="28"/>
          <w:lang w:val="uk-UA"/>
        </w:rPr>
        <w:t>].</w:t>
      </w:r>
    </w:p>
    <w:p w14:paraId="09F9A30E" w14:textId="1AAF91E0" w:rsidR="006C6396" w:rsidRPr="00E96E97" w:rsidRDefault="006C6396" w:rsidP="00C21976">
      <w:pPr>
        <w:spacing w:line="360" w:lineRule="auto"/>
        <w:ind w:firstLine="709"/>
        <w:jc w:val="both"/>
        <w:rPr>
          <w:rFonts w:ascii="Times New Roman" w:hAnsi="Times New Roman" w:cs="Times New Roman"/>
          <w:sz w:val="28"/>
          <w:szCs w:val="28"/>
          <w:lang w:val="uk-UA"/>
        </w:rPr>
      </w:pPr>
      <w:r w:rsidRPr="00E96E97">
        <w:rPr>
          <w:rFonts w:ascii="Times New Roman" w:hAnsi="Times New Roman" w:cs="Times New Roman"/>
          <w:sz w:val="28"/>
          <w:szCs w:val="28"/>
          <w:lang w:val="uk-UA"/>
        </w:rPr>
        <w:t>Регресійний аналіз використовується в тому випадку, якщо відношення між змінними можуть бути виражені кількісно у виді деякої комбінації цих змінних. Отримана комбінація використовується для передбачення значення, що може приймати цільова (залежна) змінна, яка обчислюється на заданому наборі значень вхідних (незалежних) змінних. У найпростішому випадку для цього використовуються стандартні статистичні методи, такі як лінійна регресія. На жаль, більшість реальних моделей не вкладаються в рамки лінійної регресії</w:t>
      </w:r>
      <w:r w:rsidR="00030031" w:rsidRPr="00E96E97">
        <w:rPr>
          <w:rFonts w:ascii="Times New Roman" w:hAnsi="Times New Roman" w:cs="Times New Roman"/>
          <w:sz w:val="28"/>
          <w:szCs w:val="28"/>
          <w:lang w:val="uk-UA"/>
        </w:rPr>
        <w:t xml:space="preserve">. </w:t>
      </w:r>
      <w:r w:rsidRPr="00E96E97">
        <w:rPr>
          <w:rFonts w:ascii="Times New Roman" w:hAnsi="Times New Roman" w:cs="Times New Roman"/>
          <w:sz w:val="28"/>
          <w:szCs w:val="28"/>
          <w:lang w:val="uk-UA"/>
        </w:rPr>
        <w:t xml:space="preserve">Таким чином, необхідні комплексні методи для передбачення майбутніх значень </w:t>
      </w:r>
      <w:r w:rsidRPr="00E96E97">
        <w:rPr>
          <w:rFonts w:ascii="Times New Roman" w:hAnsi="Times New Roman" w:cs="Times New Roman"/>
          <w:sz w:val="28"/>
          <w:szCs w:val="28"/>
          <w:lang w:val="ru-RU"/>
        </w:rPr>
        <w:t>[</w:t>
      </w:r>
      <w:r w:rsidR="00245372">
        <w:rPr>
          <w:rFonts w:ascii="Times New Roman" w:hAnsi="Times New Roman" w:cs="Times New Roman"/>
          <w:sz w:val="28"/>
          <w:szCs w:val="28"/>
          <w:lang w:val="ru-RU"/>
        </w:rPr>
        <w:t>307</w:t>
      </w:r>
      <w:r w:rsidRPr="00E96E97">
        <w:rPr>
          <w:rFonts w:ascii="Times New Roman" w:hAnsi="Times New Roman" w:cs="Times New Roman"/>
          <w:sz w:val="28"/>
          <w:szCs w:val="28"/>
          <w:lang w:val="ru-RU"/>
        </w:rPr>
        <w:t>]</w:t>
      </w:r>
      <w:r w:rsidRPr="00E96E97">
        <w:rPr>
          <w:rFonts w:ascii="Times New Roman" w:hAnsi="Times New Roman" w:cs="Times New Roman"/>
          <w:sz w:val="28"/>
          <w:szCs w:val="28"/>
          <w:lang w:val="uk-UA"/>
        </w:rPr>
        <w:t>.</w:t>
      </w:r>
    </w:p>
    <w:p w14:paraId="7E621059" w14:textId="43EFD8C8" w:rsidR="006C6396" w:rsidRPr="00F7440D" w:rsidRDefault="006C6396"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Ступінь запалення ясен ми оцінювали за двома індексами – РМА та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Для регресійного аналізу ми використовували обидва індекса для комплексного відображення клінічної картини та отриманих даних.</w:t>
      </w:r>
    </w:p>
    <w:p w14:paraId="52EA3D0A" w14:textId="7E9346E1" w:rsidR="00155122" w:rsidRPr="00F7440D" w:rsidRDefault="00155122"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Ми провели регресійний аналіз даних у другій групі пацієнтів, у яких, згідно даних клінічного обстеження, були майже відсутні симптоми гінгівіту на початку дослідження, проте лікарями-алергологами був встановлений діагноз атопічних захворювань. Індекс РМА у даної групи пацієнтів на початку дослідження дорівнював 6,86</w:t>
      </w:r>
      <w:r w:rsidRPr="00F7440D">
        <w:rPr>
          <w:rFonts w:ascii="Times New Roman" w:hAnsi="Times New Roman" w:cs="Times New Roman"/>
          <w:sz w:val="28"/>
          <w:szCs w:val="28"/>
          <w:lang w:val="uk-UA"/>
        </w:rPr>
        <w:t>±</w:t>
      </w:r>
      <w:r w:rsidRPr="00F7440D">
        <w:rPr>
          <w:rFonts w:ascii="Times New Roman" w:hAnsi="Times New Roman"/>
          <w:sz w:val="28"/>
          <w:szCs w:val="28"/>
          <w:lang w:val="uk-UA"/>
        </w:rPr>
        <w:t>1,53 %, рівень імуноглобуліну А знаходився у межах 2,02</w:t>
      </w:r>
      <w:r w:rsidRPr="00F7440D">
        <w:rPr>
          <w:rFonts w:ascii="Times New Roman" w:hAnsi="Times New Roman" w:cs="Times New Roman"/>
          <w:sz w:val="28"/>
          <w:szCs w:val="28"/>
          <w:lang w:val="uk-UA"/>
        </w:rPr>
        <w:t>±</w:t>
      </w:r>
      <w:r w:rsidRPr="00F7440D">
        <w:rPr>
          <w:rFonts w:ascii="Times New Roman" w:hAnsi="Times New Roman"/>
          <w:sz w:val="28"/>
          <w:szCs w:val="28"/>
          <w:lang w:val="uk-UA"/>
        </w:rPr>
        <w:t>1,45 г/л</w:t>
      </w:r>
      <w:r w:rsidR="00245372" w:rsidRPr="00245372">
        <w:rPr>
          <w:rFonts w:ascii="Times New Roman" w:hAnsi="Times New Roman"/>
          <w:sz w:val="28"/>
          <w:szCs w:val="28"/>
          <w:lang w:val="uk-UA"/>
        </w:rPr>
        <w:t xml:space="preserve"> [309]</w:t>
      </w:r>
      <w:r w:rsidRPr="00F7440D">
        <w:rPr>
          <w:rFonts w:ascii="Times New Roman" w:hAnsi="Times New Roman"/>
          <w:sz w:val="28"/>
          <w:szCs w:val="28"/>
          <w:lang w:val="uk-UA"/>
        </w:rPr>
        <w:t xml:space="preserve">.  </w:t>
      </w:r>
    </w:p>
    <w:p w14:paraId="138DD9F9" w14:textId="16639F97" w:rsidR="006C6396" w:rsidRPr="00F7440D" w:rsidRDefault="008A765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Результати дослідження взаємозв’язку між рівнем імуноглобуліну А та папілярно-маргінально-альвеолярним індексом та регресійний аналіз даних наведений у таблицях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.1,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.2, </w:t>
      </w:r>
      <w:r w:rsidR="00E96E97" w:rsidRPr="00F7440D">
        <w:rPr>
          <w:rFonts w:ascii="Times New Roman" w:hAnsi="Times New Roman"/>
          <w:sz w:val="28"/>
          <w:szCs w:val="28"/>
          <w:lang w:val="uk-UA"/>
        </w:rPr>
        <w:t>8</w:t>
      </w:r>
      <w:r w:rsidRPr="00F7440D">
        <w:rPr>
          <w:rFonts w:ascii="Times New Roman" w:hAnsi="Times New Roman"/>
          <w:sz w:val="28"/>
          <w:szCs w:val="28"/>
          <w:lang w:val="uk-UA"/>
        </w:rPr>
        <w:t>.3.</w:t>
      </w:r>
    </w:p>
    <w:p w14:paraId="28AAA6B8" w14:textId="77E7DF34"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w:t>
      </w:r>
      <w:r w:rsidR="005F4C06" w:rsidRPr="00F7440D">
        <w:rPr>
          <w:rFonts w:ascii="Times New Roman" w:hAnsi="Times New Roman"/>
          <w:sz w:val="28"/>
          <w:szCs w:val="28"/>
          <w:lang w:val="uk-UA"/>
        </w:rPr>
        <w:t>1</w:t>
      </w:r>
    </w:p>
    <w:p w14:paraId="10EC85B8" w14:textId="35CABA16"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8A765B" w:rsidRPr="00F7440D" w14:paraId="18F234B6" w14:textId="77777777" w:rsidTr="00A330AC">
        <w:trPr>
          <w:trHeight w:val="157"/>
        </w:trPr>
        <w:tc>
          <w:tcPr>
            <w:tcW w:w="9688" w:type="dxa"/>
            <w:gridSpan w:val="2"/>
            <w:shd w:val="clear" w:color="auto" w:fill="auto"/>
            <w:noWrap/>
            <w:hideMark/>
          </w:tcPr>
          <w:p w14:paraId="5CD2AAE0"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lang w:val="uk-UA"/>
              </w:rPr>
              <w:t>Регресійна статистика</w:t>
            </w:r>
          </w:p>
        </w:tc>
      </w:tr>
      <w:tr w:rsidR="008A765B" w:rsidRPr="00F7440D" w14:paraId="285F69F4" w14:textId="77777777" w:rsidTr="008A765B">
        <w:trPr>
          <w:trHeight w:val="157"/>
        </w:trPr>
        <w:tc>
          <w:tcPr>
            <w:tcW w:w="5632" w:type="dxa"/>
            <w:shd w:val="clear" w:color="auto" w:fill="auto"/>
            <w:noWrap/>
            <w:hideMark/>
          </w:tcPr>
          <w:p w14:paraId="1EDCDBB9"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hideMark/>
          </w:tcPr>
          <w:p w14:paraId="19E60520" w14:textId="5138C9AB"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0.871753382</w:t>
            </w:r>
          </w:p>
        </w:tc>
      </w:tr>
      <w:tr w:rsidR="008A765B" w:rsidRPr="00F7440D" w14:paraId="45E43236" w14:textId="77777777" w:rsidTr="008A765B">
        <w:trPr>
          <w:trHeight w:val="157"/>
        </w:trPr>
        <w:tc>
          <w:tcPr>
            <w:tcW w:w="5632" w:type="dxa"/>
            <w:shd w:val="clear" w:color="auto" w:fill="auto"/>
            <w:noWrap/>
            <w:hideMark/>
          </w:tcPr>
          <w:p w14:paraId="6F707A7F"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hideMark/>
          </w:tcPr>
          <w:p w14:paraId="49185791" w14:textId="56EE771B"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0.75995396</w:t>
            </w:r>
          </w:p>
        </w:tc>
      </w:tr>
      <w:tr w:rsidR="008A765B" w:rsidRPr="00F7440D" w14:paraId="4948907A" w14:textId="77777777" w:rsidTr="008A765B">
        <w:trPr>
          <w:trHeight w:val="157"/>
        </w:trPr>
        <w:tc>
          <w:tcPr>
            <w:tcW w:w="5632" w:type="dxa"/>
            <w:shd w:val="clear" w:color="auto" w:fill="auto"/>
            <w:noWrap/>
            <w:hideMark/>
          </w:tcPr>
          <w:p w14:paraId="5E6727F8"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hideMark/>
          </w:tcPr>
          <w:p w14:paraId="36753394" w14:textId="0E6DE32A"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0.754953001</w:t>
            </w:r>
          </w:p>
        </w:tc>
      </w:tr>
      <w:tr w:rsidR="008A765B" w:rsidRPr="00F7440D" w14:paraId="1435F1D9" w14:textId="77777777" w:rsidTr="008A765B">
        <w:trPr>
          <w:trHeight w:val="157"/>
        </w:trPr>
        <w:tc>
          <w:tcPr>
            <w:tcW w:w="5632" w:type="dxa"/>
            <w:shd w:val="clear" w:color="auto" w:fill="auto"/>
            <w:noWrap/>
            <w:hideMark/>
          </w:tcPr>
          <w:p w14:paraId="7FDB7EBE" w14:textId="77777777" w:rsidR="008A765B" w:rsidRPr="00F7440D" w:rsidRDefault="008A765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hideMark/>
          </w:tcPr>
          <w:p w14:paraId="229A4AD7" w14:textId="1536F83F" w:rsidR="008A765B" w:rsidRPr="00F7440D" w:rsidRDefault="008A765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0.755122086</w:t>
            </w:r>
          </w:p>
        </w:tc>
      </w:tr>
      <w:tr w:rsidR="008A765B" w:rsidRPr="00F7440D" w14:paraId="6DED49B9" w14:textId="77777777" w:rsidTr="008A765B">
        <w:trPr>
          <w:trHeight w:val="166"/>
        </w:trPr>
        <w:tc>
          <w:tcPr>
            <w:tcW w:w="5632" w:type="dxa"/>
            <w:shd w:val="clear" w:color="auto" w:fill="auto"/>
            <w:noWrap/>
            <w:hideMark/>
          </w:tcPr>
          <w:p w14:paraId="748BE034" w14:textId="77777777" w:rsidR="008A765B" w:rsidRPr="00F7440D" w:rsidRDefault="008A765B"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hideMark/>
          </w:tcPr>
          <w:p w14:paraId="35252AF2" w14:textId="030EB2D2" w:rsidR="008A765B" w:rsidRPr="00F7440D" w:rsidRDefault="008A765B"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50</w:t>
            </w:r>
          </w:p>
        </w:tc>
      </w:tr>
    </w:tbl>
    <w:p w14:paraId="433226CF" w14:textId="77777777" w:rsidR="008A765B" w:rsidRPr="00F7440D" w:rsidRDefault="008A765B" w:rsidP="00F7440D">
      <w:pPr>
        <w:spacing w:after="0" w:line="360" w:lineRule="auto"/>
        <w:ind w:firstLine="709"/>
        <w:rPr>
          <w:rFonts w:ascii="Times New Roman" w:hAnsi="Times New Roman"/>
          <w:sz w:val="28"/>
          <w:szCs w:val="28"/>
          <w:lang w:val="uk-UA"/>
        </w:rPr>
      </w:pPr>
    </w:p>
    <w:p w14:paraId="5DC13BCD" w14:textId="2CC6E383" w:rsidR="000728CB" w:rsidRPr="00F7440D" w:rsidRDefault="008A765B"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точності прогнозу за його допомогою.</w:t>
      </w:r>
    </w:p>
    <w:p w14:paraId="63E58610" w14:textId="39F6288F"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5F4C06" w:rsidRPr="00F7440D">
        <w:rPr>
          <w:rFonts w:ascii="Times New Roman" w:hAnsi="Times New Roman"/>
          <w:sz w:val="28"/>
          <w:szCs w:val="28"/>
          <w:lang w:val="uk-UA"/>
        </w:rPr>
        <w:t>.2</w:t>
      </w:r>
    </w:p>
    <w:p w14:paraId="1D0DC6C2" w14:textId="101F91FD"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5F4C06" w:rsidRPr="00F7440D">
        <w:rPr>
          <w:rFonts w:ascii="Times New Roman" w:hAnsi="Times New Roman"/>
          <w:sz w:val="28"/>
          <w:szCs w:val="28"/>
          <w:lang w:val="uk-UA"/>
        </w:rPr>
        <w:t xml:space="preserve"> регресійної статистики рівнів імуноглобуліну А та індексу РМА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686"/>
        <w:gridCol w:w="1751"/>
        <w:gridCol w:w="1847"/>
      </w:tblGrid>
      <w:tr w:rsidR="008A765B" w:rsidRPr="00F7440D" w14:paraId="07AD0C81" w14:textId="77777777" w:rsidTr="005F4C06">
        <w:trPr>
          <w:trHeight w:val="255"/>
        </w:trPr>
        <w:tc>
          <w:tcPr>
            <w:tcW w:w="1420" w:type="dxa"/>
            <w:shd w:val="clear" w:color="auto" w:fill="auto"/>
            <w:noWrap/>
            <w:hideMark/>
          </w:tcPr>
          <w:p w14:paraId="348ECBEE" w14:textId="77777777" w:rsidR="008A765B" w:rsidRPr="00F7440D" w:rsidRDefault="008A765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65323FED" w14:textId="77777777" w:rsidR="008A765B" w:rsidRPr="00F7440D" w:rsidRDefault="008A765B"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53CB5877"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47" w:type="dxa"/>
            <w:shd w:val="clear" w:color="auto" w:fill="auto"/>
            <w:noWrap/>
            <w:hideMark/>
          </w:tcPr>
          <w:p w14:paraId="3B0DA040"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51" w:type="dxa"/>
            <w:shd w:val="clear" w:color="auto" w:fill="auto"/>
            <w:noWrap/>
            <w:hideMark/>
          </w:tcPr>
          <w:p w14:paraId="14C99AFC"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154B5FF6" w14:textId="77777777" w:rsidR="008A765B" w:rsidRPr="00F7440D" w:rsidRDefault="008A765B"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5F4C06" w:rsidRPr="00F7440D" w14:paraId="21214DF5" w14:textId="77777777" w:rsidTr="005F4C06">
        <w:trPr>
          <w:trHeight w:val="255"/>
        </w:trPr>
        <w:tc>
          <w:tcPr>
            <w:tcW w:w="1420" w:type="dxa"/>
            <w:shd w:val="clear" w:color="auto" w:fill="auto"/>
            <w:noWrap/>
            <w:hideMark/>
          </w:tcPr>
          <w:p w14:paraId="14C563D1"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hideMark/>
          </w:tcPr>
          <w:p w14:paraId="7393102E" w14:textId="40AFE0D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12" w:type="dxa"/>
            <w:shd w:val="clear" w:color="auto" w:fill="auto"/>
            <w:noWrap/>
            <w:hideMark/>
          </w:tcPr>
          <w:p w14:paraId="6BE0AAF2" w14:textId="752A21E7"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86.6499505</w:t>
            </w:r>
          </w:p>
        </w:tc>
        <w:tc>
          <w:tcPr>
            <w:tcW w:w="1647" w:type="dxa"/>
            <w:shd w:val="clear" w:color="auto" w:fill="auto"/>
            <w:noWrap/>
            <w:hideMark/>
          </w:tcPr>
          <w:p w14:paraId="250AF808" w14:textId="43CCEB63"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86.6499505</w:t>
            </w:r>
          </w:p>
        </w:tc>
        <w:tc>
          <w:tcPr>
            <w:tcW w:w="1751" w:type="dxa"/>
            <w:shd w:val="clear" w:color="auto" w:fill="auto"/>
            <w:noWrap/>
            <w:hideMark/>
          </w:tcPr>
          <w:p w14:paraId="30DA16F6" w14:textId="6933568B"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151.9616405</w:t>
            </w:r>
          </w:p>
        </w:tc>
        <w:tc>
          <w:tcPr>
            <w:tcW w:w="1847" w:type="dxa"/>
            <w:shd w:val="clear" w:color="auto" w:fill="auto"/>
            <w:noWrap/>
            <w:hideMark/>
          </w:tcPr>
          <w:p w14:paraId="39AF9CDB" w14:textId="21BC9C7C"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1.74997E-16</w:t>
            </w:r>
          </w:p>
        </w:tc>
      </w:tr>
      <w:tr w:rsidR="005F4C06" w:rsidRPr="00F7440D" w14:paraId="72EDCD76" w14:textId="77777777" w:rsidTr="005F4C06">
        <w:trPr>
          <w:trHeight w:val="255"/>
        </w:trPr>
        <w:tc>
          <w:tcPr>
            <w:tcW w:w="1420" w:type="dxa"/>
            <w:shd w:val="clear" w:color="auto" w:fill="auto"/>
            <w:noWrap/>
            <w:hideMark/>
          </w:tcPr>
          <w:p w14:paraId="15B88606"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hideMark/>
          </w:tcPr>
          <w:p w14:paraId="62FA5BBC" w14:textId="3A87895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48</w:t>
            </w:r>
          </w:p>
        </w:tc>
        <w:tc>
          <w:tcPr>
            <w:tcW w:w="1812" w:type="dxa"/>
            <w:shd w:val="clear" w:color="auto" w:fill="auto"/>
            <w:noWrap/>
            <w:hideMark/>
          </w:tcPr>
          <w:p w14:paraId="399E270B" w14:textId="650633D6"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27.3700495</w:t>
            </w:r>
          </w:p>
        </w:tc>
        <w:tc>
          <w:tcPr>
            <w:tcW w:w="1647" w:type="dxa"/>
            <w:shd w:val="clear" w:color="auto" w:fill="auto"/>
            <w:noWrap/>
            <w:hideMark/>
          </w:tcPr>
          <w:p w14:paraId="034CB27B" w14:textId="1D05D450"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0.570209365</w:t>
            </w:r>
          </w:p>
        </w:tc>
        <w:tc>
          <w:tcPr>
            <w:tcW w:w="1751" w:type="dxa"/>
            <w:shd w:val="clear" w:color="auto" w:fill="auto"/>
            <w:noWrap/>
            <w:hideMark/>
          </w:tcPr>
          <w:p w14:paraId="3067D839" w14:textId="77777777" w:rsidR="005F4C06" w:rsidRPr="00F7440D" w:rsidRDefault="005F4C06" w:rsidP="00F7440D">
            <w:pPr>
              <w:spacing w:after="0" w:line="360" w:lineRule="auto"/>
              <w:ind w:firstLine="709"/>
              <w:rPr>
                <w:rFonts w:ascii="Times New Roman" w:hAnsi="Times New Roman" w:cs="Times New Roman"/>
                <w:sz w:val="28"/>
                <w:szCs w:val="28"/>
              </w:rPr>
            </w:pPr>
          </w:p>
        </w:tc>
        <w:tc>
          <w:tcPr>
            <w:tcW w:w="1847" w:type="dxa"/>
            <w:shd w:val="clear" w:color="auto" w:fill="auto"/>
            <w:noWrap/>
            <w:hideMark/>
          </w:tcPr>
          <w:p w14:paraId="1ADEDDC0" w14:textId="77777777" w:rsidR="005F4C06" w:rsidRPr="00F7440D" w:rsidRDefault="005F4C06" w:rsidP="00F7440D">
            <w:pPr>
              <w:spacing w:after="0" w:line="360" w:lineRule="auto"/>
              <w:ind w:firstLine="709"/>
              <w:rPr>
                <w:rFonts w:ascii="Times New Roman" w:hAnsi="Times New Roman" w:cs="Times New Roman"/>
                <w:sz w:val="28"/>
                <w:szCs w:val="28"/>
              </w:rPr>
            </w:pPr>
          </w:p>
        </w:tc>
      </w:tr>
      <w:tr w:rsidR="005F4C06" w:rsidRPr="00F7440D" w14:paraId="089054A2" w14:textId="77777777" w:rsidTr="005F4C06">
        <w:trPr>
          <w:trHeight w:val="270"/>
        </w:trPr>
        <w:tc>
          <w:tcPr>
            <w:tcW w:w="1420" w:type="dxa"/>
            <w:shd w:val="clear" w:color="auto" w:fill="auto"/>
            <w:noWrap/>
            <w:hideMark/>
          </w:tcPr>
          <w:p w14:paraId="27F02958" w14:textId="77777777" w:rsidR="005F4C06" w:rsidRPr="00F7440D" w:rsidRDefault="005F4C06"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hideMark/>
          </w:tcPr>
          <w:p w14:paraId="436EEA03" w14:textId="639DFDC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49</w:t>
            </w:r>
          </w:p>
        </w:tc>
        <w:tc>
          <w:tcPr>
            <w:tcW w:w="1812" w:type="dxa"/>
            <w:shd w:val="clear" w:color="auto" w:fill="auto"/>
            <w:noWrap/>
            <w:hideMark/>
          </w:tcPr>
          <w:p w14:paraId="11145527" w14:textId="7504ADE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114.02</w:t>
            </w:r>
          </w:p>
        </w:tc>
        <w:tc>
          <w:tcPr>
            <w:tcW w:w="1647" w:type="dxa"/>
            <w:shd w:val="clear" w:color="auto" w:fill="auto"/>
            <w:noWrap/>
            <w:hideMark/>
          </w:tcPr>
          <w:p w14:paraId="54136766" w14:textId="4F908FD9" w:rsidR="005F4C06" w:rsidRPr="00F7440D" w:rsidRDefault="005F4C06" w:rsidP="00F7440D">
            <w:pPr>
              <w:spacing w:after="0" w:line="360" w:lineRule="auto"/>
              <w:ind w:firstLine="709"/>
              <w:rPr>
                <w:rFonts w:ascii="Times New Roman" w:hAnsi="Times New Roman" w:cs="Times New Roman"/>
                <w:sz w:val="28"/>
                <w:szCs w:val="28"/>
              </w:rPr>
            </w:pPr>
          </w:p>
        </w:tc>
        <w:tc>
          <w:tcPr>
            <w:tcW w:w="1751" w:type="dxa"/>
            <w:shd w:val="clear" w:color="auto" w:fill="auto"/>
            <w:noWrap/>
            <w:hideMark/>
          </w:tcPr>
          <w:p w14:paraId="077290AB" w14:textId="77EB4754" w:rsidR="005F4C06" w:rsidRPr="00F7440D" w:rsidRDefault="005F4C06" w:rsidP="00F7440D">
            <w:pPr>
              <w:spacing w:after="0" w:line="360" w:lineRule="auto"/>
              <w:ind w:firstLine="709"/>
              <w:rPr>
                <w:rFonts w:ascii="Times New Roman" w:hAnsi="Times New Roman" w:cs="Times New Roman"/>
                <w:sz w:val="28"/>
                <w:szCs w:val="28"/>
              </w:rPr>
            </w:pPr>
          </w:p>
        </w:tc>
        <w:tc>
          <w:tcPr>
            <w:tcW w:w="1847" w:type="dxa"/>
            <w:shd w:val="clear" w:color="auto" w:fill="auto"/>
            <w:noWrap/>
            <w:hideMark/>
          </w:tcPr>
          <w:p w14:paraId="5124B714" w14:textId="181C5702" w:rsidR="005F4C06" w:rsidRPr="00F7440D" w:rsidRDefault="005F4C06" w:rsidP="00F7440D">
            <w:pPr>
              <w:spacing w:after="0" w:line="360" w:lineRule="auto"/>
              <w:ind w:firstLine="709"/>
              <w:rPr>
                <w:rFonts w:ascii="Times New Roman" w:hAnsi="Times New Roman" w:cs="Times New Roman"/>
                <w:sz w:val="28"/>
                <w:szCs w:val="28"/>
              </w:rPr>
            </w:pPr>
          </w:p>
        </w:tc>
      </w:tr>
    </w:tbl>
    <w:p w14:paraId="240B8094" w14:textId="77777777" w:rsidR="008A765B" w:rsidRPr="00F7440D" w:rsidRDefault="008A765B" w:rsidP="00F7440D">
      <w:pPr>
        <w:spacing w:after="0" w:line="360" w:lineRule="auto"/>
        <w:ind w:firstLine="709"/>
        <w:rPr>
          <w:rFonts w:ascii="Times New Roman" w:hAnsi="Times New Roman"/>
          <w:sz w:val="28"/>
          <w:szCs w:val="28"/>
          <w:lang w:val="uk-UA"/>
        </w:rPr>
      </w:pPr>
    </w:p>
    <w:p w14:paraId="589A4F6D" w14:textId="1FEB4D1B" w:rsidR="005F4C06" w:rsidRPr="00F7440D" w:rsidRDefault="008A765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5F4C06" w:rsidRPr="00F7440D">
        <w:rPr>
          <w:rFonts w:ascii="Times New Roman" w:hAnsi="Times New Roman"/>
          <w:sz w:val="28"/>
          <w:szCs w:val="28"/>
          <w:lang w:val="uk-UA"/>
        </w:rPr>
        <w:t>.3</w:t>
      </w:r>
    </w:p>
    <w:p w14:paraId="68506A4E" w14:textId="59201504" w:rsidR="008A765B" w:rsidRPr="00F7440D" w:rsidRDefault="008A765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r w:rsidR="005F4C06" w:rsidRPr="00F7440D">
        <w:rPr>
          <w:rFonts w:ascii="Times New Roman" w:hAnsi="Times New Roman"/>
          <w:sz w:val="28"/>
          <w:szCs w:val="28"/>
          <w:lang w:val="uk-UA"/>
        </w:rPr>
        <w:t xml:space="preserve">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4"/>
        <w:gridCol w:w="2070"/>
        <w:gridCol w:w="1893"/>
        <w:gridCol w:w="1559"/>
      </w:tblGrid>
      <w:tr w:rsidR="008A765B" w:rsidRPr="00F7440D" w14:paraId="3992C449" w14:textId="77777777" w:rsidTr="005F4C06">
        <w:trPr>
          <w:trHeight w:val="255"/>
        </w:trPr>
        <w:tc>
          <w:tcPr>
            <w:tcW w:w="1639" w:type="dxa"/>
            <w:shd w:val="clear" w:color="auto" w:fill="auto"/>
            <w:noWrap/>
            <w:hideMark/>
          </w:tcPr>
          <w:p w14:paraId="700B298B"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 </w:t>
            </w:r>
          </w:p>
        </w:tc>
        <w:tc>
          <w:tcPr>
            <w:tcW w:w="2184" w:type="dxa"/>
            <w:shd w:val="clear" w:color="auto" w:fill="auto"/>
            <w:noWrap/>
            <w:hideMark/>
          </w:tcPr>
          <w:p w14:paraId="7745B952" w14:textId="77777777" w:rsidR="008A765B" w:rsidRPr="00F7440D" w:rsidRDefault="008A765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70" w:type="dxa"/>
            <w:shd w:val="clear" w:color="auto" w:fill="auto"/>
            <w:noWrap/>
            <w:hideMark/>
          </w:tcPr>
          <w:p w14:paraId="48E37A7F" w14:textId="77777777" w:rsidR="008A765B" w:rsidRPr="00F7440D" w:rsidRDefault="008A765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3" w:type="dxa"/>
            <w:shd w:val="clear" w:color="auto" w:fill="auto"/>
            <w:noWrap/>
            <w:hideMark/>
          </w:tcPr>
          <w:p w14:paraId="59DF2FC7" w14:textId="77777777" w:rsidR="008A765B" w:rsidRPr="00F7440D" w:rsidRDefault="008A765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9" w:type="dxa"/>
            <w:shd w:val="clear" w:color="auto" w:fill="auto"/>
            <w:noWrap/>
            <w:hideMark/>
          </w:tcPr>
          <w:p w14:paraId="6238D6BC" w14:textId="77777777" w:rsidR="008A765B" w:rsidRPr="00F7440D" w:rsidRDefault="008A765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5F4C06" w:rsidRPr="00F7440D" w14:paraId="4ADFFFD8" w14:textId="77777777" w:rsidTr="005F4C06">
        <w:trPr>
          <w:trHeight w:val="255"/>
        </w:trPr>
        <w:tc>
          <w:tcPr>
            <w:tcW w:w="1639" w:type="dxa"/>
            <w:shd w:val="clear" w:color="auto" w:fill="auto"/>
            <w:noWrap/>
            <w:hideMark/>
          </w:tcPr>
          <w:p w14:paraId="4E810421"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4" w:type="dxa"/>
            <w:shd w:val="clear" w:color="auto" w:fill="auto"/>
            <w:noWrap/>
            <w:hideMark/>
          </w:tcPr>
          <w:p w14:paraId="46883723" w14:textId="137672C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10.85519802</w:t>
            </w:r>
          </w:p>
        </w:tc>
        <w:tc>
          <w:tcPr>
            <w:tcW w:w="2070" w:type="dxa"/>
            <w:shd w:val="clear" w:color="auto" w:fill="auto"/>
            <w:noWrap/>
            <w:hideMark/>
          </w:tcPr>
          <w:p w14:paraId="72B808B0" w14:textId="6E7E9D9A"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0.341234917</w:t>
            </w:r>
          </w:p>
        </w:tc>
        <w:tc>
          <w:tcPr>
            <w:tcW w:w="1893" w:type="dxa"/>
            <w:shd w:val="clear" w:color="auto" w:fill="auto"/>
            <w:noWrap/>
            <w:hideMark/>
          </w:tcPr>
          <w:p w14:paraId="19323303" w14:textId="30AEAA2C"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31.81151011</w:t>
            </w:r>
          </w:p>
        </w:tc>
        <w:tc>
          <w:tcPr>
            <w:tcW w:w="1559" w:type="dxa"/>
            <w:shd w:val="clear" w:color="auto" w:fill="auto"/>
            <w:noWrap/>
            <w:hideMark/>
          </w:tcPr>
          <w:p w14:paraId="35DBC34C" w14:textId="52B144FA"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6.47787E-34</w:t>
            </w:r>
          </w:p>
        </w:tc>
      </w:tr>
      <w:tr w:rsidR="005F4C06" w:rsidRPr="00F7440D" w14:paraId="18C70D01" w14:textId="77777777" w:rsidTr="005F4C06">
        <w:trPr>
          <w:trHeight w:val="270"/>
        </w:trPr>
        <w:tc>
          <w:tcPr>
            <w:tcW w:w="1639" w:type="dxa"/>
            <w:shd w:val="clear" w:color="auto" w:fill="auto"/>
            <w:noWrap/>
            <w:hideMark/>
          </w:tcPr>
          <w:p w14:paraId="0E66D504" w14:textId="77777777" w:rsidR="005F4C06" w:rsidRPr="00F7440D" w:rsidRDefault="005F4C06"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4" w:type="dxa"/>
            <w:shd w:val="clear" w:color="auto" w:fill="auto"/>
            <w:noWrap/>
            <w:hideMark/>
          </w:tcPr>
          <w:p w14:paraId="1A06C23D" w14:textId="7C287F24"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-1.637376238</w:t>
            </w:r>
          </w:p>
        </w:tc>
        <w:tc>
          <w:tcPr>
            <w:tcW w:w="2070" w:type="dxa"/>
            <w:shd w:val="clear" w:color="auto" w:fill="auto"/>
            <w:noWrap/>
            <w:hideMark/>
          </w:tcPr>
          <w:p w14:paraId="10565217" w14:textId="4E8C8151"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0.132825511</w:t>
            </w:r>
          </w:p>
        </w:tc>
        <w:tc>
          <w:tcPr>
            <w:tcW w:w="1893" w:type="dxa"/>
            <w:shd w:val="clear" w:color="auto" w:fill="auto"/>
            <w:noWrap/>
            <w:hideMark/>
          </w:tcPr>
          <w:p w14:paraId="5A97EB1C" w14:textId="4F66D2F4"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-12.32727223</w:t>
            </w:r>
          </w:p>
        </w:tc>
        <w:tc>
          <w:tcPr>
            <w:tcW w:w="1559" w:type="dxa"/>
            <w:shd w:val="clear" w:color="auto" w:fill="auto"/>
            <w:noWrap/>
            <w:hideMark/>
          </w:tcPr>
          <w:p w14:paraId="11237834" w14:textId="3F79F108" w:rsidR="005F4C06" w:rsidRPr="00F7440D" w:rsidRDefault="005F4C06"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1.74997E-16</w:t>
            </w:r>
          </w:p>
        </w:tc>
      </w:tr>
    </w:tbl>
    <w:p w14:paraId="79C9BD8D" w14:textId="77777777" w:rsidR="009C0198" w:rsidRPr="00F7440D" w:rsidRDefault="009C0198" w:rsidP="00F7440D">
      <w:pPr>
        <w:spacing w:after="0" w:line="360" w:lineRule="auto"/>
        <w:ind w:firstLine="709"/>
        <w:jc w:val="both"/>
        <w:rPr>
          <w:rFonts w:ascii="Times New Roman" w:hAnsi="Times New Roman"/>
          <w:sz w:val="28"/>
          <w:szCs w:val="28"/>
          <w:lang w:val="ru-RU"/>
        </w:rPr>
      </w:pPr>
    </w:p>
    <w:p w14:paraId="274A95FD" w14:textId="68F664AF" w:rsidR="008A765B" w:rsidRPr="00F7440D" w:rsidRDefault="00C86744"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Оскільки при проведенні регресійного аналізу очевидним є те, що отримані коефіцієнти значно більші за стандартну помилку (коефіцієнт </w:t>
      </w:r>
      <w:r w:rsidRPr="00F7440D">
        <w:rPr>
          <w:rFonts w:ascii="Times New Roman" w:hAnsi="Times New Roman" w:cs="Times New Roman"/>
          <w:sz w:val="28"/>
          <w:szCs w:val="28"/>
          <w:lang w:val="ru-RU"/>
        </w:rPr>
        <w:t>10.86 та стандарнтна помилка 0.34</w:t>
      </w:r>
      <w:r w:rsidRPr="00F7440D">
        <w:rPr>
          <w:rFonts w:ascii="Times New Roman" w:hAnsi="Times New Roman" w:cs="Times New Roman"/>
          <w:sz w:val="28"/>
          <w:szCs w:val="28"/>
          <w:lang w:val="uk-UA"/>
        </w:rPr>
        <w:t xml:space="preserve">, коефіцієнт </w:t>
      </w:r>
      <w:r w:rsidRPr="00F7440D">
        <w:rPr>
          <w:rFonts w:ascii="Times New Roman" w:hAnsi="Times New Roman" w:cs="Times New Roman"/>
          <w:sz w:val="28"/>
          <w:szCs w:val="28"/>
          <w:lang w:val="ru-RU"/>
        </w:rPr>
        <w:t>-1.64 та стандартна помилка 0.13</w:t>
      </w:r>
      <w:r w:rsidRPr="00F7440D">
        <w:rPr>
          <w:rFonts w:ascii="Times New Roman" w:hAnsi="Times New Roman"/>
          <w:sz w:val="28"/>
          <w:szCs w:val="28"/>
          <w:lang w:val="uk-UA"/>
        </w:rPr>
        <w:t xml:space="preserve">). </w:t>
      </w:r>
      <w:r w:rsidR="009C0198" w:rsidRPr="00F7440D">
        <w:rPr>
          <w:rFonts w:ascii="Times New Roman" w:hAnsi="Times New Roman"/>
          <w:sz w:val="28"/>
          <w:szCs w:val="28"/>
          <w:lang w:val="ru-RU"/>
        </w:rPr>
        <w:t xml:space="preserve">Отже, на основі отриманих даних можливо побудувати рівняння лінійної регресії, яке матиме наступний вигляд: </w:t>
      </w:r>
      <w:r w:rsidR="009C0198" w:rsidRPr="00F7440D">
        <w:rPr>
          <w:rFonts w:ascii="Times New Roman" w:hAnsi="Times New Roman"/>
          <w:sz w:val="28"/>
          <w:szCs w:val="28"/>
        </w:rPr>
        <w:t>y</w:t>
      </w:r>
      <w:r w:rsidR="009C0198" w:rsidRPr="00F7440D">
        <w:rPr>
          <w:rFonts w:ascii="Times New Roman" w:hAnsi="Times New Roman"/>
          <w:sz w:val="28"/>
          <w:szCs w:val="28"/>
          <w:lang w:val="ru-RU"/>
        </w:rPr>
        <w:t xml:space="preserve"> = </w:t>
      </w:r>
      <w:r w:rsidR="009C0198" w:rsidRPr="00F7440D">
        <w:rPr>
          <w:rFonts w:ascii="Times New Roman" w:hAnsi="Times New Roman" w:cs="Times New Roman"/>
          <w:sz w:val="28"/>
          <w:szCs w:val="28"/>
          <w:lang w:val="ru-RU"/>
        </w:rPr>
        <w:t>-1.64</w:t>
      </w:r>
      <w:r w:rsidR="009C0198" w:rsidRPr="00F7440D">
        <w:rPr>
          <w:rFonts w:ascii="Times New Roman" w:hAnsi="Times New Roman"/>
          <w:sz w:val="28"/>
          <w:szCs w:val="28"/>
          <w:lang w:val="ru-RU"/>
        </w:rPr>
        <w:t xml:space="preserve"> </w:t>
      </w:r>
      <w:r w:rsidR="009C0198" w:rsidRPr="00F7440D">
        <w:rPr>
          <w:rFonts w:ascii="Times New Roman" w:hAnsi="Times New Roman"/>
          <w:sz w:val="28"/>
          <w:szCs w:val="28"/>
        </w:rPr>
        <w:t>X</w:t>
      </w:r>
      <w:r w:rsidR="009C0198" w:rsidRPr="00F7440D">
        <w:rPr>
          <w:rFonts w:ascii="Times New Roman" w:hAnsi="Times New Roman"/>
          <w:sz w:val="28"/>
          <w:szCs w:val="28"/>
          <w:lang w:val="ru-RU"/>
        </w:rPr>
        <w:t xml:space="preserve"> 1 </w:t>
      </w:r>
      <w:r w:rsidR="009C0198" w:rsidRPr="00F7440D">
        <w:rPr>
          <w:rFonts w:ascii="Times New Roman" w:hAnsi="Times New Roman" w:cs="Times New Roman"/>
          <w:sz w:val="28"/>
          <w:szCs w:val="28"/>
          <w:lang w:val="ru-RU"/>
        </w:rPr>
        <w:t>+</w:t>
      </w:r>
      <w:r w:rsidR="009C0198" w:rsidRPr="00F7440D">
        <w:rPr>
          <w:rFonts w:ascii="Times New Roman" w:hAnsi="Times New Roman"/>
          <w:sz w:val="28"/>
          <w:szCs w:val="28"/>
          <w:lang w:val="ru-RU"/>
        </w:rPr>
        <w:t xml:space="preserve"> </w:t>
      </w:r>
      <w:r w:rsidR="009C0198" w:rsidRPr="00F7440D">
        <w:rPr>
          <w:rFonts w:ascii="Times New Roman" w:hAnsi="Times New Roman" w:cs="Times New Roman"/>
          <w:sz w:val="28"/>
          <w:szCs w:val="28"/>
          <w:lang w:val="ru-RU"/>
        </w:rPr>
        <w:t>10.86.</w:t>
      </w:r>
    </w:p>
    <w:p w14:paraId="7368CE58" w14:textId="3893F36A" w:rsidR="008A765B" w:rsidRPr="00F7440D" w:rsidRDefault="008A765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пакету </w:t>
      </w:r>
      <w:r w:rsidRPr="00F7440D">
        <w:rPr>
          <w:rFonts w:ascii="Times New Roman" w:hAnsi="Times New Roman"/>
          <w:sz w:val="28"/>
          <w:szCs w:val="28"/>
        </w:rPr>
        <w:t>Microsoft</w:t>
      </w:r>
      <w:r w:rsidRPr="00F7440D">
        <w:rPr>
          <w:rFonts w:ascii="Times New Roman" w:hAnsi="Times New Roman"/>
          <w:sz w:val="28"/>
          <w:szCs w:val="28"/>
          <w:lang w:val="ru-RU"/>
        </w:rPr>
        <w:t xml:space="preserve"> </w:t>
      </w:r>
      <w:r w:rsidRPr="00F7440D">
        <w:rPr>
          <w:rFonts w:ascii="Times New Roman" w:hAnsi="Times New Roman"/>
          <w:sz w:val="28"/>
          <w:szCs w:val="28"/>
        </w:rPr>
        <w:t>Excel</w:t>
      </w:r>
      <w:r w:rsidRPr="00F7440D">
        <w:rPr>
          <w:rFonts w:ascii="Times New Roman" w:hAnsi="Times New Roman"/>
          <w:sz w:val="28"/>
          <w:szCs w:val="28"/>
          <w:lang w:val="ru-RU"/>
        </w:rPr>
        <w:t xml:space="preserve"> 2016 </w:t>
      </w:r>
      <w:r w:rsidRPr="00F7440D">
        <w:rPr>
          <w:rFonts w:ascii="Times New Roman" w:hAnsi="Times New Roman"/>
          <w:sz w:val="28"/>
          <w:szCs w:val="28"/>
          <w:lang w:val="uk-UA"/>
        </w:rPr>
        <w:t>можна зробити наступні висновки. Побудована залежність показників імуноглобуліна А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w:t>
      </w:r>
      <w:r w:rsidR="006C705C" w:rsidRPr="00F7440D">
        <w:rPr>
          <w:rFonts w:ascii="Times New Roman" w:hAnsi="Times New Roman"/>
          <w:sz w:val="28"/>
          <w:szCs w:val="28"/>
          <w:lang w:val="uk-UA"/>
        </w:rPr>
        <w:t>РМА</w:t>
      </w:r>
      <w:r w:rsidRPr="00F7440D">
        <w:rPr>
          <w:rFonts w:ascii="Times New Roman" w:hAnsi="Times New Roman"/>
          <w:sz w:val="28"/>
          <w:szCs w:val="28"/>
          <w:lang w:val="uk-UA"/>
        </w:rPr>
        <w:t xml:space="preserve"> (змінна </w:t>
      </w:r>
      <w:r w:rsidRPr="00F7440D">
        <w:rPr>
          <w:rFonts w:ascii="Times New Roman" w:hAnsi="Times New Roman"/>
          <w:sz w:val="28"/>
          <w:szCs w:val="28"/>
        </w:rPr>
        <w:t>X</w:t>
      </w:r>
      <w:r w:rsidRPr="00F7440D">
        <w:rPr>
          <w:rFonts w:ascii="Times New Roman" w:hAnsi="Times New Roman"/>
          <w:sz w:val="28"/>
          <w:szCs w:val="28"/>
          <w:lang w:val="uk-UA"/>
        </w:rPr>
        <w:t>)</w:t>
      </w:r>
      <w:r w:rsidR="006C705C" w:rsidRPr="00F7440D">
        <w:rPr>
          <w:rFonts w:ascii="Times New Roman" w:hAnsi="Times New Roman"/>
          <w:sz w:val="28"/>
          <w:szCs w:val="28"/>
          <w:lang w:val="uk-UA"/>
        </w:rPr>
        <w:t xml:space="preserve"> у </w:t>
      </w:r>
      <w:r w:rsidRPr="00F7440D">
        <w:rPr>
          <w:rFonts w:ascii="Times New Roman" w:hAnsi="Times New Roman"/>
          <w:sz w:val="28"/>
          <w:szCs w:val="28"/>
          <w:lang w:val="uk-UA"/>
        </w:rPr>
        <w:t xml:space="preserve">вигляді лінійної регресії. Визначені коефіцієнти лінійної регресії мінус </w:t>
      </w:r>
      <w:r w:rsidR="006C705C" w:rsidRPr="00F7440D">
        <w:rPr>
          <w:rFonts w:ascii="Times New Roman" w:hAnsi="Times New Roman"/>
          <w:sz w:val="28"/>
          <w:szCs w:val="28"/>
          <w:lang w:val="uk-UA"/>
        </w:rPr>
        <w:t>1,63</w:t>
      </w:r>
      <w:r w:rsidRPr="00F7440D">
        <w:rPr>
          <w:rFonts w:ascii="Times New Roman" w:hAnsi="Times New Roman"/>
          <w:sz w:val="28"/>
          <w:szCs w:val="28"/>
          <w:lang w:val="uk-UA"/>
        </w:rPr>
        <w:t xml:space="preserve"> та </w:t>
      </w:r>
      <w:r w:rsidR="006C705C" w:rsidRPr="00F7440D">
        <w:rPr>
          <w:rFonts w:ascii="Times New Roman" w:hAnsi="Times New Roman"/>
          <w:sz w:val="28"/>
          <w:szCs w:val="28"/>
          <w:lang w:val="uk-UA"/>
        </w:rPr>
        <w:t>10,85</w:t>
      </w:r>
      <w:r w:rsidRPr="00F7440D">
        <w:rPr>
          <w:rFonts w:ascii="Times New Roman" w:hAnsi="Times New Roman"/>
          <w:sz w:val="28"/>
          <w:szCs w:val="28"/>
          <w:lang w:val="uk-UA"/>
        </w:rPr>
        <w:t>. Для оцінки загальної якості отриманого рівняння лінійної регресії застосовується коефіцієнт детермінації. Отри</w:t>
      </w:r>
      <w:r w:rsidR="006C705C" w:rsidRPr="00F7440D">
        <w:rPr>
          <w:rFonts w:ascii="Times New Roman" w:hAnsi="Times New Roman"/>
          <w:sz w:val="28"/>
          <w:szCs w:val="28"/>
          <w:lang w:val="uk-UA"/>
        </w:rPr>
        <w:t xml:space="preserve">мане  в результаті значення 0,76 означає, що 76 </w:t>
      </w:r>
      <w:r w:rsidRPr="00F7440D">
        <w:rPr>
          <w:rFonts w:ascii="Times New Roman" w:hAnsi="Times New Roman"/>
          <w:sz w:val="28"/>
          <w:szCs w:val="28"/>
          <w:lang w:val="uk-UA"/>
        </w:rPr>
        <w:t xml:space="preserve">%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006C705C" w:rsidRPr="00F7440D">
        <w:rPr>
          <w:rFonts w:ascii="Times New Roman" w:hAnsi="Times New Roman"/>
          <w:sz w:val="28"/>
          <w:szCs w:val="28"/>
          <w:lang w:val="uk-UA"/>
        </w:rPr>
        <w:t xml:space="preserve"> (24 </w:t>
      </w:r>
      <w:r w:rsidRPr="00F7440D">
        <w:rPr>
          <w:rFonts w:ascii="Times New Roman" w:hAnsi="Times New Roman"/>
          <w:sz w:val="28"/>
          <w:szCs w:val="28"/>
          <w:lang w:val="uk-UA"/>
        </w:rPr>
        <w:t xml:space="preserve">%)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p>
    <w:p w14:paraId="63D7D074" w14:textId="7EE160AF"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оцінювання </w:t>
      </w:r>
      <w:r w:rsidR="008057FF" w:rsidRPr="00F7440D">
        <w:rPr>
          <w:rFonts w:ascii="Times New Roman" w:hAnsi="Times New Roman"/>
          <w:sz w:val="28"/>
          <w:szCs w:val="28"/>
          <w:lang w:val="uk-UA"/>
        </w:rPr>
        <w:t xml:space="preserve">динаміки </w:t>
      </w:r>
      <w:r w:rsidRPr="00F7440D">
        <w:rPr>
          <w:rFonts w:ascii="Times New Roman" w:hAnsi="Times New Roman"/>
          <w:sz w:val="28"/>
          <w:szCs w:val="28"/>
          <w:lang w:val="uk-UA"/>
        </w:rPr>
        <w:t xml:space="preserve">змін показників та для виявлення можливості </w:t>
      </w:r>
      <w:r w:rsidR="008057FF" w:rsidRPr="00F7440D">
        <w:rPr>
          <w:rFonts w:ascii="Times New Roman" w:hAnsi="Times New Roman"/>
          <w:sz w:val="28"/>
          <w:szCs w:val="28"/>
          <w:lang w:val="uk-UA"/>
        </w:rPr>
        <w:t>використанння рівня імуноглобуліну А у якості неінвазивного діагностичного інструменту з метою створення періодичності диспансерного спостереження серед дітей з атопічними захворюваннями, ми провели регресійний аналіз даних індексу РМА та імуноглобуліну А через півроку після здійснення профілактичних заходів.</w:t>
      </w:r>
      <w:r w:rsidR="00E96E97" w:rsidRPr="00F7440D">
        <w:rPr>
          <w:rFonts w:ascii="Times New Roman" w:hAnsi="Times New Roman"/>
          <w:sz w:val="28"/>
          <w:szCs w:val="28"/>
          <w:lang w:val="uk-UA"/>
        </w:rPr>
        <w:t xml:space="preserve"> Результати наведені у таблиці 8.4, 8.5, 8</w:t>
      </w:r>
      <w:r w:rsidR="008057FF" w:rsidRPr="00F7440D">
        <w:rPr>
          <w:rFonts w:ascii="Times New Roman" w:hAnsi="Times New Roman"/>
          <w:sz w:val="28"/>
          <w:szCs w:val="28"/>
          <w:lang w:val="uk-UA"/>
        </w:rPr>
        <w:t>.6.</w:t>
      </w:r>
    </w:p>
    <w:p w14:paraId="167698ED" w14:textId="6B3695BF" w:rsidR="008057FF" w:rsidRPr="00F7440D" w:rsidRDefault="008057FF"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.4</w:t>
      </w:r>
    </w:p>
    <w:p w14:paraId="5ED56C93" w14:textId="2CEDE4B3"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 через 6 місяців</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8057FF" w:rsidRPr="00F7440D" w14:paraId="417522AA" w14:textId="77777777" w:rsidTr="008057FF">
        <w:trPr>
          <w:trHeight w:val="157"/>
        </w:trPr>
        <w:tc>
          <w:tcPr>
            <w:tcW w:w="9688" w:type="dxa"/>
            <w:gridSpan w:val="2"/>
            <w:shd w:val="clear" w:color="auto" w:fill="auto"/>
            <w:noWrap/>
            <w:hideMark/>
          </w:tcPr>
          <w:p w14:paraId="3CB3313F"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lang w:val="uk-UA"/>
              </w:rPr>
              <w:t>Регресійна статистика</w:t>
            </w:r>
          </w:p>
        </w:tc>
      </w:tr>
      <w:tr w:rsidR="008057FF" w:rsidRPr="00F7440D" w14:paraId="3FD3BFD6" w14:textId="77777777" w:rsidTr="008057FF">
        <w:trPr>
          <w:trHeight w:val="157"/>
        </w:trPr>
        <w:tc>
          <w:tcPr>
            <w:tcW w:w="5632" w:type="dxa"/>
            <w:shd w:val="clear" w:color="auto" w:fill="auto"/>
            <w:noWrap/>
            <w:hideMark/>
          </w:tcPr>
          <w:p w14:paraId="45BFB95C"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hideMark/>
          </w:tcPr>
          <w:p w14:paraId="6736E3F3" w14:textId="488173C0"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0.963311458</w:t>
            </w:r>
          </w:p>
        </w:tc>
      </w:tr>
      <w:tr w:rsidR="008057FF" w:rsidRPr="00F7440D" w14:paraId="71010FF5" w14:textId="77777777" w:rsidTr="008057FF">
        <w:trPr>
          <w:trHeight w:val="157"/>
        </w:trPr>
        <w:tc>
          <w:tcPr>
            <w:tcW w:w="5632" w:type="dxa"/>
            <w:shd w:val="clear" w:color="auto" w:fill="auto"/>
            <w:noWrap/>
            <w:hideMark/>
          </w:tcPr>
          <w:p w14:paraId="3973576C"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hideMark/>
          </w:tcPr>
          <w:p w14:paraId="18EDAC8B" w14:textId="73720002"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0.927968965</w:t>
            </w:r>
          </w:p>
        </w:tc>
      </w:tr>
      <w:tr w:rsidR="008057FF" w:rsidRPr="00F7440D" w14:paraId="583FB7A5" w14:textId="77777777" w:rsidTr="008057FF">
        <w:trPr>
          <w:trHeight w:val="157"/>
        </w:trPr>
        <w:tc>
          <w:tcPr>
            <w:tcW w:w="5632" w:type="dxa"/>
            <w:shd w:val="clear" w:color="auto" w:fill="auto"/>
            <w:noWrap/>
            <w:hideMark/>
          </w:tcPr>
          <w:p w14:paraId="50CE2470"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hideMark/>
          </w:tcPr>
          <w:p w14:paraId="0F58AF09" w14:textId="34457570"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0.926468319</w:t>
            </w:r>
          </w:p>
        </w:tc>
      </w:tr>
      <w:tr w:rsidR="008057FF" w:rsidRPr="00F7440D" w14:paraId="7EBD8302" w14:textId="77777777" w:rsidTr="008057FF">
        <w:trPr>
          <w:trHeight w:val="157"/>
        </w:trPr>
        <w:tc>
          <w:tcPr>
            <w:tcW w:w="5632" w:type="dxa"/>
            <w:shd w:val="clear" w:color="auto" w:fill="auto"/>
            <w:noWrap/>
            <w:hideMark/>
          </w:tcPr>
          <w:p w14:paraId="1F752ACE" w14:textId="77777777" w:rsidR="008057FF" w:rsidRPr="00F7440D" w:rsidRDefault="008057FF"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hideMark/>
          </w:tcPr>
          <w:p w14:paraId="6CF7EFF5" w14:textId="74B0282F" w:rsidR="008057FF" w:rsidRPr="00F7440D" w:rsidRDefault="008057FF"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0.367869959</w:t>
            </w:r>
          </w:p>
        </w:tc>
      </w:tr>
      <w:tr w:rsidR="008057FF" w:rsidRPr="00F7440D" w14:paraId="7B348CEE" w14:textId="77777777" w:rsidTr="008057FF">
        <w:trPr>
          <w:trHeight w:val="166"/>
        </w:trPr>
        <w:tc>
          <w:tcPr>
            <w:tcW w:w="5632" w:type="dxa"/>
            <w:shd w:val="clear" w:color="auto" w:fill="auto"/>
            <w:noWrap/>
            <w:hideMark/>
          </w:tcPr>
          <w:p w14:paraId="4757F16A" w14:textId="77777777" w:rsidR="008057FF" w:rsidRPr="00F7440D" w:rsidRDefault="008057FF"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hideMark/>
          </w:tcPr>
          <w:p w14:paraId="13D55BEF" w14:textId="6AB70C21" w:rsidR="008057FF" w:rsidRPr="00F7440D" w:rsidRDefault="008057FF"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50</w:t>
            </w:r>
          </w:p>
        </w:tc>
      </w:tr>
    </w:tbl>
    <w:p w14:paraId="2A0F6DA4" w14:textId="77777777" w:rsidR="008057FF" w:rsidRPr="00F7440D" w:rsidRDefault="008057FF" w:rsidP="00F7440D">
      <w:pPr>
        <w:spacing w:after="0" w:line="360" w:lineRule="auto"/>
        <w:ind w:firstLine="709"/>
        <w:rPr>
          <w:rFonts w:ascii="Times New Roman" w:hAnsi="Times New Roman"/>
          <w:sz w:val="28"/>
          <w:szCs w:val="28"/>
          <w:lang w:val="uk-UA"/>
        </w:rPr>
      </w:pPr>
    </w:p>
    <w:p w14:paraId="60A1371B" w14:textId="77777777" w:rsidR="00936303" w:rsidRDefault="00936303" w:rsidP="00F7440D">
      <w:pPr>
        <w:spacing w:after="0" w:line="360" w:lineRule="auto"/>
        <w:ind w:firstLine="709"/>
        <w:jc w:val="right"/>
        <w:rPr>
          <w:rFonts w:ascii="Times New Roman" w:hAnsi="Times New Roman"/>
          <w:sz w:val="28"/>
          <w:szCs w:val="28"/>
          <w:lang w:val="uk-UA"/>
        </w:rPr>
      </w:pPr>
    </w:p>
    <w:p w14:paraId="0701AF5E" w14:textId="4BD2115D" w:rsidR="008057FF"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8057FF" w:rsidRPr="00F7440D">
        <w:rPr>
          <w:rFonts w:ascii="Times New Roman" w:hAnsi="Times New Roman"/>
          <w:sz w:val="28"/>
          <w:szCs w:val="28"/>
          <w:lang w:val="uk-UA"/>
        </w:rPr>
        <w:t>.5</w:t>
      </w:r>
    </w:p>
    <w:p w14:paraId="66B16A42" w14:textId="0AF3418A"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А та індексу РМА через 6 місяців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865"/>
        <w:gridCol w:w="1804"/>
        <w:gridCol w:w="1686"/>
        <w:gridCol w:w="1744"/>
        <w:gridCol w:w="1839"/>
      </w:tblGrid>
      <w:tr w:rsidR="008057FF" w:rsidRPr="00F7440D" w14:paraId="4F371689" w14:textId="77777777" w:rsidTr="008057FF">
        <w:trPr>
          <w:trHeight w:val="255"/>
        </w:trPr>
        <w:tc>
          <w:tcPr>
            <w:tcW w:w="1414" w:type="dxa"/>
            <w:shd w:val="clear" w:color="auto" w:fill="auto"/>
            <w:noWrap/>
            <w:hideMark/>
          </w:tcPr>
          <w:p w14:paraId="3F466043" w14:textId="77777777" w:rsidR="008057FF" w:rsidRPr="00F7440D" w:rsidRDefault="008057FF"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5" w:type="dxa"/>
            <w:shd w:val="clear" w:color="auto" w:fill="auto"/>
            <w:noWrap/>
            <w:hideMark/>
          </w:tcPr>
          <w:p w14:paraId="09E7AE9A" w14:textId="77777777" w:rsidR="008057FF" w:rsidRPr="00F7440D" w:rsidRDefault="008057FF"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04" w:type="dxa"/>
            <w:shd w:val="clear" w:color="auto" w:fill="auto"/>
            <w:noWrap/>
            <w:hideMark/>
          </w:tcPr>
          <w:p w14:paraId="18220FA2"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79" w:type="dxa"/>
            <w:shd w:val="clear" w:color="auto" w:fill="auto"/>
            <w:noWrap/>
            <w:hideMark/>
          </w:tcPr>
          <w:p w14:paraId="6DBE6A7A"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44" w:type="dxa"/>
            <w:shd w:val="clear" w:color="auto" w:fill="auto"/>
            <w:noWrap/>
            <w:hideMark/>
          </w:tcPr>
          <w:p w14:paraId="3D07C61A"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39" w:type="dxa"/>
            <w:shd w:val="clear" w:color="auto" w:fill="auto"/>
            <w:noWrap/>
            <w:hideMark/>
          </w:tcPr>
          <w:p w14:paraId="6E47AFFB" w14:textId="77777777" w:rsidR="008057FF" w:rsidRPr="00F7440D" w:rsidRDefault="008057FF"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8057FF" w:rsidRPr="00F7440D" w14:paraId="3BEF285E" w14:textId="77777777" w:rsidTr="008057FF">
        <w:trPr>
          <w:trHeight w:val="255"/>
        </w:trPr>
        <w:tc>
          <w:tcPr>
            <w:tcW w:w="1414" w:type="dxa"/>
            <w:shd w:val="clear" w:color="auto" w:fill="auto"/>
            <w:noWrap/>
            <w:hideMark/>
          </w:tcPr>
          <w:p w14:paraId="0F686468"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5" w:type="dxa"/>
            <w:shd w:val="clear" w:color="auto" w:fill="auto"/>
            <w:noWrap/>
            <w:hideMark/>
          </w:tcPr>
          <w:p w14:paraId="32E0AD11" w14:textId="27E96978"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04" w:type="dxa"/>
            <w:shd w:val="clear" w:color="auto" w:fill="auto"/>
            <w:noWrap/>
            <w:hideMark/>
          </w:tcPr>
          <w:p w14:paraId="705C435C" w14:textId="0838CBB1"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83.68424128</w:t>
            </w:r>
          </w:p>
        </w:tc>
        <w:tc>
          <w:tcPr>
            <w:tcW w:w="1679" w:type="dxa"/>
            <w:shd w:val="clear" w:color="auto" w:fill="auto"/>
            <w:noWrap/>
            <w:hideMark/>
          </w:tcPr>
          <w:p w14:paraId="1E9106A0" w14:textId="20B30ED9"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83.68424128</w:t>
            </w:r>
          </w:p>
        </w:tc>
        <w:tc>
          <w:tcPr>
            <w:tcW w:w="1744" w:type="dxa"/>
            <w:shd w:val="clear" w:color="auto" w:fill="auto"/>
            <w:noWrap/>
            <w:hideMark/>
          </w:tcPr>
          <w:p w14:paraId="3CB7F8AC" w14:textId="049ED1E3"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618.3794312</w:t>
            </w:r>
          </w:p>
        </w:tc>
        <w:tc>
          <w:tcPr>
            <w:tcW w:w="1839" w:type="dxa"/>
            <w:shd w:val="clear" w:color="auto" w:fill="auto"/>
            <w:noWrap/>
            <w:hideMark/>
          </w:tcPr>
          <w:p w14:paraId="78CBC270" w14:textId="3A8640E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4.51951E-29</w:t>
            </w:r>
          </w:p>
        </w:tc>
      </w:tr>
      <w:tr w:rsidR="008057FF" w:rsidRPr="00F7440D" w14:paraId="3F9CA77C" w14:textId="77777777" w:rsidTr="008057FF">
        <w:trPr>
          <w:trHeight w:val="255"/>
        </w:trPr>
        <w:tc>
          <w:tcPr>
            <w:tcW w:w="1414" w:type="dxa"/>
            <w:shd w:val="clear" w:color="auto" w:fill="auto"/>
            <w:noWrap/>
            <w:hideMark/>
          </w:tcPr>
          <w:p w14:paraId="60EC645B"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5" w:type="dxa"/>
            <w:shd w:val="clear" w:color="auto" w:fill="auto"/>
            <w:noWrap/>
            <w:hideMark/>
          </w:tcPr>
          <w:p w14:paraId="67D2D877" w14:textId="4C8B5FF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48</w:t>
            </w:r>
          </w:p>
        </w:tc>
        <w:tc>
          <w:tcPr>
            <w:tcW w:w="1804" w:type="dxa"/>
            <w:shd w:val="clear" w:color="auto" w:fill="auto"/>
            <w:noWrap/>
            <w:hideMark/>
          </w:tcPr>
          <w:p w14:paraId="1EC72C2B" w14:textId="3702586F"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6.495758718</w:t>
            </w:r>
          </w:p>
        </w:tc>
        <w:tc>
          <w:tcPr>
            <w:tcW w:w="1679" w:type="dxa"/>
            <w:shd w:val="clear" w:color="auto" w:fill="auto"/>
            <w:noWrap/>
            <w:hideMark/>
          </w:tcPr>
          <w:p w14:paraId="59F6266A" w14:textId="695C3CCA"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0.135328307</w:t>
            </w:r>
          </w:p>
        </w:tc>
        <w:tc>
          <w:tcPr>
            <w:tcW w:w="1744" w:type="dxa"/>
            <w:shd w:val="clear" w:color="auto" w:fill="auto"/>
            <w:noWrap/>
            <w:hideMark/>
          </w:tcPr>
          <w:p w14:paraId="532CA492"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839" w:type="dxa"/>
            <w:shd w:val="clear" w:color="auto" w:fill="auto"/>
            <w:noWrap/>
            <w:hideMark/>
          </w:tcPr>
          <w:p w14:paraId="72B25CBD" w14:textId="77777777" w:rsidR="008057FF" w:rsidRPr="00F7440D" w:rsidRDefault="008057FF" w:rsidP="00F7440D">
            <w:pPr>
              <w:spacing w:after="0" w:line="360" w:lineRule="auto"/>
              <w:ind w:firstLine="709"/>
              <w:rPr>
                <w:rFonts w:ascii="Times New Roman" w:hAnsi="Times New Roman" w:cs="Times New Roman"/>
                <w:sz w:val="28"/>
                <w:szCs w:val="28"/>
              </w:rPr>
            </w:pPr>
          </w:p>
        </w:tc>
      </w:tr>
      <w:tr w:rsidR="008057FF" w:rsidRPr="00F7440D" w14:paraId="516DB76B" w14:textId="77777777" w:rsidTr="008057FF">
        <w:trPr>
          <w:trHeight w:val="270"/>
        </w:trPr>
        <w:tc>
          <w:tcPr>
            <w:tcW w:w="1414" w:type="dxa"/>
            <w:shd w:val="clear" w:color="auto" w:fill="auto"/>
            <w:noWrap/>
            <w:hideMark/>
          </w:tcPr>
          <w:p w14:paraId="77D21E61" w14:textId="77777777" w:rsidR="008057FF" w:rsidRPr="00F7440D" w:rsidRDefault="008057FF"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5" w:type="dxa"/>
            <w:shd w:val="clear" w:color="auto" w:fill="auto"/>
            <w:noWrap/>
            <w:hideMark/>
          </w:tcPr>
          <w:p w14:paraId="52E46360" w14:textId="794116A6"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49</w:t>
            </w:r>
          </w:p>
        </w:tc>
        <w:tc>
          <w:tcPr>
            <w:tcW w:w="1804" w:type="dxa"/>
            <w:shd w:val="clear" w:color="auto" w:fill="auto"/>
            <w:noWrap/>
            <w:hideMark/>
          </w:tcPr>
          <w:p w14:paraId="1EC548B2" w14:textId="3F7E5560"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90.18</w:t>
            </w:r>
          </w:p>
        </w:tc>
        <w:tc>
          <w:tcPr>
            <w:tcW w:w="1679" w:type="dxa"/>
            <w:shd w:val="clear" w:color="auto" w:fill="auto"/>
            <w:noWrap/>
            <w:hideMark/>
          </w:tcPr>
          <w:p w14:paraId="1182A0F2"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744" w:type="dxa"/>
            <w:shd w:val="clear" w:color="auto" w:fill="auto"/>
            <w:noWrap/>
            <w:hideMark/>
          </w:tcPr>
          <w:p w14:paraId="5B6513F1" w14:textId="77777777" w:rsidR="008057FF" w:rsidRPr="00F7440D" w:rsidRDefault="008057FF" w:rsidP="00F7440D">
            <w:pPr>
              <w:spacing w:after="0" w:line="360" w:lineRule="auto"/>
              <w:ind w:firstLine="709"/>
              <w:rPr>
                <w:rFonts w:ascii="Times New Roman" w:hAnsi="Times New Roman" w:cs="Times New Roman"/>
                <w:sz w:val="28"/>
                <w:szCs w:val="28"/>
              </w:rPr>
            </w:pPr>
          </w:p>
        </w:tc>
        <w:tc>
          <w:tcPr>
            <w:tcW w:w="1839" w:type="dxa"/>
            <w:shd w:val="clear" w:color="auto" w:fill="auto"/>
            <w:noWrap/>
            <w:hideMark/>
          </w:tcPr>
          <w:p w14:paraId="4FBAEEF3" w14:textId="77777777" w:rsidR="008057FF" w:rsidRPr="00F7440D" w:rsidRDefault="008057FF" w:rsidP="00F7440D">
            <w:pPr>
              <w:spacing w:after="0" w:line="360" w:lineRule="auto"/>
              <w:ind w:firstLine="709"/>
              <w:rPr>
                <w:rFonts w:ascii="Times New Roman" w:hAnsi="Times New Roman" w:cs="Times New Roman"/>
                <w:sz w:val="28"/>
                <w:szCs w:val="28"/>
              </w:rPr>
            </w:pPr>
          </w:p>
        </w:tc>
      </w:tr>
    </w:tbl>
    <w:p w14:paraId="79226739" w14:textId="77777777" w:rsidR="008057FF" w:rsidRPr="00F7440D" w:rsidRDefault="008057FF" w:rsidP="00F7440D">
      <w:pPr>
        <w:spacing w:after="0" w:line="360" w:lineRule="auto"/>
        <w:ind w:firstLine="709"/>
        <w:rPr>
          <w:rFonts w:ascii="Times New Roman" w:hAnsi="Times New Roman"/>
          <w:sz w:val="28"/>
          <w:szCs w:val="28"/>
          <w:lang w:val="uk-UA"/>
        </w:rPr>
      </w:pPr>
    </w:p>
    <w:p w14:paraId="7662A875" w14:textId="6BD4778A" w:rsidR="000728CB" w:rsidRDefault="00987B4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Варто відмітити, що зміни ступеню запалення ясен у другій групі пацієнтів, у яких було діагностовано атопічні захворювання, проте були майже відсутні клінічні ознаки гінгівіту, були незначними. На початку дослідження рівень РМА відповідав 6,86</w:t>
      </w:r>
      <w:r w:rsidRPr="00F7440D">
        <w:rPr>
          <w:rFonts w:ascii="Times New Roman" w:hAnsi="Times New Roman" w:cs="Times New Roman"/>
          <w:sz w:val="28"/>
          <w:szCs w:val="28"/>
          <w:lang w:val="uk-UA"/>
        </w:rPr>
        <w:t>±</w:t>
      </w:r>
      <w:r w:rsidRPr="00F7440D">
        <w:rPr>
          <w:rFonts w:ascii="Times New Roman" w:hAnsi="Times New Roman"/>
          <w:sz w:val="28"/>
          <w:szCs w:val="28"/>
          <w:lang w:val="uk-UA"/>
        </w:rPr>
        <w:t>1,53 %, через шість місяців після здійснення профілактичних заходів дорівнював 1,58</w:t>
      </w:r>
      <w:r w:rsidRPr="00F7440D">
        <w:rPr>
          <w:rFonts w:ascii="Times New Roman" w:hAnsi="Times New Roman" w:cs="Times New Roman"/>
          <w:sz w:val="28"/>
          <w:szCs w:val="28"/>
          <w:lang w:val="uk-UA"/>
        </w:rPr>
        <w:t>±</w:t>
      </w:r>
      <w:r w:rsidRPr="00F7440D">
        <w:rPr>
          <w:rFonts w:ascii="Times New Roman" w:hAnsi="Times New Roman"/>
          <w:sz w:val="28"/>
          <w:szCs w:val="28"/>
          <w:lang w:val="uk-UA"/>
        </w:rPr>
        <w:t>1,36 %. Рівень імуноглобуліну А знаходився у межах 2,02</w:t>
      </w:r>
      <w:r w:rsidRPr="00F7440D">
        <w:rPr>
          <w:rFonts w:ascii="Times New Roman" w:hAnsi="Times New Roman" w:cs="Times New Roman"/>
          <w:sz w:val="28"/>
          <w:szCs w:val="28"/>
          <w:lang w:val="uk-UA"/>
        </w:rPr>
        <w:t>±</w:t>
      </w:r>
      <w:r w:rsidRPr="00F7440D">
        <w:rPr>
          <w:rFonts w:ascii="Times New Roman" w:hAnsi="Times New Roman"/>
          <w:sz w:val="28"/>
          <w:szCs w:val="28"/>
          <w:lang w:val="uk-UA"/>
        </w:rPr>
        <w:t>1,45 г/л на початку дослідження, через шість місяців виріс до 6,89</w:t>
      </w:r>
      <w:r w:rsidRPr="00F7440D">
        <w:rPr>
          <w:rFonts w:ascii="Times New Roman" w:hAnsi="Times New Roman" w:cs="Times New Roman"/>
          <w:sz w:val="28"/>
          <w:szCs w:val="28"/>
          <w:lang w:val="uk-UA"/>
        </w:rPr>
        <w:t>±</w:t>
      </w:r>
      <w:r w:rsidRPr="00F7440D">
        <w:rPr>
          <w:rFonts w:ascii="Times New Roman" w:hAnsi="Times New Roman"/>
          <w:sz w:val="28"/>
          <w:szCs w:val="28"/>
          <w:lang w:val="uk-UA"/>
        </w:rPr>
        <w:t>0,66 г/л. Отже, динаміка клінічних та імунологічних показників вказує на ефективність запропонованої методики профілактики захворювань пародонту, а регресійний аналіз даних дозволяє говорити про те, що рівень імуноглобуліну А може бути діагностичним та прогностичним критерієм у профілактиці хронічного гінгівіту у дітей з атопічними захворюваннями.</w:t>
      </w:r>
    </w:p>
    <w:p w14:paraId="37767A64" w14:textId="77777777" w:rsidR="00112933" w:rsidRPr="00F7440D"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Побудована прогностична модель показала ще більший ступінь залежності показників, оскільки коефіцієнт детермінації дорівнює 0,92. Збільшення коефіцієнту детермінації у даній групі пацієнтів на тлі атопічних захворювань пояснюється як важливістю імунологічної ланки у патогенезі хронічного гінгівіту у дітей з атопічними захворюваннями, так і включенням у схему профілактики гінгівіту препарату з імуномодулюючим ефектом.</w:t>
      </w:r>
    </w:p>
    <w:p w14:paraId="41A0F8CA" w14:textId="77777777" w:rsidR="00936303" w:rsidRDefault="00936303" w:rsidP="00112933">
      <w:pPr>
        <w:spacing w:after="0" w:line="360" w:lineRule="auto"/>
        <w:rPr>
          <w:rFonts w:ascii="Times New Roman" w:hAnsi="Times New Roman"/>
          <w:sz w:val="28"/>
          <w:szCs w:val="28"/>
          <w:lang w:val="uk-UA"/>
        </w:rPr>
      </w:pPr>
    </w:p>
    <w:p w14:paraId="37DEF05E" w14:textId="3B51C860" w:rsidR="008057FF"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8057FF" w:rsidRPr="00F7440D">
        <w:rPr>
          <w:rFonts w:ascii="Times New Roman" w:hAnsi="Times New Roman"/>
          <w:sz w:val="28"/>
          <w:szCs w:val="28"/>
          <w:lang w:val="uk-UA"/>
        </w:rPr>
        <w:t>.6</w:t>
      </w:r>
    </w:p>
    <w:p w14:paraId="7EB806F5" w14:textId="41E591AE" w:rsidR="008057FF" w:rsidRPr="00F7440D" w:rsidRDefault="008057FF"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через 6 місяців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1"/>
        <w:gridCol w:w="2067"/>
        <w:gridCol w:w="1891"/>
        <w:gridCol w:w="1557"/>
      </w:tblGrid>
      <w:tr w:rsidR="008057FF" w:rsidRPr="00F7440D" w14:paraId="4E765491" w14:textId="77777777" w:rsidTr="008057FF">
        <w:trPr>
          <w:trHeight w:val="255"/>
        </w:trPr>
        <w:tc>
          <w:tcPr>
            <w:tcW w:w="1649" w:type="dxa"/>
            <w:shd w:val="clear" w:color="auto" w:fill="auto"/>
            <w:noWrap/>
            <w:hideMark/>
          </w:tcPr>
          <w:p w14:paraId="74EFE9C6" w14:textId="77777777" w:rsidR="008057FF" w:rsidRPr="00F7440D" w:rsidRDefault="008057FF" w:rsidP="00F7440D">
            <w:pPr>
              <w:spacing w:after="0" w:line="360" w:lineRule="auto"/>
              <w:ind w:firstLine="709"/>
              <w:rPr>
                <w:rFonts w:ascii="Times New Roman" w:hAnsi="Times New Roman"/>
                <w:i/>
                <w:iCs/>
                <w:sz w:val="28"/>
                <w:szCs w:val="28"/>
                <w:lang w:val="ru-RU"/>
              </w:rPr>
            </w:pPr>
            <w:r w:rsidRPr="00F7440D">
              <w:rPr>
                <w:rFonts w:ascii="Times New Roman" w:hAnsi="Times New Roman"/>
                <w:i/>
                <w:iCs/>
                <w:sz w:val="28"/>
                <w:szCs w:val="28"/>
              </w:rPr>
              <w:t> </w:t>
            </w:r>
          </w:p>
        </w:tc>
        <w:tc>
          <w:tcPr>
            <w:tcW w:w="2181" w:type="dxa"/>
            <w:shd w:val="clear" w:color="auto" w:fill="auto"/>
            <w:noWrap/>
            <w:hideMark/>
          </w:tcPr>
          <w:p w14:paraId="32E84C0A" w14:textId="77777777" w:rsidR="008057FF" w:rsidRPr="00F7440D" w:rsidRDefault="008057FF"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14B9DFE5" w14:textId="77777777" w:rsidR="008057FF" w:rsidRPr="00F7440D" w:rsidRDefault="008057FF"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39CF19E0" w14:textId="77777777" w:rsidR="008057FF" w:rsidRPr="00F7440D" w:rsidRDefault="008057FF"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59207D5E" w14:textId="77777777" w:rsidR="008057FF" w:rsidRPr="00F7440D" w:rsidRDefault="008057FF"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8057FF" w:rsidRPr="00F7440D" w14:paraId="7757FFD6" w14:textId="77777777" w:rsidTr="008057FF">
        <w:trPr>
          <w:trHeight w:val="255"/>
        </w:trPr>
        <w:tc>
          <w:tcPr>
            <w:tcW w:w="1649" w:type="dxa"/>
            <w:shd w:val="clear" w:color="auto" w:fill="auto"/>
            <w:noWrap/>
            <w:hideMark/>
          </w:tcPr>
          <w:p w14:paraId="2C971B37"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1" w:type="dxa"/>
            <w:shd w:val="clear" w:color="auto" w:fill="auto"/>
            <w:noWrap/>
            <w:hideMark/>
          </w:tcPr>
          <w:p w14:paraId="3BFBCCF8" w14:textId="1EDADFC8"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7.855325165</w:t>
            </w:r>
          </w:p>
        </w:tc>
        <w:tc>
          <w:tcPr>
            <w:tcW w:w="2067" w:type="dxa"/>
            <w:shd w:val="clear" w:color="auto" w:fill="auto"/>
            <w:noWrap/>
            <w:hideMark/>
          </w:tcPr>
          <w:p w14:paraId="45F32494" w14:textId="01BE8FB5"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0.257659998</w:t>
            </w:r>
          </w:p>
        </w:tc>
        <w:tc>
          <w:tcPr>
            <w:tcW w:w="1891" w:type="dxa"/>
            <w:shd w:val="clear" w:color="auto" w:fill="auto"/>
            <w:noWrap/>
            <w:hideMark/>
          </w:tcPr>
          <w:p w14:paraId="1BCF1D7B" w14:textId="20A07C27"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30.48717392</w:t>
            </w:r>
          </w:p>
        </w:tc>
        <w:tc>
          <w:tcPr>
            <w:tcW w:w="1557" w:type="dxa"/>
            <w:shd w:val="clear" w:color="auto" w:fill="auto"/>
            <w:noWrap/>
            <w:hideMark/>
          </w:tcPr>
          <w:p w14:paraId="73AAB7BF" w14:textId="5389172B"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4.53811E-33</w:t>
            </w:r>
          </w:p>
        </w:tc>
      </w:tr>
      <w:tr w:rsidR="008057FF" w:rsidRPr="00F7440D" w14:paraId="00F8B709" w14:textId="77777777" w:rsidTr="008057FF">
        <w:trPr>
          <w:trHeight w:val="270"/>
        </w:trPr>
        <w:tc>
          <w:tcPr>
            <w:tcW w:w="1649" w:type="dxa"/>
            <w:shd w:val="clear" w:color="auto" w:fill="auto"/>
            <w:noWrap/>
            <w:hideMark/>
          </w:tcPr>
          <w:p w14:paraId="05FEB2DA" w14:textId="77777777" w:rsidR="008057FF" w:rsidRPr="00F7440D" w:rsidRDefault="008057FF"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1" w:type="dxa"/>
            <w:shd w:val="clear" w:color="auto" w:fill="auto"/>
            <w:noWrap/>
            <w:hideMark/>
          </w:tcPr>
          <w:p w14:paraId="171FFD49" w14:textId="42907DAC"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-0.992931197</w:t>
            </w:r>
          </w:p>
        </w:tc>
        <w:tc>
          <w:tcPr>
            <w:tcW w:w="2067" w:type="dxa"/>
            <w:shd w:val="clear" w:color="auto" w:fill="auto"/>
            <w:noWrap/>
            <w:hideMark/>
          </w:tcPr>
          <w:p w14:paraId="414493D0" w14:textId="6410042E"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0.039929295</w:t>
            </w:r>
          </w:p>
        </w:tc>
        <w:tc>
          <w:tcPr>
            <w:tcW w:w="1891" w:type="dxa"/>
            <w:shd w:val="clear" w:color="auto" w:fill="auto"/>
            <w:noWrap/>
            <w:hideMark/>
          </w:tcPr>
          <w:p w14:paraId="7EE77889" w14:textId="412E2432"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-24.8672361</w:t>
            </w:r>
          </w:p>
        </w:tc>
        <w:tc>
          <w:tcPr>
            <w:tcW w:w="1557" w:type="dxa"/>
            <w:shd w:val="clear" w:color="auto" w:fill="auto"/>
            <w:noWrap/>
            <w:hideMark/>
          </w:tcPr>
          <w:p w14:paraId="11082824" w14:textId="0D443716" w:rsidR="008057FF" w:rsidRPr="00F7440D" w:rsidRDefault="008057FF"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4.51951E-29</w:t>
            </w:r>
          </w:p>
        </w:tc>
      </w:tr>
    </w:tbl>
    <w:p w14:paraId="6D35E5BB" w14:textId="77777777" w:rsidR="008057FF" w:rsidRPr="00F7440D" w:rsidRDefault="008057FF" w:rsidP="00F7440D">
      <w:pPr>
        <w:spacing w:after="0" w:line="360" w:lineRule="auto"/>
        <w:jc w:val="both"/>
        <w:rPr>
          <w:rFonts w:ascii="Times New Roman" w:hAnsi="Times New Roman"/>
          <w:sz w:val="28"/>
          <w:szCs w:val="28"/>
          <w:lang w:val="uk-UA"/>
        </w:rPr>
      </w:pPr>
    </w:p>
    <w:p w14:paraId="032D969A" w14:textId="4CE012DA"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Регресійний аналіз даних показав, що навіть при відсутності клінічних ознак гінгівіту та мінімальних значеннях індексу РМА існує кореляційний зв’язок між рівнем запалення та рівнем імуноглобуліну А. Отже, рівень імуноглобуліну, який визначається у ротовій рідині, можливо використовувати для прогнозу захворювань пародонту, а саме гінгівіту, а також для оцінювання ефективності лікування та своєчасної діагностики у дітей з атопічними захворюваннями.</w:t>
      </w:r>
    </w:p>
    <w:p w14:paraId="5CA19243" w14:textId="75878A07" w:rsidR="00C21976" w:rsidRPr="00F7440D" w:rsidRDefault="00C21976"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підтвердження або </w:t>
      </w:r>
      <w:r w:rsidR="008057FF" w:rsidRPr="00F7440D">
        <w:rPr>
          <w:rFonts w:ascii="Times New Roman" w:hAnsi="Times New Roman"/>
          <w:sz w:val="28"/>
          <w:szCs w:val="28"/>
          <w:lang w:val="uk-UA"/>
        </w:rPr>
        <w:t>спростування</w:t>
      </w:r>
      <w:r w:rsidRPr="00F7440D">
        <w:rPr>
          <w:rFonts w:ascii="Times New Roman" w:hAnsi="Times New Roman"/>
          <w:sz w:val="28"/>
          <w:szCs w:val="28"/>
          <w:lang w:val="uk-UA"/>
        </w:rPr>
        <w:t xml:space="preserve"> виявленої закономірності, ми провели регресіний аналіз даних і у групі дітей </w:t>
      </w:r>
      <w:r w:rsidR="00D813AA" w:rsidRPr="00F7440D">
        <w:rPr>
          <w:rFonts w:ascii="Times New Roman" w:hAnsi="Times New Roman"/>
          <w:sz w:val="28"/>
          <w:szCs w:val="28"/>
          <w:lang w:val="uk-UA"/>
        </w:rPr>
        <w:t>на тлі</w:t>
      </w:r>
      <w:r w:rsidRPr="00F7440D">
        <w:rPr>
          <w:rFonts w:ascii="Times New Roman" w:hAnsi="Times New Roman"/>
          <w:sz w:val="28"/>
          <w:szCs w:val="28"/>
          <w:lang w:val="uk-UA"/>
        </w:rPr>
        <w:t xml:space="preserve"> атопічних захворювань, проте</w:t>
      </w:r>
      <w:r w:rsidR="00640CC8" w:rsidRPr="00F7440D">
        <w:rPr>
          <w:rFonts w:ascii="Times New Roman" w:hAnsi="Times New Roman"/>
          <w:sz w:val="28"/>
          <w:szCs w:val="28"/>
          <w:lang w:val="uk-UA"/>
        </w:rPr>
        <w:t xml:space="preserve"> </w:t>
      </w:r>
      <w:r w:rsidRPr="00F7440D">
        <w:rPr>
          <w:rFonts w:ascii="Times New Roman" w:hAnsi="Times New Roman"/>
          <w:sz w:val="28"/>
          <w:szCs w:val="28"/>
          <w:lang w:val="uk-UA"/>
        </w:rPr>
        <w:t>з встановленим діагнозом «хронічний гінгівіт»</w:t>
      </w:r>
      <w:r w:rsidR="00E11AE4" w:rsidRPr="00F7440D">
        <w:rPr>
          <w:rFonts w:ascii="Times New Roman" w:hAnsi="Times New Roman"/>
          <w:sz w:val="28"/>
          <w:szCs w:val="28"/>
          <w:lang w:val="uk-UA"/>
        </w:rPr>
        <w:t xml:space="preserve"> середнього </w:t>
      </w:r>
      <w:r w:rsidR="00D813AA" w:rsidRPr="00F7440D">
        <w:rPr>
          <w:rFonts w:ascii="Times New Roman" w:hAnsi="Times New Roman"/>
          <w:sz w:val="28"/>
          <w:szCs w:val="28"/>
          <w:lang w:val="uk-UA"/>
        </w:rPr>
        <w:t>ступеню тяжкості</w:t>
      </w:r>
      <w:r w:rsidRPr="00F7440D">
        <w:rPr>
          <w:rFonts w:ascii="Times New Roman" w:hAnsi="Times New Roman"/>
          <w:sz w:val="28"/>
          <w:szCs w:val="28"/>
          <w:lang w:val="uk-UA"/>
        </w:rPr>
        <w:t>. Як говорять отримані дані, залежність рівня імуноглобуліну А та ступеню запалення у яснах також спостерігається, проте згідно з коефіцієнтом детермінації, залежність дещо слабша. Отрим</w:t>
      </w:r>
      <w:r w:rsidR="00E96E97" w:rsidRPr="00F7440D">
        <w:rPr>
          <w:rFonts w:ascii="Times New Roman" w:hAnsi="Times New Roman"/>
          <w:sz w:val="28"/>
          <w:szCs w:val="28"/>
          <w:lang w:val="uk-UA"/>
        </w:rPr>
        <w:t>ані дані наведені у таблицях 8.7, 8</w:t>
      </w:r>
      <w:r w:rsidR="0053351E" w:rsidRPr="00F7440D">
        <w:rPr>
          <w:rFonts w:ascii="Times New Roman" w:hAnsi="Times New Roman"/>
          <w:sz w:val="28"/>
          <w:szCs w:val="28"/>
          <w:lang w:val="uk-UA"/>
        </w:rPr>
        <w:t>.8</w:t>
      </w:r>
      <w:r w:rsidR="00E96E97" w:rsidRPr="00F7440D">
        <w:rPr>
          <w:rFonts w:ascii="Times New Roman" w:hAnsi="Times New Roman"/>
          <w:sz w:val="28"/>
          <w:szCs w:val="28"/>
          <w:lang w:val="uk-UA"/>
        </w:rPr>
        <w:t>, 8</w:t>
      </w:r>
      <w:r w:rsidR="0053351E" w:rsidRPr="00F7440D">
        <w:rPr>
          <w:rFonts w:ascii="Times New Roman" w:hAnsi="Times New Roman"/>
          <w:sz w:val="28"/>
          <w:szCs w:val="28"/>
          <w:lang w:val="uk-UA"/>
        </w:rPr>
        <w:t>.9</w:t>
      </w:r>
      <w:r w:rsidRPr="00F7440D">
        <w:rPr>
          <w:rFonts w:ascii="Times New Roman" w:hAnsi="Times New Roman"/>
          <w:sz w:val="28"/>
          <w:szCs w:val="28"/>
          <w:lang w:val="uk-UA"/>
        </w:rPr>
        <w:t>.</w:t>
      </w:r>
    </w:p>
    <w:p w14:paraId="57421595" w14:textId="77777777" w:rsidR="00112933" w:rsidRDefault="00112933" w:rsidP="00F7440D">
      <w:pPr>
        <w:spacing w:after="0" w:line="360" w:lineRule="auto"/>
        <w:ind w:firstLine="709"/>
        <w:jc w:val="right"/>
        <w:rPr>
          <w:rFonts w:ascii="Times New Roman" w:hAnsi="Times New Roman"/>
          <w:sz w:val="28"/>
          <w:szCs w:val="28"/>
          <w:lang w:val="uk-UA"/>
        </w:rPr>
      </w:pPr>
    </w:p>
    <w:p w14:paraId="1D42EB5E" w14:textId="77777777" w:rsidR="00112933" w:rsidRDefault="00112933" w:rsidP="00F7440D">
      <w:pPr>
        <w:spacing w:after="0" w:line="360" w:lineRule="auto"/>
        <w:ind w:firstLine="709"/>
        <w:jc w:val="right"/>
        <w:rPr>
          <w:rFonts w:ascii="Times New Roman" w:hAnsi="Times New Roman"/>
          <w:sz w:val="28"/>
          <w:szCs w:val="28"/>
          <w:lang w:val="uk-UA"/>
        </w:rPr>
      </w:pPr>
    </w:p>
    <w:p w14:paraId="2B4C40C1" w14:textId="77777777" w:rsidR="00112933" w:rsidRDefault="00112933" w:rsidP="00F7440D">
      <w:pPr>
        <w:spacing w:after="0" w:line="360" w:lineRule="auto"/>
        <w:ind w:firstLine="709"/>
        <w:jc w:val="right"/>
        <w:rPr>
          <w:rFonts w:ascii="Times New Roman" w:hAnsi="Times New Roman"/>
          <w:sz w:val="28"/>
          <w:szCs w:val="28"/>
          <w:lang w:val="uk-UA"/>
        </w:rPr>
      </w:pPr>
    </w:p>
    <w:p w14:paraId="275CEA28" w14:textId="77777777" w:rsidR="00112933" w:rsidRDefault="00112933" w:rsidP="00F7440D">
      <w:pPr>
        <w:spacing w:after="0" w:line="360" w:lineRule="auto"/>
        <w:ind w:firstLine="709"/>
        <w:jc w:val="right"/>
        <w:rPr>
          <w:rFonts w:ascii="Times New Roman" w:hAnsi="Times New Roman"/>
          <w:sz w:val="28"/>
          <w:szCs w:val="28"/>
          <w:lang w:val="uk-UA"/>
        </w:rPr>
      </w:pPr>
    </w:p>
    <w:p w14:paraId="29E0F51B" w14:textId="29B67EF5" w:rsidR="0053351E" w:rsidRPr="00F7440D" w:rsidRDefault="0053351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.7</w:t>
      </w:r>
    </w:p>
    <w:p w14:paraId="3627E680" w14:textId="02E05B16"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А та індексу РМА у групі пацієнтів з гінгівітом на тлі атопічних захворювань</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53351E" w:rsidRPr="00F7440D" w14:paraId="4B30D7BA" w14:textId="77777777" w:rsidTr="00030031">
        <w:trPr>
          <w:trHeight w:val="157"/>
        </w:trPr>
        <w:tc>
          <w:tcPr>
            <w:tcW w:w="9688" w:type="dxa"/>
            <w:gridSpan w:val="2"/>
            <w:shd w:val="clear" w:color="auto" w:fill="auto"/>
            <w:noWrap/>
            <w:hideMark/>
          </w:tcPr>
          <w:p w14:paraId="33C2973D"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017DF8" w:rsidRPr="00F7440D" w14:paraId="1A982528" w14:textId="77777777" w:rsidTr="00030031">
        <w:trPr>
          <w:trHeight w:val="157"/>
        </w:trPr>
        <w:tc>
          <w:tcPr>
            <w:tcW w:w="5632" w:type="dxa"/>
            <w:shd w:val="clear" w:color="auto" w:fill="auto"/>
            <w:noWrap/>
            <w:hideMark/>
          </w:tcPr>
          <w:p w14:paraId="2BD0C8DF" w14:textId="77777777" w:rsidR="00017DF8" w:rsidRPr="00F7440D" w:rsidRDefault="00017DF8" w:rsidP="00F7440D">
            <w:pPr>
              <w:spacing w:after="0" w:line="360" w:lineRule="auto"/>
              <w:ind w:firstLine="709"/>
              <w:rPr>
                <w:rFonts w:ascii="Times New Roman" w:hAnsi="Times New Roman"/>
                <w:sz w:val="28"/>
                <w:szCs w:val="28"/>
                <w:lang w:val="uk-UA"/>
              </w:rPr>
            </w:pPr>
            <w:r w:rsidRPr="00F7440D">
              <w:rPr>
                <w:rFonts w:ascii="Times New Roman" w:hAnsi="Times New Roman"/>
                <w:sz w:val="28"/>
                <w:szCs w:val="28"/>
                <w:lang w:val="uk-UA"/>
              </w:rPr>
              <w:t xml:space="preserve">Множинний </w:t>
            </w:r>
            <w:r w:rsidRPr="00F7440D">
              <w:rPr>
                <w:rFonts w:ascii="Times New Roman" w:hAnsi="Times New Roman"/>
                <w:sz w:val="28"/>
                <w:szCs w:val="28"/>
              </w:rPr>
              <w:t>R</w:t>
            </w:r>
          </w:p>
        </w:tc>
        <w:tc>
          <w:tcPr>
            <w:tcW w:w="4056" w:type="dxa"/>
            <w:shd w:val="clear" w:color="auto" w:fill="auto"/>
            <w:noWrap/>
            <w:vAlign w:val="bottom"/>
            <w:hideMark/>
          </w:tcPr>
          <w:p w14:paraId="03B6E5BD" w14:textId="6F2ECC9F"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0.935855</w:t>
            </w:r>
          </w:p>
        </w:tc>
      </w:tr>
      <w:tr w:rsidR="00017DF8" w:rsidRPr="00F7440D" w14:paraId="4487769F" w14:textId="77777777" w:rsidTr="00030031">
        <w:trPr>
          <w:trHeight w:val="157"/>
        </w:trPr>
        <w:tc>
          <w:tcPr>
            <w:tcW w:w="5632" w:type="dxa"/>
            <w:shd w:val="clear" w:color="auto" w:fill="auto"/>
            <w:noWrap/>
            <w:hideMark/>
          </w:tcPr>
          <w:p w14:paraId="59D62A6C"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vAlign w:val="bottom"/>
            <w:hideMark/>
          </w:tcPr>
          <w:p w14:paraId="08266899" w14:textId="7BCB8210"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0.875824</w:t>
            </w:r>
          </w:p>
        </w:tc>
      </w:tr>
      <w:tr w:rsidR="00017DF8" w:rsidRPr="00F7440D" w14:paraId="1737B599" w14:textId="77777777" w:rsidTr="00030031">
        <w:trPr>
          <w:trHeight w:val="157"/>
        </w:trPr>
        <w:tc>
          <w:tcPr>
            <w:tcW w:w="5632" w:type="dxa"/>
            <w:shd w:val="clear" w:color="auto" w:fill="auto"/>
            <w:noWrap/>
            <w:hideMark/>
          </w:tcPr>
          <w:p w14:paraId="1BDE7EB7"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vAlign w:val="bottom"/>
            <w:hideMark/>
          </w:tcPr>
          <w:p w14:paraId="41AFFADD" w14:textId="26FA1D4F"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0.871389</w:t>
            </w:r>
          </w:p>
        </w:tc>
      </w:tr>
      <w:tr w:rsidR="00017DF8" w:rsidRPr="00F7440D" w14:paraId="70DF56AA" w14:textId="77777777" w:rsidTr="00030031">
        <w:trPr>
          <w:trHeight w:val="157"/>
        </w:trPr>
        <w:tc>
          <w:tcPr>
            <w:tcW w:w="5632" w:type="dxa"/>
            <w:shd w:val="clear" w:color="auto" w:fill="auto"/>
            <w:noWrap/>
            <w:hideMark/>
          </w:tcPr>
          <w:p w14:paraId="4F3E62BB" w14:textId="77777777" w:rsidR="00017DF8" w:rsidRPr="00F7440D" w:rsidRDefault="00017DF8"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vAlign w:val="bottom"/>
            <w:hideMark/>
          </w:tcPr>
          <w:p w14:paraId="275E89F5" w14:textId="7D77092E"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0.841048</w:t>
            </w:r>
          </w:p>
        </w:tc>
      </w:tr>
      <w:tr w:rsidR="00017DF8" w:rsidRPr="00F7440D" w14:paraId="0AECFAEC" w14:textId="77777777" w:rsidTr="00030031">
        <w:trPr>
          <w:trHeight w:val="166"/>
        </w:trPr>
        <w:tc>
          <w:tcPr>
            <w:tcW w:w="5632" w:type="dxa"/>
            <w:shd w:val="clear" w:color="auto" w:fill="auto"/>
            <w:noWrap/>
            <w:hideMark/>
          </w:tcPr>
          <w:p w14:paraId="430CAFB8" w14:textId="77777777" w:rsidR="00017DF8" w:rsidRPr="00F7440D" w:rsidRDefault="00017DF8"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vAlign w:val="bottom"/>
            <w:hideMark/>
          </w:tcPr>
          <w:p w14:paraId="58BDF857" w14:textId="7D74492C" w:rsidR="00017DF8" w:rsidRPr="00F7440D" w:rsidRDefault="00017DF8"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30</w:t>
            </w:r>
          </w:p>
        </w:tc>
      </w:tr>
    </w:tbl>
    <w:p w14:paraId="4062F6FE" w14:textId="77777777" w:rsidR="0053351E" w:rsidRPr="00F7440D" w:rsidRDefault="0053351E" w:rsidP="00F7440D">
      <w:pPr>
        <w:spacing w:after="0" w:line="360" w:lineRule="auto"/>
        <w:ind w:firstLine="709"/>
        <w:rPr>
          <w:rFonts w:ascii="Times New Roman" w:hAnsi="Times New Roman"/>
          <w:sz w:val="28"/>
          <w:szCs w:val="28"/>
          <w:lang w:val="uk-UA"/>
        </w:rPr>
      </w:pPr>
    </w:p>
    <w:p w14:paraId="2FAA3E26" w14:textId="51F796F7" w:rsidR="0053351E"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53351E" w:rsidRPr="00F7440D">
        <w:rPr>
          <w:rFonts w:ascii="Times New Roman" w:hAnsi="Times New Roman"/>
          <w:sz w:val="28"/>
          <w:szCs w:val="28"/>
          <w:lang w:val="uk-UA"/>
        </w:rPr>
        <w:t>.8</w:t>
      </w:r>
    </w:p>
    <w:p w14:paraId="311F0369" w14:textId="1E2EE60D"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А та індексу РМА у групі пацієнтів з гінгівітом на тлі атопічних захворювань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864"/>
        <w:gridCol w:w="1803"/>
        <w:gridCol w:w="1685"/>
        <w:gridCol w:w="1743"/>
        <w:gridCol w:w="1838"/>
      </w:tblGrid>
      <w:tr w:rsidR="0053351E" w:rsidRPr="00F7440D" w14:paraId="01CC338E" w14:textId="77777777" w:rsidTr="00017DF8">
        <w:trPr>
          <w:trHeight w:val="255"/>
        </w:trPr>
        <w:tc>
          <w:tcPr>
            <w:tcW w:w="1412" w:type="dxa"/>
            <w:shd w:val="clear" w:color="auto" w:fill="auto"/>
            <w:noWrap/>
            <w:hideMark/>
          </w:tcPr>
          <w:p w14:paraId="0DD29130"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4" w:type="dxa"/>
            <w:shd w:val="clear" w:color="auto" w:fill="auto"/>
            <w:noWrap/>
            <w:hideMark/>
          </w:tcPr>
          <w:p w14:paraId="6218A132" w14:textId="77777777" w:rsidR="0053351E" w:rsidRPr="00F7440D" w:rsidRDefault="0053351E"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03" w:type="dxa"/>
            <w:shd w:val="clear" w:color="auto" w:fill="auto"/>
            <w:noWrap/>
            <w:hideMark/>
          </w:tcPr>
          <w:p w14:paraId="65ECF54C"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685" w:type="dxa"/>
            <w:shd w:val="clear" w:color="auto" w:fill="auto"/>
            <w:noWrap/>
            <w:hideMark/>
          </w:tcPr>
          <w:p w14:paraId="4E8B414C"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43" w:type="dxa"/>
            <w:shd w:val="clear" w:color="auto" w:fill="auto"/>
            <w:noWrap/>
            <w:hideMark/>
          </w:tcPr>
          <w:p w14:paraId="4F54CE89"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38" w:type="dxa"/>
            <w:shd w:val="clear" w:color="auto" w:fill="auto"/>
            <w:noWrap/>
            <w:hideMark/>
          </w:tcPr>
          <w:p w14:paraId="03843404" w14:textId="77777777" w:rsidR="0053351E" w:rsidRPr="00F7440D" w:rsidRDefault="0053351E"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017DF8" w:rsidRPr="00F7440D" w14:paraId="4DD08D85" w14:textId="77777777" w:rsidTr="00017DF8">
        <w:trPr>
          <w:trHeight w:val="255"/>
        </w:trPr>
        <w:tc>
          <w:tcPr>
            <w:tcW w:w="1412" w:type="dxa"/>
            <w:shd w:val="clear" w:color="auto" w:fill="auto"/>
            <w:noWrap/>
            <w:hideMark/>
          </w:tcPr>
          <w:p w14:paraId="11E2879C"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4" w:type="dxa"/>
            <w:shd w:val="clear" w:color="auto" w:fill="auto"/>
            <w:noWrap/>
            <w:vAlign w:val="bottom"/>
            <w:hideMark/>
          </w:tcPr>
          <w:p w14:paraId="3A7927EB" w14:textId="6FE06438"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03" w:type="dxa"/>
            <w:shd w:val="clear" w:color="auto" w:fill="auto"/>
            <w:noWrap/>
            <w:vAlign w:val="bottom"/>
            <w:hideMark/>
          </w:tcPr>
          <w:p w14:paraId="54FD2E59" w14:textId="3C291FF3"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139.6939</w:t>
            </w:r>
          </w:p>
        </w:tc>
        <w:tc>
          <w:tcPr>
            <w:tcW w:w="1685" w:type="dxa"/>
            <w:shd w:val="clear" w:color="auto" w:fill="auto"/>
            <w:noWrap/>
            <w:vAlign w:val="bottom"/>
            <w:hideMark/>
          </w:tcPr>
          <w:p w14:paraId="0FE7ED38" w14:textId="06F8E787"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139.6939</w:t>
            </w:r>
          </w:p>
        </w:tc>
        <w:tc>
          <w:tcPr>
            <w:tcW w:w="1743" w:type="dxa"/>
            <w:shd w:val="clear" w:color="auto" w:fill="auto"/>
            <w:noWrap/>
            <w:vAlign w:val="bottom"/>
            <w:hideMark/>
          </w:tcPr>
          <w:p w14:paraId="4F842B80" w14:textId="7054DE9D"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197.4858</w:t>
            </w:r>
          </w:p>
        </w:tc>
        <w:tc>
          <w:tcPr>
            <w:tcW w:w="1838" w:type="dxa"/>
            <w:shd w:val="clear" w:color="auto" w:fill="auto"/>
            <w:noWrap/>
            <w:vAlign w:val="bottom"/>
            <w:hideMark/>
          </w:tcPr>
          <w:p w14:paraId="1C85A325" w14:textId="5C80966D"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3.29E-14</w:t>
            </w:r>
          </w:p>
        </w:tc>
      </w:tr>
      <w:tr w:rsidR="00017DF8" w:rsidRPr="00F7440D" w14:paraId="61C3F93E" w14:textId="77777777" w:rsidTr="00017DF8">
        <w:trPr>
          <w:trHeight w:val="255"/>
        </w:trPr>
        <w:tc>
          <w:tcPr>
            <w:tcW w:w="1412" w:type="dxa"/>
            <w:shd w:val="clear" w:color="auto" w:fill="auto"/>
            <w:noWrap/>
            <w:hideMark/>
          </w:tcPr>
          <w:p w14:paraId="54D2014E"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4" w:type="dxa"/>
            <w:shd w:val="clear" w:color="auto" w:fill="auto"/>
            <w:noWrap/>
            <w:vAlign w:val="bottom"/>
            <w:hideMark/>
          </w:tcPr>
          <w:p w14:paraId="1788ECF2" w14:textId="440F22BB"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28</w:t>
            </w:r>
          </w:p>
        </w:tc>
        <w:tc>
          <w:tcPr>
            <w:tcW w:w="1803" w:type="dxa"/>
            <w:shd w:val="clear" w:color="auto" w:fill="auto"/>
            <w:noWrap/>
            <w:vAlign w:val="bottom"/>
            <w:hideMark/>
          </w:tcPr>
          <w:p w14:paraId="7AF6D10F" w14:textId="067A9730"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19.80612</w:t>
            </w:r>
          </w:p>
        </w:tc>
        <w:tc>
          <w:tcPr>
            <w:tcW w:w="1685" w:type="dxa"/>
            <w:shd w:val="clear" w:color="auto" w:fill="auto"/>
            <w:noWrap/>
            <w:vAlign w:val="bottom"/>
            <w:hideMark/>
          </w:tcPr>
          <w:p w14:paraId="69BF21C9" w14:textId="2739777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0.707362</w:t>
            </w:r>
          </w:p>
        </w:tc>
        <w:tc>
          <w:tcPr>
            <w:tcW w:w="1743" w:type="dxa"/>
            <w:shd w:val="clear" w:color="auto" w:fill="auto"/>
            <w:noWrap/>
            <w:vAlign w:val="bottom"/>
            <w:hideMark/>
          </w:tcPr>
          <w:p w14:paraId="6480073D" w14:textId="77777777" w:rsidR="00017DF8" w:rsidRPr="00F7440D" w:rsidRDefault="00017DF8" w:rsidP="00F7440D">
            <w:pPr>
              <w:spacing w:after="0" w:line="360" w:lineRule="auto"/>
              <w:ind w:firstLine="709"/>
              <w:rPr>
                <w:rFonts w:ascii="Times New Roman" w:hAnsi="Times New Roman" w:cs="Times New Roman"/>
                <w:sz w:val="28"/>
                <w:szCs w:val="28"/>
              </w:rPr>
            </w:pPr>
          </w:p>
        </w:tc>
        <w:tc>
          <w:tcPr>
            <w:tcW w:w="1838" w:type="dxa"/>
            <w:shd w:val="clear" w:color="auto" w:fill="auto"/>
            <w:noWrap/>
            <w:vAlign w:val="bottom"/>
            <w:hideMark/>
          </w:tcPr>
          <w:p w14:paraId="1EA2AC98" w14:textId="77777777" w:rsidR="00017DF8" w:rsidRPr="00F7440D" w:rsidRDefault="00017DF8" w:rsidP="00F7440D">
            <w:pPr>
              <w:spacing w:after="0" w:line="360" w:lineRule="auto"/>
              <w:ind w:firstLine="709"/>
              <w:rPr>
                <w:rFonts w:ascii="Times New Roman" w:hAnsi="Times New Roman" w:cs="Times New Roman"/>
                <w:sz w:val="28"/>
                <w:szCs w:val="28"/>
              </w:rPr>
            </w:pPr>
          </w:p>
        </w:tc>
      </w:tr>
      <w:tr w:rsidR="00017DF8" w:rsidRPr="00F7440D" w14:paraId="201859B1" w14:textId="77777777" w:rsidTr="00017DF8">
        <w:trPr>
          <w:trHeight w:val="270"/>
        </w:trPr>
        <w:tc>
          <w:tcPr>
            <w:tcW w:w="1412" w:type="dxa"/>
            <w:shd w:val="clear" w:color="auto" w:fill="auto"/>
            <w:noWrap/>
            <w:hideMark/>
          </w:tcPr>
          <w:p w14:paraId="363D97F1" w14:textId="77777777" w:rsidR="00017DF8" w:rsidRPr="00F7440D" w:rsidRDefault="00017DF8"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4" w:type="dxa"/>
            <w:shd w:val="clear" w:color="auto" w:fill="auto"/>
            <w:noWrap/>
            <w:vAlign w:val="bottom"/>
            <w:hideMark/>
          </w:tcPr>
          <w:p w14:paraId="73FAB8E9" w14:textId="74E64179"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29</w:t>
            </w:r>
          </w:p>
        </w:tc>
        <w:tc>
          <w:tcPr>
            <w:tcW w:w="1803" w:type="dxa"/>
            <w:shd w:val="clear" w:color="auto" w:fill="auto"/>
            <w:noWrap/>
            <w:vAlign w:val="bottom"/>
            <w:hideMark/>
          </w:tcPr>
          <w:p w14:paraId="7494C3F8" w14:textId="5788386B"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159.5</w:t>
            </w:r>
          </w:p>
        </w:tc>
        <w:tc>
          <w:tcPr>
            <w:tcW w:w="1685" w:type="dxa"/>
            <w:shd w:val="clear" w:color="auto" w:fill="auto"/>
            <w:noWrap/>
            <w:vAlign w:val="bottom"/>
            <w:hideMark/>
          </w:tcPr>
          <w:p w14:paraId="0A2EEEB8" w14:textId="1FE956F6"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743" w:type="dxa"/>
            <w:shd w:val="clear" w:color="auto" w:fill="auto"/>
            <w:noWrap/>
            <w:vAlign w:val="bottom"/>
            <w:hideMark/>
          </w:tcPr>
          <w:p w14:paraId="4588B26E" w14:textId="55B9D908"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838" w:type="dxa"/>
            <w:shd w:val="clear" w:color="auto" w:fill="auto"/>
            <w:noWrap/>
            <w:vAlign w:val="bottom"/>
            <w:hideMark/>
          </w:tcPr>
          <w:p w14:paraId="2831F889" w14:textId="55C7F48D" w:rsidR="00017DF8" w:rsidRPr="00F7440D" w:rsidRDefault="00017DF8"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r>
    </w:tbl>
    <w:p w14:paraId="2E133901" w14:textId="77777777" w:rsidR="00112933" w:rsidRDefault="00112933" w:rsidP="00112933">
      <w:pPr>
        <w:spacing w:after="0" w:line="360" w:lineRule="auto"/>
        <w:ind w:firstLine="709"/>
        <w:jc w:val="both"/>
        <w:rPr>
          <w:rFonts w:ascii="Times New Roman" w:hAnsi="Times New Roman"/>
          <w:sz w:val="28"/>
          <w:szCs w:val="28"/>
          <w:lang w:val="uk-UA"/>
        </w:rPr>
      </w:pPr>
    </w:p>
    <w:p w14:paraId="5043E804" w14:textId="77777777" w:rsidR="00112933" w:rsidRPr="00F7440D" w:rsidRDefault="00112933" w:rsidP="0011293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sz w:val="28"/>
          <w:szCs w:val="28"/>
          <w:lang w:val="uk-UA"/>
        </w:rPr>
        <w:t>Для перевірки значень коефіцієнтів регресії згідно з законами статистичного аналізу, порівнюємо абсолютні значення коефіцієнтів (</w:t>
      </w:r>
      <w:r w:rsidRPr="00F7440D">
        <w:rPr>
          <w:rFonts w:ascii="Times New Roman" w:hAnsi="Times New Roman" w:cs="Times New Roman"/>
          <w:sz w:val="28"/>
          <w:szCs w:val="28"/>
          <w:lang w:val="uk-UA"/>
        </w:rPr>
        <w:t>40.03061 та -3.77551</w:t>
      </w:r>
      <w:r w:rsidRPr="00F7440D">
        <w:rPr>
          <w:rFonts w:ascii="Times New Roman" w:hAnsi="Times New Roman"/>
          <w:sz w:val="28"/>
          <w:szCs w:val="28"/>
          <w:lang w:val="uk-UA"/>
        </w:rPr>
        <w:t>) та їх стандартні помилки (</w:t>
      </w:r>
      <w:r w:rsidRPr="00F7440D">
        <w:rPr>
          <w:rFonts w:ascii="Times New Roman" w:hAnsi="Times New Roman" w:cs="Times New Roman"/>
          <w:sz w:val="28"/>
          <w:szCs w:val="28"/>
          <w:lang w:val="uk-UA"/>
        </w:rPr>
        <w:t>0.357096 та 0.268663 відповідно</w:t>
      </w:r>
      <w:r w:rsidRPr="00F7440D">
        <w:rPr>
          <w:rFonts w:ascii="Times New Roman" w:hAnsi="Times New Roman"/>
          <w:sz w:val="28"/>
          <w:szCs w:val="28"/>
          <w:lang w:val="uk-UA"/>
        </w:rPr>
        <w:t xml:space="preserve">), а також аналізуємо Р-значення. Отримані дані свідчать про достовірність отриманих даних та правильність побудованого рівняння лінійної регресії, яке має наступний вигляд: </w:t>
      </w:r>
      <w:r w:rsidRPr="00F7440D">
        <w:rPr>
          <w:rFonts w:ascii="Times New Roman" w:hAnsi="Times New Roman"/>
          <w:sz w:val="28"/>
          <w:szCs w:val="28"/>
        </w:rPr>
        <w:t>y</w:t>
      </w:r>
      <w:r w:rsidRPr="00F7440D">
        <w:rPr>
          <w:rFonts w:ascii="Times New Roman" w:hAnsi="Times New Roman"/>
          <w:sz w:val="28"/>
          <w:szCs w:val="28"/>
          <w:lang w:val="uk-UA"/>
        </w:rPr>
        <w:t xml:space="preserve"> = </w:t>
      </w:r>
      <w:r w:rsidRPr="00F7440D">
        <w:rPr>
          <w:rFonts w:ascii="Times New Roman" w:hAnsi="Times New Roman" w:cs="Times New Roman"/>
          <w:sz w:val="28"/>
          <w:szCs w:val="28"/>
          <w:lang w:val="uk-UA"/>
        </w:rPr>
        <w:t>-3.78</w:t>
      </w:r>
      <w:r w:rsidRPr="00F7440D">
        <w:rPr>
          <w:rFonts w:ascii="Times New Roman" w:hAnsi="Times New Roman"/>
          <w:sz w:val="28"/>
          <w:szCs w:val="28"/>
          <w:lang w:val="uk-UA"/>
        </w:rPr>
        <w:t xml:space="preserve"> </w:t>
      </w:r>
      <w:r w:rsidRPr="00F7440D">
        <w:rPr>
          <w:rFonts w:ascii="Times New Roman" w:hAnsi="Times New Roman"/>
          <w:sz w:val="28"/>
          <w:szCs w:val="28"/>
        </w:rPr>
        <w:t>X</w:t>
      </w:r>
      <w:r w:rsidRPr="00F7440D">
        <w:rPr>
          <w:rFonts w:ascii="Times New Roman" w:hAnsi="Times New Roman"/>
          <w:sz w:val="28"/>
          <w:szCs w:val="28"/>
          <w:lang w:val="uk-UA"/>
        </w:rPr>
        <w:t xml:space="preserve"> 1 </w:t>
      </w:r>
      <w:r w:rsidRPr="00F7440D">
        <w:rPr>
          <w:rFonts w:ascii="Times New Roman" w:hAnsi="Times New Roman" w:cs="Times New Roman"/>
          <w:sz w:val="28"/>
          <w:szCs w:val="28"/>
          <w:lang w:val="uk-UA"/>
        </w:rPr>
        <w:t>+</w:t>
      </w:r>
      <w:r w:rsidRPr="00F7440D">
        <w:rPr>
          <w:rFonts w:ascii="Times New Roman" w:hAnsi="Times New Roman"/>
          <w:sz w:val="28"/>
          <w:szCs w:val="28"/>
          <w:lang w:val="uk-UA"/>
        </w:rPr>
        <w:t xml:space="preserve"> </w:t>
      </w:r>
      <w:r w:rsidRPr="00F7440D">
        <w:rPr>
          <w:rFonts w:ascii="Times New Roman" w:hAnsi="Times New Roman" w:cs="Times New Roman"/>
          <w:sz w:val="28"/>
          <w:szCs w:val="28"/>
          <w:lang w:val="uk-UA"/>
        </w:rPr>
        <w:t>40.03.</w:t>
      </w:r>
    </w:p>
    <w:p w14:paraId="5828BE23" w14:textId="77777777" w:rsidR="00112933" w:rsidRDefault="00112933" w:rsidP="00F7440D">
      <w:pPr>
        <w:spacing w:after="0" w:line="360" w:lineRule="auto"/>
        <w:ind w:firstLine="709"/>
        <w:jc w:val="right"/>
        <w:rPr>
          <w:rFonts w:ascii="Times New Roman" w:hAnsi="Times New Roman"/>
          <w:sz w:val="28"/>
          <w:szCs w:val="28"/>
          <w:lang w:val="uk-UA"/>
        </w:rPr>
      </w:pPr>
    </w:p>
    <w:p w14:paraId="327EB19B" w14:textId="77777777" w:rsidR="00112933" w:rsidRDefault="00112933" w:rsidP="00F7440D">
      <w:pPr>
        <w:spacing w:after="0" w:line="360" w:lineRule="auto"/>
        <w:ind w:firstLine="709"/>
        <w:jc w:val="right"/>
        <w:rPr>
          <w:rFonts w:ascii="Times New Roman" w:hAnsi="Times New Roman"/>
          <w:sz w:val="28"/>
          <w:szCs w:val="28"/>
          <w:lang w:val="uk-UA"/>
        </w:rPr>
      </w:pPr>
    </w:p>
    <w:p w14:paraId="610BFEEF" w14:textId="735BB442" w:rsidR="0053351E"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53351E" w:rsidRPr="00F7440D">
        <w:rPr>
          <w:rFonts w:ascii="Times New Roman" w:hAnsi="Times New Roman"/>
          <w:sz w:val="28"/>
          <w:szCs w:val="28"/>
          <w:lang w:val="uk-UA"/>
        </w:rPr>
        <w:t>.9</w:t>
      </w:r>
    </w:p>
    <w:p w14:paraId="24400545" w14:textId="64C589C5" w:rsidR="0053351E" w:rsidRPr="00F7440D" w:rsidRDefault="0053351E"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у групі пацієнтів з гінгівітом на тлі атопічних захворювань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0"/>
        <w:gridCol w:w="2067"/>
        <w:gridCol w:w="1891"/>
        <w:gridCol w:w="1557"/>
      </w:tblGrid>
      <w:tr w:rsidR="0053351E" w:rsidRPr="00F7440D" w14:paraId="61381365" w14:textId="77777777" w:rsidTr="00017DF8">
        <w:trPr>
          <w:trHeight w:val="255"/>
        </w:trPr>
        <w:tc>
          <w:tcPr>
            <w:tcW w:w="1650" w:type="dxa"/>
            <w:shd w:val="clear" w:color="auto" w:fill="auto"/>
            <w:noWrap/>
            <w:hideMark/>
          </w:tcPr>
          <w:p w14:paraId="4716F7DD"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2180" w:type="dxa"/>
            <w:shd w:val="clear" w:color="auto" w:fill="auto"/>
            <w:noWrap/>
            <w:hideMark/>
          </w:tcPr>
          <w:p w14:paraId="572FC448" w14:textId="77777777" w:rsidR="0053351E" w:rsidRPr="00F7440D" w:rsidRDefault="0053351E"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5E89E6AE" w14:textId="77777777" w:rsidR="0053351E" w:rsidRPr="00F7440D" w:rsidRDefault="0053351E"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6B6389F5" w14:textId="77777777" w:rsidR="0053351E" w:rsidRPr="00F7440D" w:rsidRDefault="0053351E"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64B079A8" w14:textId="77777777" w:rsidR="0053351E" w:rsidRPr="00F7440D" w:rsidRDefault="0053351E"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017DF8" w:rsidRPr="00F7440D" w14:paraId="2D3E8186" w14:textId="77777777" w:rsidTr="00017DF8">
        <w:trPr>
          <w:trHeight w:val="255"/>
        </w:trPr>
        <w:tc>
          <w:tcPr>
            <w:tcW w:w="1650" w:type="dxa"/>
            <w:shd w:val="clear" w:color="auto" w:fill="auto"/>
            <w:noWrap/>
            <w:hideMark/>
          </w:tcPr>
          <w:p w14:paraId="3F4D0313"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0" w:type="dxa"/>
            <w:shd w:val="clear" w:color="auto" w:fill="auto"/>
            <w:noWrap/>
            <w:vAlign w:val="bottom"/>
            <w:hideMark/>
          </w:tcPr>
          <w:p w14:paraId="087BD3A3" w14:textId="1632A488"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40.03061</w:t>
            </w:r>
          </w:p>
        </w:tc>
        <w:tc>
          <w:tcPr>
            <w:tcW w:w="2067" w:type="dxa"/>
            <w:shd w:val="clear" w:color="auto" w:fill="auto"/>
            <w:noWrap/>
            <w:vAlign w:val="bottom"/>
            <w:hideMark/>
          </w:tcPr>
          <w:p w14:paraId="1172BEA1" w14:textId="0F62FC5A"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0.357096</w:t>
            </w:r>
          </w:p>
        </w:tc>
        <w:tc>
          <w:tcPr>
            <w:tcW w:w="1891" w:type="dxa"/>
            <w:shd w:val="clear" w:color="auto" w:fill="auto"/>
            <w:noWrap/>
            <w:vAlign w:val="bottom"/>
            <w:hideMark/>
          </w:tcPr>
          <w:p w14:paraId="7A07D29E" w14:textId="03AFE34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112.1004</w:t>
            </w:r>
          </w:p>
        </w:tc>
        <w:tc>
          <w:tcPr>
            <w:tcW w:w="1557" w:type="dxa"/>
            <w:shd w:val="clear" w:color="auto" w:fill="auto"/>
            <w:noWrap/>
            <w:vAlign w:val="bottom"/>
            <w:hideMark/>
          </w:tcPr>
          <w:p w14:paraId="1927F714" w14:textId="77CF8425"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1.08E-38</w:t>
            </w:r>
          </w:p>
        </w:tc>
      </w:tr>
      <w:tr w:rsidR="00017DF8" w:rsidRPr="00F7440D" w14:paraId="293248BA" w14:textId="77777777" w:rsidTr="00017DF8">
        <w:trPr>
          <w:trHeight w:val="270"/>
        </w:trPr>
        <w:tc>
          <w:tcPr>
            <w:tcW w:w="1650" w:type="dxa"/>
            <w:shd w:val="clear" w:color="auto" w:fill="auto"/>
            <w:noWrap/>
            <w:hideMark/>
          </w:tcPr>
          <w:p w14:paraId="51FBC18D" w14:textId="77777777" w:rsidR="00017DF8" w:rsidRPr="00F7440D" w:rsidRDefault="00017DF8"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0" w:type="dxa"/>
            <w:shd w:val="clear" w:color="auto" w:fill="auto"/>
            <w:noWrap/>
            <w:vAlign w:val="bottom"/>
            <w:hideMark/>
          </w:tcPr>
          <w:p w14:paraId="423D3030" w14:textId="705777C2"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-3.77551</w:t>
            </w:r>
          </w:p>
        </w:tc>
        <w:tc>
          <w:tcPr>
            <w:tcW w:w="2067" w:type="dxa"/>
            <w:shd w:val="clear" w:color="auto" w:fill="auto"/>
            <w:noWrap/>
            <w:vAlign w:val="bottom"/>
            <w:hideMark/>
          </w:tcPr>
          <w:p w14:paraId="406E85D7" w14:textId="45390546"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0.268663</w:t>
            </w:r>
          </w:p>
        </w:tc>
        <w:tc>
          <w:tcPr>
            <w:tcW w:w="1891" w:type="dxa"/>
            <w:shd w:val="clear" w:color="auto" w:fill="auto"/>
            <w:noWrap/>
            <w:vAlign w:val="bottom"/>
            <w:hideMark/>
          </w:tcPr>
          <w:p w14:paraId="6B11723A" w14:textId="15F1DC40"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-14.053</w:t>
            </w:r>
          </w:p>
        </w:tc>
        <w:tc>
          <w:tcPr>
            <w:tcW w:w="1557" w:type="dxa"/>
            <w:shd w:val="clear" w:color="auto" w:fill="auto"/>
            <w:noWrap/>
            <w:vAlign w:val="bottom"/>
            <w:hideMark/>
          </w:tcPr>
          <w:p w14:paraId="17581535" w14:textId="32B70AE7" w:rsidR="00017DF8" w:rsidRPr="00F7440D" w:rsidRDefault="00017DF8"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3.29E-14</w:t>
            </w:r>
          </w:p>
        </w:tc>
      </w:tr>
    </w:tbl>
    <w:p w14:paraId="091CE370" w14:textId="77777777" w:rsidR="0053351E" w:rsidRPr="00F7440D" w:rsidRDefault="0053351E" w:rsidP="00F7440D">
      <w:pPr>
        <w:spacing w:after="0" w:line="360" w:lineRule="auto"/>
        <w:jc w:val="both"/>
        <w:rPr>
          <w:rFonts w:ascii="Times New Roman" w:hAnsi="Times New Roman"/>
          <w:sz w:val="28"/>
          <w:szCs w:val="28"/>
          <w:lang w:val="uk-UA"/>
        </w:rPr>
      </w:pPr>
    </w:p>
    <w:p w14:paraId="708B58AC" w14:textId="0BBE4A01" w:rsidR="007D79C6" w:rsidRPr="00F7440D" w:rsidRDefault="007D79C6" w:rsidP="00F7440D">
      <w:pPr>
        <w:spacing w:after="0" w:line="360" w:lineRule="auto"/>
        <w:ind w:firstLine="709"/>
        <w:jc w:val="both"/>
        <w:rPr>
          <w:rFonts w:ascii="Times New Roman" w:hAnsi="Times New Roman"/>
          <w:sz w:val="28"/>
          <w:szCs w:val="28"/>
          <w:lang w:val="uk-UA"/>
        </w:rPr>
      </w:pPr>
      <w:r w:rsidRPr="00F7440D">
        <w:rPr>
          <w:rFonts w:ascii="Times New Roman" w:hAnsi="Times New Roman" w:cs="Times New Roman"/>
          <w:sz w:val="28"/>
          <w:szCs w:val="28"/>
          <w:lang w:val="uk-UA"/>
        </w:rPr>
        <w:t>Згідно з отриманими даними регресійного аналізу, побудована модель регресії,</w:t>
      </w:r>
      <w:r w:rsidRPr="00F7440D">
        <w:rPr>
          <w:rFonts w:ascii="Times New Roman" w:hAnsi="Times New Roman"/>
          <w:sz w:val="28"/>
          <w:szCs w:val="28"/>
          <w:lang w:val="uk-UA"/>
        </w:rPr>
        <w:t xml:space="preserve"> функція регресії визначена, інтерпретована та обґрунтована, а оцінка якості рівняння регресії відповідає вимогам, таким чином, можна вважати, що побудована модель та прогностичні значення мають необхідну адекватність. </w:t>
      </w:r>
      <w:r w:rsidR="00C50069" w:rsidRPr="00F7440D">
        <w:rPr>
          <w:rFonts w:ascii="Times New Roman" w:hAnsi="Times New Roman"/>
          <w:sz w:val="28"/>
          <w:szCs w:val="28"/>
          <w:lang w:val="uk-UA"/>
        </w:rPr>
        <w:t>Доведено, що 88 % змінюваності рівня імуноглобуліну А залежить від ступеню запалення ясен за індексом РМА.</w:t>
      </w:r>
      <w:r w:rsidRPr="00F7440D">
        <w:rPr>
          <w:rFonts w:ascii="Times New Roman" w:hAnsi="Times New Roman"/>
          <w:sz w:val="28"/>
          <w:szCs w:val="28"/>
          <w:lang w:val="uk-UA"/>
        </w:rPr>
        <w:t xml:space="preserve"> </w:t>
      </w:r>
    </w:p>
    <w:p w14:paraId="5DCFBCF8" w14:textId="77777777" w:rsidR="000D1D51" w:rsidRPr="00F7440D" w:rsidRDefault="008939B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Оскільки в обох дослідних групах (другій та третій), незалежно від вираженості клінічних ознак гінгівіту, визначена залежність ступеню запалення ясен згідно з індексом РМА від рівня імуноглобуліну А, визначеного у ротовій рідині, коефіцієнт детермінації та </w:t>
      </w:r>
      <w:r w:rsidR="00C50069" w:rsidRPr="00F7440D">
        <w:rPr>
          <w:rFonts w:ascii="Times New Roman" w:hAnsi="Times New Roman"/>
          <w:sz w:val="28"/>
          <w:szCs w:val="28"/>
          <w:lang w:val="uk-UA"/>
        </w:rPr>
        <w:t xml:space="preserve">коефіцієнт множинної кореляції </w:t>
      </w:r>
      <w:r w:rsidR="00C50069" w:rsidRPr="00F7440D">
        <w:rPr>
          <w:rFonts w:ascii="Times New Roman" w:hAnsi="Times New Roman"/>
          <w:sz w:val="28"/>
          <w:szCs w:val="28"/>
        </w:rPr>
        <w:t>R</w:t>
      </w:r>
      <w:r w:rsidR="00C50069" w:rsidRPr="00F7440D">
        <w:rPr>
          <w:rFonts w:ascii="Times New Roman" w:hAnsi="Times New Roman"/>
          <w:sz w:val="28"/>
          <w:szCs w:val="28"/>
          <w:lang w:val="uk-UA"/>
        </w:rPr>
        <w:t xml:space="preserve"> суттєво не відрізняються між групами, отже, використання рівня імуноглобуліну А можна використовувати як неінвазивний біомаркер запалення тканин пародонту у дітей з атопічними захворюваннями. Важливо відмітити, що згідно з даними проведеного регресійного аналізу у групі дітей з середнім ступенем тяжкості гінгівіту залежність імунологічних та пародонтологічних показників була виражена на 88 % (12 % припадає на інші етіологічні чинники). У другій групі дітей, які хворіли на атопічні захворювання, проте клінічні ознаки гінгівіту майже не були виявлені, залежність перерахованих показників була визначена на 76 % (24 % змінюваності ступеню запалення ясен припадає на інші чинники). </w:t>
      </w:r>
    </w:p>
    <w:p w14:paraId="2FAA583F" w14:textId="19E5AD06" w:rsidR="008939BD" w:rsidRPr="00F7440D" w:rsidRDefault="000D1D51"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У зв’язку з цим необхідно зробити висновок, що виражена пародонтологічна симптоматика, така як кровоточивість, набряк, гіперемія та інше, тісно пов’язана з дефіцитом імунологічного захисту, який виражається у зниженні рівню імуноглобуліну А.</w:t>
      </w:r>
    </w:p>
    <w:p w14:paraId="68EE16C5" w14:textId="77777777" w:rsidR="008A765B" w:rsidRPr="00F7440D" w:rsidRDefault="008A765B" w:rsidP="00F7440D">
      <w:pPr>
        <w:spacing w:after="0" w:line="360" w:lineRule="auto"/>
        <w:jc w:val="both"/>
        <w:rPr>
          <w:rFonts w:ascii="Times New Roman" w:hAnsi="Times New Roman" w:cs="Times New Roman"/>
          <w:sz w:val="28"/>
          <w:szCs w:val="28"/>
          <w:lang w:val="uk-UA"/>
        </w:rPr>
      </w:pPr>
    </w:p>
    <w:p w14:paraId="250410CA" w14:textId="69F3F7CA" w:rsidR="00364EDD" w:rsidRPr="00245372" w:rsidRDefault="00364ED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Для проведення подальшого, біль</w:t>
      </w:r>
      <w:r w:rsidR="00093571" w:rsidRPr="00F7440D">
        <w:rPr>
          <w:rFonts w:ascii="Times New Roman" w:hAnsi="Times New Roman"/>
          <w:sz w:val="28"/>
          <w:szCs w:val="28"/>
          <w:lang w:val="uk-UA"/>
        </w:rPr>
        <w:t>ш</w:t>
      </w:r>
      <w:r w:rsidRPr="00F7440D">
        <w:rPr>
          <w:rFonts w:ascii="Times New Roman" w:hAnsi="Times New Roman"/>
          <w:sz w:val="28"/>
          <w:szCs w:val="28"/>
          <w:lang w:val="uk-UA"/>
        </w:rPr>
        <w:t xml:space="preserve"> детального аналізу нами був оцінений також кореляційний зв'язок між оцінюванням рівня кровоточивості, а отже й запалення у тканинах пародонту, та рівнем секреторного імуноглобуліну А. В даному випадку нашим завданням було дослідити рівень запалення у групі дітей з встановленим клінічним діагнозо</w:t>
      </w:r>
      <w:r w:rsidR="00093571" w:rsidRPr="00F7440D">
        <w:rPr>
          <w:rFonts w:ascii="Times New Roman" w:hAnsi="Times New Roman"/>
          <w:sz w:val="28"/>
          <w:szCs w:val="28"/>
          <w:lang w:val="uk-UA"/>
        </w:rPr>
        <w:t>м</w:t>
      </w:r>
      <w:r w:rsidRPr="00F7440D">
        <w:rPr>
          <w:rFonts w:ascii="Times New Roman" w:hAnsi="Times New Roman"/>
          <w:sz w:val="28"/>
          <w:szCs w:val="28"/>
          <w:lang w:val="uk-UA"/>
        </w:rPr>
        <w:t xml:space="preserve"> «хронічний гінгівіт», середнього ступеню </w:t>
      </w:r>
      <w:r w:rsidR="00093571" w:rsidRPr="00F7440D">
        <w:rPr>
          <w:rFonts w:ascii="Times New Roman" w:hAnsi="Times New Roman"/>
          <w:sz w:val="28"/>
          <w:szCs w:val="28"/>
          <w:lang w:val="uk-UA"/>
        </w:rPr>
        <w:t>тяжкості у групі дітей з атопічними захворюваннями</w:t>
      </w:r>
      <w:r w:rsidR="00FA1B45" w:rsidRPr="00F7440D">
        <w:rPr>
          <w:rFonts w:ascii="Times New Roman" w:hAnsi="Times New Roman"/>
          <w:sz w:val="28"/>
          <w:szCs w:val="28"/>
          <w:lang w:val="uk-UA"/>
        </w:rPr>
        <w:t>,</w:t>
      </w:r>
      <w:r w:rsidR="00093571" w:rsidRPr="00F7440D">
        <w:rPr>
          <w:rFonts w:ascii="Times New Roman" w:hAnsi="Times New Roman"/>
          <w:sz w:val="28"/>
          <w:szCs w:val="28"/>
          <w:lang w:val="uk-UA"/>
        </w:rPr>
        <w:t xml:space="preserve"> та </w:t>
      </w:r>
      <w:r w:rsidR="00FA1B45" w:rsidRPr="00F7440D">
        <w:rPr>
          <w:rFonts w:ascii="Times New Roman" w:hAnsi="Times New Roman"/>
          <w:sz w:val="28"/>
          <w:szCs w:val="28"/>
          <w:lang w:val="uk-UA"/>
        </w:rPr>
        <w:t>у групі соматично здорових дітей</w:t>
      </w:r>
      <w:r w:rsidR="00093571" w:rsidRPr="00F7440D">
        <w:rPr>
          <w:rFonts w:ascii="Times New Roman" w:hAnsi="Times New Roman"/>
          <w:sz w:val="28"/>
          <w:szCs w:val="28"/>
          <w:lang w:val="uk-UA"/>
        </w:rPr>
        <w:t>.</w:t>
      </w:r>
      <w:r w:rsidR="00FA1B45" w:rsidRPr="00F7440D">
        <w:rPr>
          <w:rFonts w:ascii="Times New Roman" w:hAnsi="Times New Roman"/>
          <w:sz w:val="28"/>
          <w:szCs w:val="28"/>
          <w:lang w:val="uk-UA"/>
        </w:rPr>
        <w:t xml:space="preserve"> Порівн</w:t>
      </w:r>
      <w:r w:rsidR="0062728F" w:rsidRPr="00F7440D">
        <w:rPr>
          <w:rFonts w:ascii="Times New Roman" w:hAnsi="Times New Roman"/>
          <w:sz w:val="28"/>
          <w:szCs w:val="28"/>
          <w:lang w:val="uk-UA"/>
        </w:rPr>
        <w:t>яння даних груп дало можливість</w:t>
      </w:r>
      <w:r w:rsidR="00FA1B45" w:rsidRPr="00F7440D">
        <w:rPr>
          <w:rFonts w:ascii="Times New Roman" w:hAnsi="Times New Roman"/>
          <w:sz w:val="28"/>
          <w:szCs w:val="28"/>
          <w:lang w:val="uk-UA"/>
        </w:rPr>
        <w:t xml:space="preserve"> визначити етіологічну значимість атопії та її роль у патогенезі запальних захворювань п</w:t>
      </w:r>
      <w:r w:rsidR="0062728F" w:rsidRPr="00F7440D">
        <w:rPr>
          <w:rFonts w:ascii="Times New Roman" w:hAnsi="Times New Roman"/>
          <w:sz w:val="28"/>
          <w:szCs w:val="28"/>
          <w:lang w:val="uk-UA"/>
        </w:rPr>
        <w:t>ародонту, а також математично порівняти вираженість кореляційного взаємозв’язку</w:t>
      </w:r>
      <w:r w:rsidR="00245372" w:rsidRPr="00245372">
        <w:rPr>
          <w:rFonts w:ascii="Times New Roman" w:hAnsi="Times New Roman"/>
          <w:sz w:val="28"/>
          <w:szCs w:val="28"/>
          <w:lang w:val="uk-UA"/>
        </w:rPr>
        <w:t xml:space="preserve"> [310].</w:t>
      </w:r>
    </w:p>
    <w:p w14:paraId="1371B740" w14:textId="641F467B"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За даними обстеження середній рівень імуноглобуліну А у дітей з </w:t>
      </w:r>
      <w:r w:rsidR="00093571" w:rsidRPr="00F7440D">
        <w:rPr>
          <w:rFonts w:ascii="Times New Roman" w:hAnsi="Times New Roman"/>
          <w:sz w:val="28"/>
          <w:szCs w:val="28"/>
          <w:lang w:val="uk-UA"/>
        </w:rPr>
        <w:t>атопічними захворюваннями дорівнював 78,06 ± 9,32</w:t>
      </w:r>
      <w:r w:rsidRPr="00F7440D">
        <w:rPr>
          <w:rFonts w:ascii="Times New Roman" w:hAnsi="Times New Roman"/>
          <w:sz w:val="28"/>
          <w:szCs w:val="28"/>
          <w:lang w:val="uk-UA"/>
        </w:rPr>
        <w:t xml:space="preserve"> мкг/мл, індекс H.R. Muhle</w:t>
      </w:r>
      <w:r w:rsidR="00093571" w:rsidRPr="00F7440D">
        <w:rPr>
          <w:rFonts w:ascii="Times New Roman" w:hAnsi="Times New Roman"/>
          <w:sz w:val="28"/>
          <w:szCs w:val="28"/>
          <w:lang w:val="uk-UA"/>
        </w:rPr>
        <w:t>mann та S. Son був на рівні 3,42±0,42</w:t>
      </w:r>
      <w:r w:rsidRPr="00F7440D">
        <w:rPr>
          <w:rFonts w:ascii="Times New Roman" w:hAnsi="Times New Roman"/>
          <w:sz w:val="28"/>
          <w:szCs w:val="28"/>
          <w:lang w:val="uk-UA"/>
        </w:rPr>
        <w:t xml:space="preserve"> балів.</w:t>
      </w:r>
    </w:p>
    <w:p w14:paraId="0C8FC042" w14:textId="7B691935" w:rsidR="00A22147" w:rsidRPr="00F7440D" w:rsidRDefault="00A22147"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оцінювання результатів дослідження був </w:t>
      </w:r>
      <w:r w:rsidR="00093571" w:rsidRPr="00F7440D">
        <w:rPr>
          <w:rFonts w:ascii="Times New Roman" w:hAnsi="Times New Roman"/>
          <w:sz w:val="28"/>
          <w:szCs w:val="28"/>
          <w:lang w:val="uk-UA"/>
        </w:rPr>
        <w:t xml:space="preserve">так само </w:t>
      </w:r>
      <w:r w:rsidRPr="00F7440D">
        <w:rPr>
          <w:rFonts w:ascii="Times New Roman" w:hAnsi="Times New Roman"/>
          <w:sz w:val="28"/>
          <w:szCs w:val="28"/>
          <w:lang w:val="uk-UA"/>
        </w:rPr>
        <w:t xml:space="preserve">обраний регресійний аналіз, який виконує аналіз лінійної регресії за допомогою методу "найменших квадратів" при наборі спостережень. </w:t>
      </w:r>
      <w:r w:rsidR="00093571" w:rsidRPr="00F7440D">
        <w:rPr>
          <w:rFonts w:ascii="Times New Roman" w:hAnsi="Times New Roman"/>
          <w:sz w:val="28"/>
          <w:szCs w:val="28"/>
          <w:lang w:val="uk-UA"/>
        </w:rPr>
        <w:t>Даний метод дозволив</w:t>
      </w:r>
      <w:r w:rsidRPr="00F7440D">
        <w:rPr>
          <w:rFonts w:ascii="Times New Roman" w:hAnsi="Times New Roman"/>
          <w:sz w:val="28"/>
          <w:szCs w:val="28"/>
          <w:lang w:val="uk-UA"/>
        </w:rPr>
        <w:t xml:space="preserve"> визначити, як одна залежна змінна залежить від значень одного або декількох незалежних змінних. </w:t>
      </w:r>
    </w:p>
    <w:p w14:paraId="01CF6BB0" w14:textId="0B818508"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Результати дослідження взаємозв’язку між рівнем</w:t>
      </w:r>
      <w:r w:rsidR="008502D1" w:rsidRPr="00F7440D">
        <w:rPr>
          <w:rFonts w:ascii="Times New Roman" w:hAnsi="Times New Roman"/>
          <w:sz w:val="28"/>
          <w:szCs w:val="28"/>
          <w:lang w:val="uk-UA"/>
        </w:rPr>
        <w:t xml:space="preserve"> секреторного</w:t>
      </w:r>
      <w:r w:rsidRPr="00F7440D">
        <w:rPr>
          <w:rFonts w:ascii="Times New Roman" w:hAnsi="Times New Roman"/>
          <w:sz w:val="28"/>
          <w:szCs w:val="28"/>
          <w:lang w:val="uk-UA"/>
        </w:rPr>
        <w:t xml:space="preserve"> імуноглобуліну А та індексом кровоточивості ясен та регресійний аналіз даних наведений у таблицях </w:t>
      </w:r>
      <w:r w:rsidR="00E96E97" w:rsidRPr="00F7440D">
        <w:rPr>
          <w:rFonts w:ascii="Times New Roman" w:hAnsi="Times New Roman"/>
          <w:sz w:val="28"/>
          <w:szCs w:val="28"/>
          <w:lang w:val="uk-UA"/>
        </w:rPr>
        <w:t>8</w:t>
      </w:r>
      <w:r w:rsidR="00093571" w:rsidRPr="00F7440D">
        <w:rPr>
          <w:rFonts w:ascii="Times New Roman" w:hAnsi="Times New Roman"/>
          <w:sz w:val="28"/>
          <w:szCs w:val="28"/>
          <w:lang w:val="uk-UA"/>
        </w:rPr>
        <w:t>.</w:t>
      </w:r>
      <w:r w:rsidRPr="00F7440D">
        <w:rPr>
          <w:rFonts w:ascii="Times New Roman" w:hAnsi="Times New Roman"/>
          <w:sz w:val="28"/>
          <w:szCs w:val="28"/>
          <w:lang w:val="uk-UA"/>
        </w:rPr>
        <w:t>1</w:t>
      </w:r>
      <w:r w:rsidR="00E96E97" w:rsidRPr="00F7440D">
        <w:rPr>
          <w:rFonts w:ascii="Times New Roman" w:hAnsi="Times New Roman"/>
          <w:sz w:val="28"/>
          <w:szCs w:val="28"/>
          <w:lang w:val="uk-UA"/>
        </w:rPr>
        <w:t>0, 8.11, 8</w:t>
      </w:r>
      <w:r w:rsidR="00093571" w:rsidRPr="00F7440D">
        <w:rPr>
          <w:rFonts w:ascii="Times New Roman" w:hAnsi="Times New Roman"/>
          <w:sz w:val="28"/>
          <w:szCs w:val="28"/>
          <w:lang w:val="uk-UA"/>
        </w:rPr>
        <w:t>.12</w:t>
      </w:r>
      <w:r w:rsidRPr="00F7440D">
        <w:rPr>
          <w:rFonts w:ascii="Times New Roman" w:hAnsi="Times New Roman"/>
          <w:sz w:val="28"/>
          <w:szCs w:val="28"/>
          <w:lang w:val="uk-UA"/>
        </w:rPr>
        <w:t>.</w:t>
      </w:r>
    </w:p>
    <w:p w14:paraId="417063C5" w14:textId="77777777" w:rsidR="00112933" w:rsidRDefault="00112933" w:rsidP="00F7440D">
      <w:pPr>
        <w:spacing w:after="0" w:line="360" w:lineRule="auto"/>
        <w:ind w:firstLine="709"/>
        <w:jc w:val="right"/>
        <w:rPr>
          <w:rFonts w:ascii="Times New Roman" w:hAnsi="Times New Roman"/>
          <w:sz w:val="28"/>
          <w:szCs w:val="28"/>
          <w:lang w:val="uk-UA"/>
        </w:rPr>
      </w:pPr>
    </w:p>
    <w:p w14:paraId="0FB05BF4" w14:textId="77777777" w:rsidR="00112933" w:rsidRDefault="00112933" w:rsidP="00F7440D">
      <w:pPr>
        <w:spacing w:after="0" w:line="360" w:lineRule="auto"/>
        <w:ind w:firstLine="709"/>
        <w:jc w:val="right"/>
        <w:rPr>
          <w:rFonts w:ascii="Times New Roman" w:hAnsi="Times New Roman"/>
          <w:sz w:val="28"/>
          <w:szCs w:val="28"/>
          <w:lang w:val="uk-UA"/>
        </w:rPr>
      </w:pPr>
    </w:p>
    <w:p w14:paraId="37EFDB7D" w14:textId="041D6C70" w:rsidR="00093571" w:rsidRPr="00F7440D" w:rsidRDefault="00A2214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00093571" w:rsidRPr="00F7440D">
        <w:rPr>
          <w:rFonts w:ascii="Times New Roman" w:hAnsi="Times New Roman"/>
          <w:sz w:val="28"/>
          <w:szCs w:val="28"/>
          <w:lang w:val="uk-UA"/>
        </w:rPr>
        <w:t>.</w:t>
      </w:r>
      <w:r w:rsidRPr="00F7440D">
        <w:rPr>
          <w:rFonts w:ascii="Times New Roman" w:hAnsi="Times New Roman"/>
          <w:sz w:val="28"/>
          <w:szCs w:val="28"/>
          <w:lang w:val="uk-UA"/>
        </w:rPr>
        <w:t>1</w:t>
      </w:r>
      <w:r w:rsidR="00093571" w:rsidRPr="00F7440D">
        <w:rPr>
          <w:rFonts w:ascii="Times New Roman" w:hAnsi="Times New Roman"/>
          <w:sz w:val="28"/>
          <w:szCs w:val="28"/>
          <w:lang w:val="uk-UA"/>
        </w:rPr>
        <w:t>0</w:t>
      </w:r>
      <w:r w:rsidRPr="00F7440D">
        <w:rPr>
          <w:rFonts w:ascii="Times New Roman" w:hAnsi="Times New Roman"/>
          <w:sz w:val="28"/>
          <w:szCs w:val="28"/>
          <w:lang w:val="uk-UA"/>
        </w:rPr>
        <w:t xml:space="preserve"> </w:t>
      </w:r>
    </w:p>
    <w:p w14:paraId="0D62EBE6" w14:textId="2299E536"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w:t>
      </w:r>
      <w:r w:rsidR="00093571" w:rsidRPr="00F7440D">
        <w:rPr>
          <w:rFonts w:ascii="Times New Roman" w:hAnsi="Times New Roman"/>
          <w:sz w:val="28"/>
          <w:szCs w:val="28"/>
          <w:lang w:val="uk-UA"/>
        </w:rPr>
        <w:t xml:space="preserve"> рівнів секреторного імуноглобуліну А та індексу </w:t>
      </w:r>
      <w:r w:rsidR="00093571" w:rsidRPr="00F7440D">
        <w:rPr>
          <w:rFonts w:ascii="Times New Roman" w:hAnsi="Times New Roman"/>
          <w:sz w:val="28"/>
          <w:szCs w:val="28"/>
        </w:rPr>
        <w:t>SBI</w:t>
      </w:r>
      <w:r w:rsidR="00093571" w:rsidRPr="00F7440D">
        <w:rPr>
          <w:rFonts w:ascii="Times New Roman" w:hAnsi="Times New Roman"/>
          <w:sz w:val="28"/>
          <w:szCs w:val="28"/>
          <w:lang w:val="uk-UA"/>
        </w:rPr>
        <w:t xml:space="preserve"> у групі пацієнтів з гінгівітом на тлі атопічних захворювань</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A22147" w:rsidRPr="00F7440D" w14:paraId="5AA53E9D" w14:textId="77777777" w:rsidTr="00272D39">
        <w:trPr>
          <w:trHeight w:val="157"/>
        </w:trPr>
        <w:tc>
          <w:tcPr>
            <w:tcW w:w="9688" w:type="dxa"/>
            <w:gridSpan w:val="2"/>
            <w:shd w:val="clear" w:color="auto" w:fill="auto"/>
            <w:noWrap/>
            <w:hideMark/>
          </w:tcPr>
          <w:p w14:paraId="2700896F"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A22147" w:rsidRPr="00F7440D" w14:paraId="73CBAA86" w14:textId="77777777" w:rsidTr="00272D39">
        <w:trPr>
          <w:trHeight w:val="157"/>
        </w:trPr>
        <w:tc>
          <w:tcPr>
            <w:tcW w:w="5632" w:type="dxa"/>
            <w:shd w:val="clear" w:color="auto" w:fill="auto"/>
            <w:noWrap/>
            <w:hideMark/>
          </w:tcPr>
          <w:p w14:paraId="105FFE54"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5" w:type="dxa"/>
            <w:shd w:val="clear" w:color="auto" w:fill="auto"/>
            <w:noWrap/>
            <w:hideMark/>
          </w:tcPr>
          <w:p w14:paraId="4DACA891"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0.933328946</w:t>
            </w:r>
          </w:p>
        </w:tc>
      </w:tr>
      <w:tr w:rsidR="00A22147" w:rsidRPr="00F7440D" w14:paraId="44FBDFF7" w14:textId="77777777" w:rsidTr="00272D39">
        <w:trPr>
          <w:trHeight w:val="157"/>
        </w:trPr>
        <w:tc>
          <w:tcPr>
            <w:tcW w:w="5632" w:type="dxa"/>
            <w:shd w:val="clear" w:color="auto" w:fill="auto"/>
            <w:noWrap/>
            <w:hideMark/>
          </w:tcPr>
          <w:p w14:paraId="6759CD70"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5" w:type="dxa"/>
            <w:shd w:val="clear" w:color="auto" w:fill="auto"/>
            <w:noWrap/>
            <w:hideMark/>
          </w:tcPr>
          <w:p w14:paraId="7B2B3E24"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0.871102921</w:t>
            </w:r>
          </w:p>
        </w:tc>
      </w:tr>
      <w:tr w:rsidR="00A22147" w:rsidRPr="00F7440D" w14:paraId="593DC563" w14:textId="77777777" w:rsidTr="00272D39">
        <w:trPr>
          <w:trHeight w:val="157"/>
        </w:trPr>
        <w:tc>
          <w:tcPr>
            <w:tcW w:w="5632" w:type="dxa"/>
            <w:shd w:val="clear" w:color="auto" w:fill="auto"/>
            <w:noWrap/>
            <w:hideMark/>
          </w:tcPr>
          <w:p w14:paraId="0DCBEE5C"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5" w:type="dxa"/>
            <w:shd w:val="clear" w:color="auto" w:fill="auto"/>
            <w:noWrap/>
            <w:hideMark/>
          </w:tcPr>
          <w:p w14:paraId="6383FAEA"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0.865947038</w:t>
            </w:r>
          </w:p>
        </w:tc>
      </w:tr>
      <w:tr w:rsidR="00A22147" w:rsidRPr="00F7440D" w14:paraId="1AC22AF5" w14:textId="77777777" w:rsidTr="00272D39">
        <w:trPr>
          <w:trHeight w:val="157"/>
        </w:trPr>
        <w:tc>
          <w:tcPr>
            <w:tcW w:w="5632" w:type="dxa"/>
            <w:shd w:val="clear" w:color="auto" w:fill="auto"/>
            <w:noWrap/>
            <w:hideMark/>
          </w:tcPr>
          <w:p w14:paraId="31CA53C3"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5" w:type="dxa"/>
            <w:shd w:val="clear" w:color="auto" w:fill="auto"/>
            <w:noWrap/>
            <w:hideMark/>
          </w:tcPr>
          <w:p w14:paraId="39FC2FCA"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5.264184457</w:t>
            </w:r>
          </w:p>
        </w:tc>
      </w:tr>
      <w:tr w:rsidR="00A22147" w:rsidRPr="00F7440D" w14:paraId="64455B0B" w14:textId="77777777" w:rsidTr="00272D39">
        <w:trPr>
          <w:trHeight w:val="166"/>
        </w:trPr>
        <w:tc>
          <w:tcPr>
            <w:tcW w:w="5632" w:type="dxa"/>
            <w:shd w:val="clear" w:color="auto" w:fill="auto"/>
            <w:noWrap/>
            <w:hideMark/>
          </w:tcPr>
          <w:p w14:paraId="25F6B2ED" w14:textId="77777777" w:rsidR="00A22147" w:rsidRPr="00F7440D" w:rsidRDefault="00A22147"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5" w:type="dxa"/>
            <w:shd w:val="clear" w:color="auto" w:fill="auto"/>
            <w:noWrap/>
            <w:hideMark/>
          </w:tcPr>
          <w:p w14:paraId="043AF13D" w14:textId="017EA0AD" w:rsidR="00A22147" w:rsidRPr="00F7440D" w:rsidRDefault="00093571" w:rsidP="00F7440D">
            <w:pPr>
              <w:spacing w:after="0" w:line="360" w:lineRule="auto"/>
              <w:ind w:firstLine="709"/>
              <w:rPr>
                <w:rFonts w:ascii="Times New Roman" w:hAnsi="Times New Roman"/>
                <w:sz w:val="28"/>
                <w:szCs w:val="28"/>
                <w:lang w:val="uk-UA"/>
              </w:rPr>
            </w:pPr>
            <w:r w:rsidRPr="00F7440D">
              <w:rPr>
                <w:rFonts w:ascii="Times New Roman" w:hAnsi="Times New Roman"/>
                <w:sz w:val="28"/>
                <w:szCs w:val="28"/>
                <w:lang w:val="uk-UA"/>
              </w:rPr>
              <w:t>76</w:t>
            </w:r>
          </w:p>
        </w:tc>
      </w:tr>
    </w:tbl>
    <w:p w14:paraId="53C2A371" w14:textId="77777777" w:rsidR="00A22147" w:rsidRPr="00F7440D" w:rsidRDefault="00A22147" w:rsidP="00F7440D">
      <w:pPr>
        <w:spacing w:after="0" w:line="360" w:lineRule="auto"/>
        <w:ind w:firstLine="709"/>
        <w:rPr>
          <w:rFonts w:ascii="Times New Roman" w:hAnsi="Times New Roman"/>
          <w:sz w:val="28"/>
          <w:szCs w:val="28"/>
          <w:lang w:val="uk-UA"/>
        </w:rPr>
      </w:pPr>
    </w:p>
    <w:p w14:paraId="4AE7FBEE" w14:textId="61961467" w:rsidR="000728CB" w:rsidRPr="00F7440D" w:rsidRDefault="00A22147" w:rsidP="00112933">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точності прогнозу за його допомогою.</w:t>
      </w:r>
    </w:p>
    <w:p w14:paraId="5E42D415" w14:textId="5BAE0473" w:rsidR="00093571"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22147" w:rsidRPr="00F7440D">
        <w:rPr>
          <w:rFonts w:ascii="Times New Roman" w:hAnsi="Times New Roman"/>
          <w:sz w:val="28"/>
          <w:szCs w:val="28"/>
          <w:lang w:val="uk-UA"/>
        </w:rPr>
        <w:t>.</w:t>
      </w:r>
      <w:r w:rsidR="00093571" w:rsidRPr="00F7440D">
        <w:rPr>
          <w:rFonts w:ascii="Times New Roman" w:hAnsi="Times New Roman"/>
          <w:sz w:val="28"/>
          <w:szCs w:val="28"/>
          <w:lang w:val="uk-UA"/>
        </w:rPr>
        <w:t>11</w:t>
      </w:r>
      <w:r w:rsidR="00A22147" w:rsidRPr="00F7440D">
        <w:rPr>
          <w:rFonts w:ascii="Times New Roman" w:hAnsi="Times New Roman"/>
          <w:sz w:val="28"/>
          <w:szCs w:val="28"/>
          <w:lang w:val="uk-UA"/>
        </w:rPr>
        <w:t xml:space="preserve"> </w:t>
      </w:r>
    </w:p>
    <w:p w14:paraId="725870D4" w14:textId="59680EDA"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093571" w:rsidRPr="00F7440D">
        <w:rPr>
          <w:rFonts w:ascii="Times New Roman" w:hAnsi="Times New Roman"/>
          <w:sz w:val="28"/>
          <w:szCs w:val="28"/>
          <w:lang w:val="uk-UA"/>
        </w:rPr>
        <w:t xml:space="preserve"> регресійної статистики рівнів секреторного імуноглобуліну А та індексу </w:t>
      </w:r>
      <w:r w:rsidR="00093571" w:rsidRPr="00F7440D">
        <w:rPr>
          <w:rFonts w:ascii="Times New Roman" w:hAnsi="Times New Roman"/>
          <w:sz w:val="28"/>
          <w:szCs w:val="28"/>
        </w:rPr>
        <w:t>SBI</w:t>
      </w:r>
      <w:r w:rsidR="00093571" w:rsidRPr="00F7440D">
        <w:rPr>
          <w:rFonts w:ascii="Times New Roman" w:hAnsi="Times New Roman"/>
          <w:sz w:val="28"/>
          <w:szCs w:val="28"/>
          <w:lang w:val="uk-UA"/>
        </w:rPr>
        <w:t xml:space="preserve"> у групі пацієнтів з гінгівітом на тлі атопічних захворювань</w:t>
      </w:r>
    </w:p>
    <w:tbl>
      <w:tblPr>
        <w:tblW w:w="9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826"/>
        <w:gridCol w:w="1751"/>
        <w:gridCol w:w="1847"/>
      </w:tblGrid>
      <w:tr w:rsidR="00A22147" w:rsidRPr="00F7440D" w14:paraId="3E6876B4" w14:textId="77777777" w:rsidTr="00093571">
        <w:trPr>
          <w:trHeight w:val="255"/>
        </w:trPr>
        <w:tc>
          <w:tcPr>
            <w:tcW w:w="1420" w:type="dxa"/>
            <w:shd w:val="clear" w:color="auto" w:fill="auto"/>
            <w:noWrap/>
            <w:hideMark/>
          </w:tcPr>
          <w:p w14:paraId="45ED5D8A"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3E2A5FF5" w14:textId="77777777" w:rsidR="00A22147" w:rsidRPr="00F7440D" w:rsidRDefault="00A22147"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7AB01843"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826" w:type="dxa"/>
            <w:shd w:val="clear" w:color="auto" w:fill="auto"/>
            <w:noWrap/>
            <w:hideMark/>
          </w:tcPr>
          <w:p w14:paraId="509FAF82"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751" w:type="dxa"/>
            <w:shd w:val="clear" w:color="auto" w:fill="auto"/>
            <w:noWrap/>
            <w:hideMark/>
          </w:tcPr>
          <w:p w14:paraId="191D0118"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08BFBAA8" w14:textId="77777777" w:rsidR="00A22147" w:rsidRPr="00F7440D" w:rsidRDefault="00A22147"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A22147" w:rsidRPr="00F7440D" w14:paraId="324583C4" w14:textId="77777777" w:rsidTr="00093571">
        <w:trPr>
          <w:trHeight w:val="255"/>
        </w:trPr>
        <w:tc>
          <w:tcPr>
            <w:tcW w:w="1420" w:type="dxa"/>
            <w:shd w:val="clear" w:color="auto" w:fill="auto"/>
            <w:noWrap/>
            <w:hideMark/>
          </w:tcPr>
          <w:p w14:paraId="489EAFA8"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hideMark/>
          </w:tcPr>
          <w:p w14:paraId="0AC598D3"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w:t>
            </w:r>
          </w:p>
        </w:tc>
        <w:tc>
          <w:tcPr>
            <w:tcW w:w="1812" w:type="dxa"/>
            <w:shd w:val="clear" w:color="auto" w:fill="auto"/>
            <w:noWrap/>
            <w:hideMark/>
          </w:tcPr>
          <w:p w14:paraId="5984937E"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4681.969735</w:t>
            </w:r>
          </w:p>
        </w:tc>
        <w:tc>
          <w:tcPr>
            <w:tcW w:w="1826" w:type="dxa"/>
            <w:shd w:val="clear" w:color="auto" w:fill="auto"/>
            <w:noWrap/>
            <w:hideMark/>
          </w:tcPr>
          <w:p w14:paraId="4E1B357E"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4681.969735</w:t>
            </w:r>
          </w:p>
        </w:tc>
        <w:tc>
          <w:tcPr>
            <w:tcW w:w="1751" w:type="dxa"/>
            <w:shd w:val="clear" w:color="auto" w:fill="auto"/>
            <w:noWrap/>
            <w:hideMark/>
          </w:tcPr>
          <w:p w14:paraId="04E0121F"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168.9531934</w:t>
            </w:r>
          </w:p>
        </w:tc>
        <w:tc>
          <w:tcPr>
            <w:tcW w:w="1847" w:type="dxa"/>
            <w:shd w:val="clear" w:color="auto" w:fill="auto"/>
            <w:noWrap/>
            <w:hideMark/>
          </w:tcPr>
          <w:p w14:paraId="2323DF98"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1.2714E-12</w:t>
            </w:r>
          </w:p>
        </w:tc>
      </w:tr>
      <w:tr w:rsidR="00A22147" w:rsidRPr="00F7440D" w14:paraId="066601BA" w14:textId="77777777" w:rsidTr="00093571">
        <w:trPr>
          <w:trHeight w:val="255"/>
        </w:trPr>
        <w:tc>
          <w:tcPr>
            <w:tcW w:w="1420" w:type="dxa"/>
            <w:shd w:val="clear" w:color="auto" w:fill="auto"/>
            <w:noWrap/>
            <w:hideMark/>
          </w:tcPr>
          <w:p w14:paraId="2FDCBCDD"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hideMark/>
          </w:tcPr>
          <w:p w14:paraId="424628C7" w14:textId="34C5C817" w:rsidR="00A22147" w:rsidRPr="00F7440D" w:rsidRDefault="00093571" w:rsidP="00F7440D">
            <w:pPr>
              <w:spacing w:after="0" w:line="360" w:lineRule="auto"/>
              <w:rPr>
                <w:rFonts w:ascii="Times New Roman" w:hAnsi="Times New Roman"/>
                <w:sz w:val="28"/>
                <w:szCs w:val="28"/>
              </w:rPr>
            </w:pPr>
            <w:r w:rsidRPr="00F7440D">
              <w:rPr>
                <w:rFonts w:ascii="Times New Roman" w:hAnsi="Times New Roman"/>
                <w:sz w:val="28"/>
                <w:szCs w:val="28"/>
              </w:rPr>
              <w:t>74</w:t>
            </w:r>
          </w:p>
        </w:tc>
        <w:tc>
          <w:tcPr>
            <w:tcW w:w="1812" w:type="dxa"/>
            <w:shd w:val="clear" w:color="auto" w:fill="auto"/>
            <w:noWrap/>
            <w:hideMark/>
          </w:tcPr>
          <w:p w14:paraId="18972081"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692.79095</w:t>
            </w:r>
          </w:p>
        </w:tc>
        <w:tc>
          <w:tcPr>
            <w:tcW w:w="1826" w:type="dxa"/>
            <w:shd w:val="clear" w:color="auto" w:fill="auto"/>
            <w:noWrap/>
            <w:hideMark/>
          </w:tcPr>
          <w:p w14:paraId="78C6AFE7"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27.711638</w:t>
            </w:r>
          </w:p>
        </w:tc>
        <w:tc>
          <w:tcPr>
            <w:tcW w:w="1751" w:type="dxa"/>
            <w:shd w:val="clear" w:color="auto" w:fill="auto"/>
            <w:noWrap/>
            <w:hideMark/>
          </w:tcPr>
          <w:p w14:paraId="79573636" w14:textId="77777777" w:rsidR="00A22147" w:rsidRPr="00F7440D" w:rsidRDefault="00A22147" w:rsidP="00F7440D">
            <w:pPr>
              <w:spacing w:after="0" w:line="360" w:lineRule="auto"/>
              <w:ind w:firstLine="709"/>
              <w:rPr>
                <w:rFonts w:ascii="Times New Roman" w:hAnsi="Times New Roman"/>
                <w:sz w:val="28"/>
                <w:szCs w:val="28"/>
              </w:rPr>
            </w:pPr>
          </w:p>
        </w:tc>
        <w:tc>
          <w:tcPr>
            <w:tcW w:w="1847" w:type="dxa"/>
            <w:shd w:val="clear" w:color="auto" w:fill="auto"/>
            <w:noWrap/>
            <w:hideMark/>
          </w:tcPr>
          <w:p w14:paraId="21C7BB37" w14:textId="77777777" w:rsidR="00A22147" w:rsidRPr="00F7440D" w:rsidRDefault="00A22147" w:rsidP="00F7440D">
            <w:pPr>
              <w:spacing w:after="0" w:line="360" w:lineRule="auto"/>
              <w:ind w:firstLine="709"/>
              <w:rPr>
                <w:rFonts w:ascii="Times New Roman" w:hAnsi="Times New Roman"/>
                <w:sz w:val="28"/>
                <w:szCs w:val="28"/>
              </w:rPr>
            </w:pPr>
          </w:p>
        </w:tc>
      </w:tr>
      <w:tr w:rsidR="00A22147" w:rsidRPr="00F7440D" w14:paraId="773F9BEF" w14:textId="77777777" w:rsidTr="00093571">
        <w:trPr>
          <w:trHeight w:val="270"/>
        </w:trPr>
        <w:tc>
          <w:tcPr>
            <w:tcW w:w="1420" w:type="dxa"/>
            <w:shd w:val="clear" w:color="auto" w:fill="auto"/>
            <w:noWrap/>
            <w:hideMark/>
          </w:tcPr>
          <w:p w14:paraId="125D00C2" w14:textId="77777777" w:rsidR="00A22147" w:rsidRPr="00F7440D" w:rsidRDefault="00A22147"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hideMark/>
          </w:tcPr>
          <w:p w14:paraId="14F2D132" w14:textId="3DB1D336" w:rsidR="00A22147" w:rsidRPr="00F7440D" w:rsidRDefault="00093571" w:rsidP="00F7440D">
            <w:pPr>
              <w:spacing w:after="0" w:line="360" w:lineRule="auto"/>
              <w:rPr>
                <w:rFonts w:ascii="Times New Roman" w:hAnsi="Times New Roman"/>
                <w:sz w:val="28"/>
                <w:szCs w:val="28"/>
              </w:rPr>
            </w:pPr>
            <w:r w:rsidRPr="00F7440D">
              <w:rPr>
                <w:rFonts w:ascii="Times New Roman" w:hAnsi="Times New Roman"/>
                <w:sz w:val="28"/>
                <w:szCs w:val="28"/>
              </w:rPr>
              <w:t>75</w:t>
            </w:r>
          </w:p>
        </w:tc>
        <w:tc>
          <w:tcPr>
            <w:tcW w:w="1812" w:type="dxa"/>
            <w:shd w:val="clear" w:color="auto" w:fill="auto"/>
            <w:noWrap/>
            <w:hideMark/>
          </w:tcPr>
          <w:p w14:paraId="42501FEA"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5374.760685</w:t>
            </w:r>
          </w:p>
        </w:tc>
        <w:tc>
          <w:tcPr>
            <w:tcW w:w="1826" w:type="dxa"/>
            <w:shd w:val="clear" w:color="auto" w:fill="auto"/>
            <w:noWrap/>
            <w:hideMark/>
          </w:tcPr>
          <w:p w14:paraId="16E5290E"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c>
          <w:tcPr>
            <w:tcW w:w="1751" w:type="dxa"/>
            <w:shd w:val="clear" w:color="auto" w:fill="auto"/>
            <w:noWrap/>
            <w:hideMark/>
          </w:tcPr>
          <w:p w14:paraId="7064B7C7"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c>
          <w:tcPr>
            <w:tcW w:w="1847" w:type="dxa"/>
            <w:shd w:val="clear" w:color="auto" w:fill="auto"/>
            <w:noWrap/>
            <w:hideMark/>
          </w:tcPr>
          <w:p w14:paraId="62EB4840" w14:textId="77777777" w:rsidR="00A22147" w:rsidRPr="00F7440D" w:rsidRDefault="00A22147" w:rsidP="00F7440D">
            <w:pPr>
              <w:spacing w:after="0" w:line="360" w:lineRule="auto"/>
              <w:ind w:firstLine="709"/>
              <w:rPr>
                <w:rFonts w:ascii="Times New Roman" w:hAnsi="Times New Roman"/>
                <w:sz w:val="28"/>
                <w:szCs w:val="28"/>
              </w:rPr>
            </w:pPr>
            <w:r w:rsidRPr="00F7440D">
              <w:rPr>
                <w:rFonts w:ascii="Times New Roman" w:hAnsi="Times New Roman"/>
                <w:sz w:val="28"/>
                <w:szCs w:val="28"/>
              </w:rPr>
              <w:t> </w:t>
            </w:r>
          </w:p>
        </w:tc>
      </w:tr>
    </w:tbl>
    <w:p w14:paraId="7FC70365" w14:textId="77777777" w:rsidR="00112933" w:rsidRDefault="00112933" w:rsidP="00F7440D">
      <w:pPr>
        <w:spacing w:after="0" w:line="360" w:lineRule="auto"/>
        <w:ind w:firstLine="709"/>
        <w:rPr>
          <w:rFonts w:ascii="Times New Roman" w:hAnsi="Times New Roman"/>
          <w:sz w:val="28"/>
          <w:szCs w:val="28"/>
          <w:lang w:val="ru-RU"/>
        </w:rPr>
      </w:pPr>
    </w:p>
    <w:p w14:paraId="5E4E141D" w14:textId="559993C6" w:rsidR="00A22147"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пакету </w:t>
      </w:r>
      <w:r w:rsidRPr="00F7440D">
        <w:rPr>
          <w:rFonts w:ascii="Times New Roman" w:hAnsi="Times New Roman"/>
          <w:sz w:val="28"/>
          <w:szCs w:val="28"/>
        </w:rPr>
        <w:t>Microsoft</w:t>
      </w:r>
      <w:r w:rsidRPr="00F7440D">
        <w:rPr>
          <w:rFonts w:ascii="Times New Roman" w:hAnsi="Times New Roman"/>
          <w:sz w:val="28"/>
          <w:szCs w:val="28"/>
          <w:lang w:val="ru-RU"/>
        </w:rPr>
        <w:t xml:space="preserve"> </w:t>
      </w:r>
      <w:r w:rsidRPr="00F7440D">
        <w:rPr>
          <w:rFonts w:ascii="Times New Roman" w:hAnsi="Times New Roman"/>
          <w:sz w:val="28"/>
          <w:szCs w:val="28"/>
        </w:rPr>
        <w:t>Excel</w:t>
      </w:r>
      <w:r w:rsidRPr="00F7440D">
        <w:rPr>
          <w:rFonts w:ascii="Times New Roman" w:hAnsi="Times New Roman"/>
          <w:sz w:val="28"/>
          <w:szCs w:val="28"/>
          <w:lang w:val="ru-RU"/>
        </w:rPr>
        <w:t xml:space="preserve"> 2016 </w:t>
      </w:r>
      <w:r w:rsidRPr="00F7440D">
        <w:rPr>
          <w:rFonts w:ascii="Times New Roman" w:hAnsi="Times New Roman"/>
          <w:sz w:val="28"/>
          <w:szCs w:val="28"/>
          <w:lang w:val="uk-UA"/>
        </w:rPr>
        <w:t>можна зробити наступні висновки. Побудована залежність показників секреторного імуноглобуліна А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H.R. Muhlemann та S. Son (змінна </w:t>
      </w:r>
      <w:r w:rsidRPr="00F7440D">
        <w:rPr>
          <w:rFonts w:ascii="Times New Roman" w:hAnsi="Times New Roman"/>
          <w:sz w:val="28"/>
          <w:szCs w:val="28"/>
        </w:rPr>
        <w:t>X</w:t>
      </w:r>
      <w:r w:rsidRPr="00F7440D">
        <w:rPr>
          <w:rFonts w:ascii="Times New Roman" w:hAnsi="Times New Roman"/>
          <w:sz w:val="28"/>
          <w:szCs w:val="28"/>
          <w:lang w:val="uk-UA"/>
        </w:rPr>
        <w:t>) у вигляді лінійної регресії. Визначені коефіцієнти лінійної регресії мінус 88,7 та 50,6.</w:t>
      </w:r>
    </w:p>
    <w:p w14:paraId="3705C871" w14:textId="77777777" w:rsidR="00112933" w:rsidRPr="00F7440D" w:rsidRDefault="00112933" w:rsidP="000410B7">
      <w:pPr>
        <w:spacing w:after="0" w:line="360" w:lineRule="auto"/>
        <w:rPr>
          <w:rFonts w:ascii="Times New Roman" w:hAnsi="Times New Roman"/>
          <w:sz w:val="28"/>
          <w:szCs w:val="28"/>
          <w:lang w:val="uk-UA"/>
        </w:rPr>
      </w:pPr>
    </w:p>
    <w:p w14:paraId="14ADDEC2" w14:textId="5C18CBD4" w:rsidR="00093571"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93571" w:rsidRPr="00F7440D">
        <w:rPr>
          <w:rFonts w:ascii="Times New Roman" w:hAnsi="Times New Roman"/>
          <w:sz w:val="28"/>
          <w:szCs w:val="28"/>
          <w:lang w:val="uk-UA"/>
        </w:rPr>
        <w:t>.12</w:t>
      </w:r>
    </w:p>
    <w:p w14:paraId="746672C6" w14:textId="40B8AF41" w:rsidR="00A22147" w:rsidRPr="00F7440D" w:rsidRDefault="00A22147"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r w:rsidR="00093571" w:rsidRPr="00F7440D">
        <w:rPr>
          <w:rFonts w:ascii="Times New Roman" w:hAnsi="Times New Roman"/>
          <w:sz w:val="28"/>
          <w:szCs w:val="28"/>
          <w:lang w:val="uk-UA"/>
        </w:rPr>
        <w:t xml:space="preserve">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264"/>
        <w:gridCol w:w="2145"/>
        <w:gridCol w:w="1961"/>
        <w:gridCol w:w="1613"/>
      </w:tblGrid>
      <w:tr w:rsidR="00A22147" w:rsidRPr="00F7440D" w14:paraId="43403EF2" w14:textId="77777777" w:rsidTr="00272D39">
        <w:trPr>
          <w:trHeight w:val="255"/>
        </w:trPr>
        <w:tc>
          <w:tcPr>
            <w:tcW w:w="1696" w:type="dxa"/>
            <w:shd w:val="clear" w:color="auto" w:fill="auto"/>
            <w:noWrap/>
            <w:hideMark/>
          </w:tcPr>
          <w:p w14:paraId="194E18C2" w14:textId="77777777" w:rsidR="00A22147" w:rsidRPr="00407C88"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2264" w:type="dxa"/>
            <w:shd w:val="clear" w:color="auto" w:fill="auto"/>
            <w:noWrap/>
            <w:hideMark/>
          </w:tcPr>
          <w:p w14:paraId="641883A5" w14:textId="77777777" w:rsidR="00A22147" w:rsidRPr="00F7440D" w:rsidRDefault="00A22147"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145" w:type="dxa"/>
            <w:shd w:val="clear" w:color="auto" w:fill="auto"/>
            <w:noWrap/>
            <w:hideMark/>
          </w:tcPr>
          <w:p w14:paraId="1B7F417C" w14:textId="77777777" w:rsidR="00A22147" w:rsidRPr="00F7440D" w:rsidRDefault="00A22147"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961" w:type="dxa"/>
            <w:shd w:val="clear" w:color="auto" w:fill="auto"/>
            <w:noWrap/>
            <w:hideMark/>
          </w:tcPr>
          <w:p w14:paraId="7C000524" w14:textId="77777777" w:rsidR="00A22147" w:rsidRPr="00F7440D" w:rsidRDefault="00A22147"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613" w:type="dxa"/>
            <w:shd w:val="clear" w:color="auto" w:fill="auto"/>
            <w:noWrap/>
            <w:hideMark/>
          </w:tcPr>
          <w:p w14:paraId="27D220C7" w14:textId="77777777" w:rsidR="00A22147" w:rsidRPr="00F7440D" w:rsidRDefault="00A22147"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A22147" w:rsidRPr="00F7440D" w14:paraId="025EDC42" w14:textId="77777777" w:rsidTr="00272D39">
        <w:trPr>
          <w:trHeight w:val="255"/>
        </w:trPr>
        <w:tc>
          <w:tcPr>
            <w:tcW w:w="1696" w:type="dxa"/>
            <w:shd w:val="clear" w:color="auto" w:fill="auto"/>
            <w:noWrap/>
            <w:hideMark/>
          </w:tcPr>
          <w:p w14:paraId="12BB9CCA"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264" w:type="dxa"/>
            <w:shd w:val="clear" w:color="auto" w:fill="auto"/>
            <w:noWrap/>
            <w:hideMark/>
          </w:tcPr>
          <w:p w14:paraId="427AA0D0"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-88.66873813</w:t>
            </w:r>
          </w:p>
        </w:tc>
        <w:tc>
          <w:tcPr>
            <w:tcW w:w="2145" w:type="dxa"/>
            <w:shd w:val="clear" w:color="auto" w:fill="auto"/>
            <w:noWrap/>
            <w:hideMark/>
          </w:tcPr>
          <w:p w14:paraId="75782493"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14.52809987</w:t>
            </w:r>
          </w:p>
        </w:tc>
        <w:tc>
          <w:tcPr>
            <w:tcW w:w="1961" w:type="dxa"/>
            <w:shd w:val="clear" w:color="auto" w:fill="auto"/>
            <w:noWrap/>
            <w:hideMark/>
          </w:tcPr>
          <w:p w14:paraId="1D201384"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-6.103257752</w:t>
            </w:r>
          </w:p>
        </w:tc>
        <w:tc>
          <w:tcPr>
            <w:tcW w:w="1613" w:type="dxa"/>
            <w:shd w:val="clear" w:color="auto" w:fill="auto"/>
            <w:noWrap/>
            <w:hideMark/>
          </w:tcPr>
          <w:p w14:paraId="72996905"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2.2255E-06</w:t>
            </w:r>
          </w:p>
        </w:tc>
      </w:tr>
      <w:tr w:rsidR="00A22147" w:rsidRPr="00F7440D" w14:paraId="43D565FE" w14:textId="77777777" w:rsidTr="00272D39">
        <w:trPr>
          <w:trHeight w:val="270"/>
        </w:trPr>
        <w:tc>
          <w:tcPr>
            <w:tcW w:w="1696" w:type="dxa"/>
            <w:shd w:val="clear" w:color="auto" w:fill="auto"/>
            <w:noWrap/>
            <w:hideMark/>
          </w:tcPr>
          <w:p w14:paraId="0C3471C6"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264" w:type="dxa"/>
            <w:shd w:val="clear" w:color="auto" w:fill="auto"/>
            <w:noWrap/>
            <w:hideMark/>
          </w:tcPr>
          <w:p w14:paraId="52FD6956"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50.62451495</w:t>
            </w:r>
          </w:p>
        </w:tc>
        <w:tc>
          <w:tcPr>
            <w:tcW w:w="2145" w:type="dxa"/>
            <w:shd w:val="clear" w:color="auto" w:fill="auto"/>
            <w:noWrap/>
            <w:hideMark/>
          </w:tcPr>
          <w:p w14:paraId="5EBEDFBF"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3.894732842</w:t>
            </w:r>
          </w:p>
        </w:tc>
        <w:tc>
          <w:tcPr>
            <w:tcW w:w="1961" w:type="dxa"/>
            <w:shd w:val="clear" w:color="auto" w:fill="auto"/>
            <w:noWrap/>
            <w:hideMark/>
          </w:tcPr>
          <w:p w14:paraId="5B9A994C"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12.99819962</w:t>
            </w:r>
          </w:p>
        </w:tc>
        <w:tc>
          <w:tcPr>
            <w:tcW w:w="1613" w:type="dxa"/>
            <w:shd w:val="clear" w:color="auto" w:fill="auto"/>
            <w:noWrap/>
            <w:hideMark/>
          </w:tcPr>
          <w:p w14:paraId="54F7DC90" w14:textId="77777777" w:rsidR="00A22147" w:rsidRPr="00F7440D" w:rsidRDefault="00A22147" w:rsidP="00F7440D">
            <w:pPr>
              <w:spacing w:after="0" w:line="360" w:lineRule="auto"/>
              <w:rPr>
                <w:rFonts w:ascii="Times New Roman" w:hAnsi="Times New Roman"/>
                <w:sz w:val="28"/>
                <w:szCs w:val="28"/>
              </w:rPr>
            </w:pPr>
            <w:r w:rsidRPr="00F7440D">
              <w:rPr>
                <w:rFonts w:ascii="Times New Roman" w:hAnsi="Times New Roman"/>
                <w:sz w:val="28"/>
                <w:szCs w:val="28"/>
              </w:rPr>
              <w:t>1.2714E-12</w:t>
            </w:r>
          </w:p>
        </w:tc>
      </w:tr>
    </w:tbl>
    <w:p w14:paraId="6CB68767" w14:textId="77777777" w:rsidR="00A22147" w:rsidRPr="00F7440D" w:rsidRDefault="00A22147" w:rsidP="00F7440D">
      <w:pPr>
        <w:spacing w:after="0" w:line="360" w:lineRule="auto"/>
        <w:ind w:firstLine="709"/>
        <w:rPr>
          <w:rFonts w:ascii="Times New Roman" w:hAnsi="Times New Roman"/>
          <w:sz w:val="28"/>
          <w:szCs w:val="28"/>
          <w:lang w:val="ru-RU"/>
        </w:rPr>
      </w:pPr>
    </w:p>
    <w:p w14:paraId="31757B39" w14:textId="2837AAB8" w:rsidR="00A22147" w:rsidRPr="00F7440D" w:rsidRDefault="00A22147"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оцінки загальної якості отриманого рівняння лінійної регресії застосовується коефіцієнт детермінації. Отримане  в результаті значення 0,87 означає, що 87%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(13%)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r w:rsidR="00245372">
        <w:rPr>
          <w:rFonts w:ascii="Times New Roman" w:hAnsi="Times New Roman"/>
          <w:sz w:val="28"/>
          <w:szCs w:val="28"/>
          <w:lang w:val="uk-UA"/>
        </w:rPr>
        <w:t xml:space="preserve"> </w:t>
      </w:r>
      <w:r w:rsidR="00245372" w:rsidRPr="00245372">
        <w:rPr>
          <w:rFonts w:ascii="Times New Roman" w:hAnsi="Times New Roman"/>
          <w:sz w:val="28"/>
          <w:szCs w:val="28"/>
          <w:lang w:val="uk-UA"/>
        </w:rPr>
        <w:t>[313]</w:t>
      </w:r>
      <w:r w:rsidRPr="00F7440D">
        <w:rPr>
          <w:rFonts w:ascii="Times New Roman" w:hAnsi="Times New Roman"/>
          <w:sz w:val="28"/>
          <w:szCs w:val="28"/>
          <w:lang w:val="uk-UA"/>
        </w:rPr>
        <w:t>.</w:t>
      </w:r>
    </w:p>
    <w:p w14:paraId="7E95160B" w14:textId="77777777" w:rsidR="00D858C5" w:rsidRPr="00F7440D" w:rsidRDefault="00FA1B45"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Рівень запалення у п’ятій, контрольній, групі пацієнтів, де були майже відсутні клінічні ознаки хронічного гінгівіту та в анамнезі не значилися атопічні захворювання, знаходився на рівні 0.48±0.21 бали, що достовірно відрізнялося від показників першої групи.</w:t>
      </w:r>
      <w:r w:rsidR="00D858C5" w:rsidRPr="00F7440D">
        <w:rPr>
          <w:rFonts w:ascii="Times New Roman" w:hAnsi="Times New Roman" w:cs="Times New Roman"/>
          <w:sz w:val="28"/>
          <w:szCs w:val="28"/>
          <w:lang w:val="uk-UA"/>
        </w:rPr>
        <w:t xml:space="preserve"> При цьому рівень секреторного імуноглобуліну А знаходився на рівні 123.57±9.55 мкг/мл,  що також достовірно відрізняється від показників першої групи, де у обстеженого контингенту дітей лікарями-алергологами був встановлений діагноз атопічних захворювань. </w:t>
      </w:r>
    </w:p>
    <w:p w14:paraId="3CE736E8" w14:textId="7661A16C" w:rsidR="00364EDD" w:rsidRPr="00F7440D" w:rsidRDefault="00D858C5"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Достовірна різниця у показниках секреторного імуноглобуліну А у першій та п’ятій групах вже сама по собі демонструє недостатність ефективності у роботі імунної системи у дітей з бронхіальною астмою, атопічним дерматитом та алергічним ринітом. Проте завдяки регресійному  аналізу та побудові рівняння лінійної регресії ми змогли визначити, що змінюваність рівня кровоточивості, а отже, і запалення, пов’язана на 87% з змінюваністю рівня секреторного імуноглобуліна А, а визначені коефіцієнти дозволили побудувати прогностичну модель запалення тканин пародонту. </w:t>
      </w:r>
    </w:p>
    <w:p w14:paraId="1A7A9D74" w14:textId="775FB623" w:rsidR="00D858C5" w:rsidRPr="00F7440D" w:rsidRDefault="00D858C5" w:rsidP="00F7440D">
      <w:pPr>
        <w:spacing w:after="0" w:line="360" w:lineRule="auto"/>
        <w:ind w:firstLine="709"/>
        <w:jc w:val="both"/>
        <w:rPr>
          <w:rFonts w:ascii="Times New Roman" w:hAnsi="Times New Roman" w:cs="Times New Roman"/>
          <w:sz w:val="28"/>
          <w:szCs w:val="28"/>
          <w:lang w:val="ru-RU"/>
        </w:rPr>
      </w:pPr>
      <w:r w:rsidRPr="00F7440D">
        <w:rPr>
          <w:rFonts w:ascii="Times New Roman" w:hAnsi="Times New Roman" w:cs="Times New Roman"/>
          <w:sz w:val="28"/>
          <w:szCs w:val="28"/>
          <w:lang w:val="uk-UA"/>
        </w:rPr>
        <w:t xml:space="preserve">Метою регресійного аналізу контрольної групи пацієнтів було визначення залежності між змінюваністю рівня секреторного імуноглобуліну А та його залежності від показників індексу кровоточивості </w:t>
      </w:r>
      <w:r w:rsidRPr="00F7440D">
        <w:rPr>
          <w:rFonts w:ascii="Times New Roman" w:hAnsi="Times New Roman" w:cs="Times New Roman"/>
          <w:sz w:val="28"/>
          <w:szCs w:val="28"/>
        </w:rPr>
        <w:t>SBI</w:t>
      </w:r>
      <w:r w:rsidR="00245372" w:rsidRPr="00245372">
        <w:rPr>
          <w:rFonts w:ascii="Times New Roman" w:hAnsi="Times New Roman" w:cs="Times New Roman"/>
          <w:sz w:val="28"/>
          <w:szCs w:val="28"/>
          <w:lang w:val="uk-UA"/>
        </w:rPr>
        <w:t xml:space="preserve"> [312]</w:t>
      </w:r>
      <w:r w:rsidRPr="00F7440D">
        <w:rPr>
          <w:rFonts w:ascii="Times New Roman" w:hAnsi="Times New Roman" w:cs="Times New Roman"/>
          <w:sz w:val="28"/>
          <w:szCs w:val="28"/>
          <w:lang w:val="uk-UA"/>
        </w:rPr>
        <w:t>. Як ми змогли пересвідчитися на прикладі регресійного аналізу показників індексу РМА та рівня імуноглобуліну А, описаного раніше, даний вид статистичного аналізу даних дозволяє виявляти закономірності навіть при найменших змінах абсолютних значень.</w:t>
      </w:r>
      <w:r w:rsidR="00AB1AAB" w:rsidRPr="00F7440D">
        <w:rPr>
          <w:rFonts w:ascii="Times New Roman" w:hAnsi="Times New Roman" w:cs="Times New Roman"/>
          <w:sz w:val="28"/>
          <w:szCs w:val="28"/>
          <w:lang w:val="uk-UA"/>
        </w:rPr>
        <w:t xml:space="preserve"> Результати регресійно</w:t>
      </w:r>
      <w:r w:rsidR="00EA5D82">
        <w:rPr>
          <w:rFonts w:ascii="Times New Roman" w:hAnsi="Times New Roman" w:cs="Times New Roman"/>
          <w:sz w:val="28"/>
          <w:szCs w:val="28"/>
          <w:lang w:val="uk-UA"/>
        </w:rPr>
        <w:t>го аналізу наведені у таблицях 8.14, 8.15, 8</w:t>
      </w:r>
      <w:r w:rsidR="00AB1AAB" w:rsidRPr="00F7440D">
        <w:rPr>
          <w:rFonts w:ascii="Times New Roman" w:hAnsi="Times New Roman" w:cs="Times New Roman"/>
          <w:sz w:val="28"/>
          <w:szCs w:val="28"/>
          <w:lang w:val="uk-UA"/>
        </w:rPr>
        <w:t>.16.</w:t>
      </w:r>
    </w:p>
    <w:p w14:paraId="36562739" w14:textId="2EAB8F85" w:rsidR="00AB1AAB" w:rsidRPr="00F7440D" w:rsidRDefault="00AB1AA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6E97" w:rsidRPr="00F7440D">
        <w:rPr>
          <w:rFonts w:ascii="Times New Roman" w:hAnsi="Times New Roman"/>
          <w:sz w:val="28"/>
          <w:szCs w:val="28"/>
          <w:lang w:val="uk-UA"/>
        </w:rPr>
        <w:t>8</w:t>
      </w:r>
      <w:r w:rsidRPr="00F7440D">
        <w:rPr>
          <w:rFonts w:ascii="Times New Roman" w:hAnsi="Times New Roman"/>
          <w:sz w:val="28"/>
          <w:szCs w:val="28"/>
          <w:lang w:val="uk-UA"/>
        </w:rPr>
        <w:t xml:space="preserve">.14 </w:t>
      </w:r>
    </w:p>
    <w:p w14:paraId="222B75D9" w14:textId="082829A2"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 xml:space="preserve">Регресійна статистика рівнів секреторного імуноглобуліну А та індексу </w:t>
      </w:r>
      <w:r w:rsidRPr="00F7440D">
        <w:rPr>
          <w:rFonts w:ascii="Times New Roman" w:hAnsi="Times New Roman"/>
          <w:sz w:val="28"/>
          <w:szCs w:val="28"/>
        </w:rPr>
        <w:t>SBI</w:t>
      </w:r>
      <w:r w:rsidRPr="00F7440D">
        <w:rPr>
          <w:rFonts w:ascii="Times New Roman" w:hAnsi="Times New Roman"/>
          <w:sz w:val="28"/>
          <w:szCs w:val="28"/>
          <w:lang w:val="uk-UA"/>
        </w:rPr>
        <w:t xml:space="preserve"> у контрольній групі пацієнтів</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AB1AAB" w:rsidRPr="00F7440D" w14:paraId="681EBD4C" w14:textId="77777777" w:rsidTr="00573865">
        <w:trPr>
          <w:trHeight w:val="157"/>
        </w:trPr>
        <w:tc>
          <w:tcPr>
            <w:tcW w:w="9688" w:type="dxa"/>
            <w:gridSpan w:val="2"/>
            <w:shd w:val="clear" w:color="auto" w:fill="auto"/>
            <w:noWrap/>
            <w:hideMark/>
          </w:tcPr>
          <w:p w14:paraId="7854CBE3"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lang w:val="uk-UA"/>
              </w:rPr>
              <w:t>Регресійна статистика</w:t>
            </w:r>
          </w:p>
        </w:tc>
      </w:tr>
      <w:tr w:rsidR="00AB1AAB" w:rsidRPr="00F7440D" w14:paraId="75CBD8A2" w14:textId="77777777" w:rsidTr="00AB1AAB">
        <w:trPr>
          <w:trHeight w:val="157"/>
        </w:trPr>
        <w:tc>
          <w:tcPr>
            <w:tcW w:w="5632" w:type="dxa"/>
            <w:shd w:val="clear" w:color="auto" w:fill="auto"/>
            <w:noWrap/>
            <w:hideMark/>
          </w:tcPr>
          <w:p w14:paraId="7E50F3EF"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Множинний R</w:t>
            </w:r>
          </w:p>
        </w:tc>
        <w:tc>
          <w:tcPr>
            <w:tcW w:w="4056" w:type="dxa"/>
            <w:shd w:val="clear" w:color="auto" w:fill="auto"/>
            <w:noWrap/>
            <w:vAlign w:val="bottom"/>
            <w:hideMark/>
          </w:tcPr>
          <w:p w14:paraId="02AB042D" w14:textId="30D8B24D"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0.172584</w:t>
            </w:r>
          </w:p>
        </w:tc>
      </w:tr>
      <w:tr w:rsidR="00AB1AAB" w:rsidRPr="00F7440D" w14:paraId="7E9CC533" w14:textId="77777777" w:rsidTr="00AB1AAB">
        <w:trPr>
          <w:trHeight w:val="157"/>
        </w:trPr>
        <w:tc>
          <w:tcPr>
            <w:tcW w:w="5632" w:type="dxa"/>
            <w:shd w:val="clear" w:color="auto" w:fill="auto"/>
            <w:noWrap/>
            <w:hideMark/>
          </w:tcPr>
          <w:p w14:paraId="2842B817"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R-квадрат</w:t>
            </w:r>
          </w:p>
        </w:tc>
        <w:tc>
          <w:tcPr>
            <w:tcW w:w="4056" w:type="dxa"/>
            <w:shd w:val="clear" w:color="auto" w:fill="auto"/>
            <w:noWrap/>
            <w:vAlign w:val="bottom"/>
            <w:hideMark/>
          </w:tcPr>
          <w:p w14:paraId="229D10DD" w14:textId="34678053"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0.029785</w:t>
            </w:r>
          </w:p>
        </w:tc>
      </w:tr>
      <w:tr w:rsidR="00AB1AAB" w:rsidRPr="00F7440D" w14:paraId="3D58CC30" w14:textId="77777777" w:rsidTr="00AB1AAB">
        <w:trPr>
          <w:trHeight w:val="157"/>
        </w:trPr>
        <w:tc>
          <w:tcPr>
            <w:tcW w:w="5632" w:type="dxa"/>
            <w:shd w:val="clear" w:color="auto" w:fill="auto"/>
            <w:noWrap/>
            <w:hideMark/>
          </w:tcPr>
          <w:p w14:paraId="5F462A57"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Нормований R-квадрат</w:t>
            </w:r>
          </w:p>
        </w:tc>
        <w:tc>
          <w:tcPr>
            <w:tcW w:w="4056" w:type="dxa"/>
            <w:shd w:val="clear" w:color="auto" w:fill="auto"/>
            <w:noWrap/>
            <w:vAlign w:val="bottom"/>
            <w:hideMark/>
          </w:tcPr>
          <w:p w14:paraId="21D32C57" w14:textId="3F5890D9"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0.001249</w:t>
            </w:r>
          </w:p>
        </w:tc>
      </w:tr>
      <w:tr w:rsidR="00AB1AAB" w:rsidRPr="00F7440D" w14:paraId="2AD424B8" w14:textId="77777777" w:rsidTr="00AB1AAB">
        <w:trPr>
          <w:trHeight w:val="157"/>
        </w:trPr>
        <w:tc>
          <w:tcPr>
            <w:tcW w:w="5632" w:type="dxa"/>
            <w:shd w:val="clear" w:color="auto" w:fill="auto"/>
            <w:noWrap/>
            <w:hideMark/>
          </w:tcPr>
          <w:p w14:paraId="129E2B53" w14:textId="77777777" w:rsidR="00AB1AAB" w:rsidRPr="00F7440D" w:rsidRDefault="00AB1AAB" w:rsidP="00F7440D">
            <w:pPr>
              <w:spacing w:after="0" w:line="360" w:lineRule="auto"/>
              <w:ind w:firstLine="709"/>
              <w:rPr>
                <w:rFonts w:ascii="Times New Roman" w:hAnsi="Times New Roman"/>
                <w:sz w:val="28"/>
                <w:szCs w:val="28"/>
              </w:rPr>
            </w:pPr>
            <w:r w:rsidRPr="00F7440D">
              <w:rPr>
                <w:rFonts w:ascii="Times New Roman" w:hAnsi="Times New Roman"/>
                <w:sz w:val="28"/>
                <w:szCs w:val="28"/>
              </w:rPr>
              <w:t>Стандартна помилка</w:t>
            </w:r>
          </w:p>
        </w:tc>
        <w:tc>
          <w:tcPr>
            <w:tcW w:w="4056" w:type="dxa"/>
            <w:shd w:val="clear" w:color="auto" w:fill="auto"/>
            <w:noWrap/>
            <w:vAlign w:val="bottom"/>
            <w:hideMark/>
          </w:tcPr>
          <w:p w14:paraId="58F0D97B" w14:textId="443E32DE"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0.212147</w:t>
            </w:r>
          </w:p>
        </w:tc>
      </w:tr>
      <w:tr w:rsidR="00AB1AAB" w:rsidRPr="00F7440D" w14:paraId="3D7292AF" w14:textId="77777777" w:rsidTr="00AB1AAB">
        <w:trPr>
          <w:trHeight w:val="166"/>
        </w:trPr>
        <w:tc>
          <w:tcPr>
            <w:tcW w:w="5632" w:type="dxa"/>
            <w:shd w:val="clear" w:color="auto" w:fill="auto"/>
            <w:noWrap/>
            <w:hideMark/>
          </w:tcPr>
          <w:p w14:paraId="279162F0" w14:textId="77777777" w:rsidR="00AB1AAB" w:rsidRPr="00F7440D" w:rsidRDefault="00AB1AAB" w:rsidP="00F7440D">
            <w:pPr>
              <w:spacing w:after="0" w:line="360" w:lineRule="auto"/>
              <w:ind w:firstLine="709"/>
              <w:rPr>
                <w:rFonts w:ascii="Times New Roman" w:hAnsi="Times New Roman"/>
                <w:sz w:val="28"/>
                <w:szCs w:val="28"/>
                <w:lang w:val="ru-RU"/>
              </w:rPr>
            </w:pPr>
            <w:r w:rsidRPr="00F7440D">
              <w:rPr>
                <w:rFonts w:ascii="Times New Roman" w:hAnsi="Times New Roman"/>
                <w:sz w:val="28"/>
                <w:szCs w:val="28"/>
                <w:lang w:val="ru-RU"/>
              </w:rPr>
              <w:t>Спостереження</w:t>
            </w:r>
          </w:p>
        </w:tc>
        <w:tc>
          <w:tcPr>
            <w:tcW w:w="4056" w:type="dxa"/>
            <w:shd w:val="clear" w:color="auto" w:fill="auto"/>
            <w:noWrap/>
            <w:vAlign w:val="bottom"/>
            <w:hideMark/>
          </w:tcPr>
          <w:p w14:paraId="0F8D5E97" w14:textId="21DFCBE7" w:rsidR="00AB1AAB" w:rsidRPr="00F7440D" w:rsidRDefault="00AB1AAB" w:rsidP="00F7440D">
            <w:pPr>
              <w:spacing w:after="0" w:line="360" w:lineRule="auto"/>
              <w:ind w:firstLine="709"/>
              <w:rPr>
                <w:rFonts w:ascii="Times New Roman" w:hAnsi="Times New Roman" w:cs="Times New Roman"/>
                <w:sz w:val="28"/>
                <w:szCs w:val="28"/>
                <w:lang w:val="uk-UA"/>
              </w:rPr>
            </w:pPr>
            <w:r w:rsidRPr="00F7440D">
              <w:rPr>
                <w:rFonts w:ascii="Times New Roman" w:hAnsi="Times New Roman" w:cs="Times New Roman"/>
                <w:sz w:val="28"/>
                <w:szCs w:val="28"/>
              </w:rPr>
              <w:t>36</w:t>
            </w:r>
          </w:p>
        </w:tc>
      </w:tr>
    </w:tbl>
    <w:p w14:paraId="6F721684" w14:textId="77777777" w:rsidR="00AB1AAB" w:rsidRPr="00F7440D" w:rsidRDefault="00AB1AAB" w:rsidP="00F7440D">
      <w:pPr>
        <w:spacing w:after="0" w:line="360" w:lineRule="auto"/>
        <w:ind w:firstLine="709"/>
        <w:rPr>
          <w:rFonts w:ascii="Times New Roman" w:hAnsi="Times New Roman"/>
          <w:sz w:val="28"/>
          <w:szCs w:val="28"/>
          <w:lang w:val="uk-UA"/>
        </w:rPr>
      </w:pPr>
    </w:p>
    <w:p w14:paraId="06D6C915" w14:textId="4FBDFABF" w:rsidR="00AB1AAB" w:rsidRPr="00F7440D" w:rsidRDefault="00AB1AA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Для оцінки загальної якості отриманого рівняння лінійної регресії нам необхідно інтерпретувати коефіцієнт детермінації, який позначений як </w:t>
      </w:r>
      <w:r w:rsidRPr="00F7440D">
        <w:rPr>
          <w:rFonts w:ascii="Times New Roman" w:hAnsi="Times New Roman"/>
          <w:sz w:val="28"/>
          <w:szCs w:val="28"/>
        </w:rPr>
        <w:t>R</w:t>
      </w:r>
      <w:r w:rsidRPr="00F7440D">
        <w:rPr>
          <w:rFonts w:ascii="Times New Roman" w:hAnsi="Times New Roman"/>
          <w:sz w:val="28"/>
          <w:szCs w:val="28"/>
          <w:lang w:val="uk-UA"/>
        </w:rPr>
        <w:t>-квадрат. Даний коефіцієнт є показником якості рівняння регресії й точн</w:t>
      </w:r>
      <w:r w:rsidR="00A7399B" w:rsidRPr="00F7440D">
        <w:rPr>
          <w:rFonts w:ascii="Times New Roman" w:hAnsi="Times New Roman"/>
          <w:sz w:val="28"/>
          <w:szCs w:val="28"/>
          <w:lang w:val="uk-UA"/>
        </w:rPr>
        <w:t xml:space="preserve">ості прогнозу за його допомогою; так як він дорівнює 0,03, отже у контрольній групі дітей залежність між рівнем індексу </w:t>
      </w:r>
      <w:r w:rsidR="00A7399B" w:rsidRPr="00F7440D">
        <w:rPr>
          <w:rFonts w:ascii="Times New Roman" w:hAnsi="Times New Roman"/>
          <w:sz w:val="28"/>
          <w:szCs w:val="28"/>
        </w:rPr>
        <w:t>SBI</w:t>
      </w:r>
      <w:r w:rsidR="00A7399B" w:rsidRPr="00F7440D">
        <w:rPr>
          <w:rFonts w:ascii="Times New Roman" w:hAnsi="Times New Roman"/>
          <w:sz w:val="28"/>
          <w:szCs w:val="28"/>
          <w:lang w:val="uk-UA"/>
        </w:rPr>
        <w:t xml:space="preserve"> та та рівнем секреторного імуноглобуліну А не явиявлена.</w:t>
      </w:r>
    </w:p>
    <w:p w14:paraId="78ECD94E" w14:textId="52C0B5E4" w:rsidR="00AB1AAB"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B1AAB" w:rsidRPr="00F7440D">
        <w:rPr>
          <w:rFonts w:ascii="Times New Roman" w:hAnsi="Times New Roman"/>
          <w:sz w:val="28"/>
          <w:szCs w:val="28"/>
          <w:lang w:val="uk-UA"/>
        </w:rPr>
        <w:t xml:space="preserve">.15 </w:t>
      </w:r>
    </w:p>
    <w:p w14:paraId="31598BC2" w14:textId="07D1D73D"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рівнів секреторного імуноглобуліну А та індексу </w:t>
      </w:r>
      <w:r w:rsidRPr="00F7440D">
        <w:rPr>
          <w:rFonts w:ascii="Times New Roman" w:hAnsi="Times New Roman"/>
          <w:sz w:val="28"/>
          <w:szCs w:val="28"/>
        </w:rPr>
        <w:t>SBI</w:t>
      </w:r>
      <w:r w:rsidRPr="00F7440D">
        <w:rPr>
          <w:rFonts w:ascii="Times New Roman" w:hAnsi="Times New Roman"/>
          <w:sz w:val="28"/>
          <w:szCs w:val="28"/>
          <w:lang w:val="uk-UA"/>
        </w:rPr>
        <w:t xml:space="preserve"> у контрольній групі пацієнтів</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868"/>
        <w:gridCol w:w="1812"/>
        <w:gridCol w:w="1826"/>
        <w:gridCol w:w="1975"/>
        <w:gridCol w:w="1847"/>
      </w:tblGrid>
      <w:tr w:rsidR="00AB1AAB" w:rsidRPr="00F7440D" w14:paraId="31BC5FA8" w14:textId="77777777" w:rsidTr="00AB1AAB">
        <w:trPr>
          <w:trHeight w:val="255"/>
        </w:trPr>
        <w:tc>
          <w:tcPr>
            <w:tcW w:w="1420" w:type="dxa"/>
            <w:shd w:val="clear" w:color="auto" w:fill="auto"/>
            <w:noWrap/>
            <w:hideMark/>
          </w:tcPr>
          <w:p w14:paraId="53536638"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 </w:t>
            </w:r>
          </w:p>
        </w:tc>
        <w:tc>
          <w:tcPr>
            <w:tcW w:w="868" w:type="dxa"/>
            <w:shd w:val="clear" w:color="auto" w:fill="auto"/>
            <w:noWrap/>
            <w:hideMark/>
          </w:tcPr>
          <w:p w14:paraId="41855CE4" w14:textId="77777777" w:rsidR="00AB1AAB" w:rsidRPr="00F7440D" w:rsidRDefault="00AB1AAB" w:rsidP="00F7440D">
            <w:pPr>
              <w:spacing w:after="0" w:line="360" w:lineRule="auto"/>
              <w:rPr>
                <w:rFonts w:ascii="Times New Roman" w:hAnsi="Times New Roman"/>
                <w:i/>
                <w:iCs/>
                <w:sz w:val="28"/>
                <w:szCs w:val="28"/>
              </w:rPr>
            </w:pPr>
            <w:r w:rsidRPr="00F7440D">
              <w:rPr>
                <w:rFonts w:ascii="Times New Roman" w:hAnsi="Times New Roman"/>
                <w:i/>
                <w:iCs/>
                <w:sz w:val="28"/>
                <w:szCs w:val="28"/>
              </w:rPr>
              <w:t>df</w:t>
            </w:r>
          </w:p>
        </w:tc>
        <w:tc>
          <w:tcPr>
            <w:tcW w:w="1812" w:type="dxa"/>
            <w:shd w:val="clear" w:color="auto" w:fill="auto"/>
            <w:noWrap/>
            <w:hideMark/>
          </w:tcPr>
          <w:p w14:paraId="34497BE8"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SS</w:t>
            </w:r>
          </w:p>
        </w:tc>
        <w:tc>
          <w:tcPr>
            <w:tcW w:w="1826" w:type="dxa"/>
            <w:shd w:val="clear" w:color="auto" w:fill="auto"/>
            <w:noWrap/>
            <w:hideMark/>
          </w:tcPr>
          <w:p w14:paraId="02234E66"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MS</w:t>
            </w:r>
          </w:p>
        </w:tc>
        <w:tc>
          <w:tcPr>
            <w:tcW w:w="1975" w:type="dxa"/>
            <w:shd w:val="clear" w:color="auto" w:fill="auto"/>
            <w:noWrap/>
            <w:hideMark/>
          </w:tcPr>
          <w:p w14:paraId="1F834DBD"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F</w:t>
            </w:r>
          </w:p>
        </w:tc>
        <w:tc>
          <w:tcPr>
            <w:tcW w:w="1847" w:type="dxa"/>
            <w:shd w:val="clear" w:color="auto" w:fill="auto"/>
            <w:noWrap/>
            <w:hideMark/>
          </w:tcPr>
          <w:p w14:paraId="0B4A055C" w14:textId="77777777" w:rsidR="00AB1AAB" w:rsidRPr="00F7440D" w:rsidRDefault="00AB1AAB" w:rsidP="00F7440D">
            <w:pPr>
              <w:spacing w:after="0" w:line="360" w:lineRule="auto"/>
              <w:rPr>
                <w:rFonts w:ascii="Times New Roman" w:hAnsi="Times New Roman"/>
                <w:i/>
                <w:iCs/>
                <w:sz w:val="28"/>
                <w:szCs w:val="28"/>
              </w:rPr>
            </w:pPr>
            <w:r w:rsidRPr="00F7440D">
              <w:rPr>
                <w:rFonts w:ascii="Times New Roman" w:hAnsi="Times New Roman"/>
                <w:i/>
                <w:iCs/>
                <w:sz w:val="28"/>
                <w:szCs w:val="28"/>
              </w:rPr>
              <w:t>Значим</w:t>
            </w:r>
            <w:r w:rsidRPr="00F7440D">
              <w:rPr>
                <w:rFonts w:ascii="Times New Roman" w:hAnsi="Times New Roman"/>
                <w:i/>
                <w:iCs/>
                <w:sz w:val="28"/>
                <w:szCs w:val="28"/>
                <w:lang w:val="uk-UA"/>
              </w:rPr>
              <w:t>і</w:t>
            </w:r>
            <w:r w:rsidRPr="00F7440D">
              <w:rPr>
                <w:rFonts w:ascii="Times New Roman" w:hAnsi="Times New Roman"/>
                <w:i/>
                <w:iCs/>
                <w:sz w:val="28"/>
                <w:szCs w:val="28"/>
              </w:rPr>
              <w:t>сть F</w:t>
            </w:r>
          </w:p>
        </w:tc>
      </w:tr>
      <w:tr w:rsidR="00AB1AAB" w:rsidRPr="00F7440D" w14:paraId="50EFA20C" w14:textId="77777777" w:rsidTr="00AB1AAB">
        <w:trPr>
          <w:trHeight w:val="255"/>
        </w:trPr>
        <w:tc>
          <w:tcPr>
            <w:tcW w:w="1420" w:type="dxa"/>
            <w:shd w:val="clear" w:color="auto" w:fill="auto"/>
            <w:noWrap/>
            <w:hideMark/>
          </w:tcPr>
          <w:p w14:paraId="22AE8394"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Регресія</w:t>
            </w:r>
          </w:p>
        </w:tc>
        <w:tc>
          <w:tcPr>
            <w:tcW w:w="868" w:type="dxa"/>
            <w:shd w:val="clear" w:color="auto" w:fill="auto"/>
            <w:noWrap/>
            <w:vAlign w:val="bottom"/>
            <w:hideMark/>
          </w:tcPr>
          <w:p w14:paraId="1BFA8C8D" w14:textId="0901C9C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w:t>
            </w:r>
          </w:p>
        </w:tc>
        <w:tc>
          <w:tcPr>
            <w:tcW w:w="1812" w:type="dxa"/>
            <w:shd w:val="clear" w:color="auto" w:fill="auto"/>
            <w:noWrap/>
            <w:vAlign w:val="bottom"/>
            <w:hideMark/>
          </w:tcPr>
          <w:p w14:paraId="75EEB125" w14:textId="28E9426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0.046977</w:t>
            </w:r>
          </w:p>
        </w:tc>
        <w:tc>
          <w:tcPr>
            <w:tcW w:w="1826" w:type="dxa"/>
            <w:shd w:val="clear" w:color="auto" w:fill="auto"/>
            <w:noWrap/>
            <w:vAlign w:val="bottom"/>
            <w:hideMark/>
          </w:tcPr>
          <w:p w14:paraId="610ED3EC" w14:textId="3C9BAF6C"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0.046977</w:t>
            </w:r>
          </w:p>
        </w:tc>
        <w:tc>
          <w:tcPr>
            <w:tcW w:w="1975" w:type="dxa"/>
            <w:shd w:val="clear" w:color="auto" w:fill="auto"/>
            <w:noWrap/>
            <w:vAlign w:val="bottom"/>
            <w:hideMark/>
          </w:tcPr>
          <w:p w14:paraId="10E4EBC4" w14:textId="59B7E9B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1.043782</w:t>
            </w:r>
          </w:p>
        </w:tc>
        <w:tc>
          <w:tcPr>
            <w:tcW w:w="1847" w:type="dxa"/>
            <w:shd w:val="clear" w:color="auto" w:fill="auto"/>
            <w:noWrap/>
            <w:vAlign w:val="bottom"/>
            <w:hideMark/>
          </w:tcPr>
          <w:p w14:paraId="39356850" w14:textId="01E2C1F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0.314158</w:t>
            </w:r>
          </w:p>
        </w:tc>
      </w:tr>
      <w:tr w:rsidR="00AB1AAB" w:rsidRPr="00F7440D" w14:paraId="2792E86C" w14:textId="77777777" w:rsidTr="00AB1AAB">
        <w:trPr>
          <w:trHeight w:val="255"/>
        </w:trPr>
        <w:tc>
          <w:tcPr>
            <w:tcW w:w="1420" w:type="dxa"/>
            <w:shd w:val="clear" w:color="auto" w:fill="auto"/>
            <w:noWrap/>
            <w:hideMark/>
          </w:tcPr>
          <w:p w14:paraId="14289029"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Залишок</w:t>
            </w:r>
          </w:p>
        </w:tc>
        <w:tc>
          <w:tcPr>
            <w:tcW w:w="868" w:type="dxa"/>
            <w:shd w:val="clear" w:color="auto" w:fill="auto"/>
            <w:noWrap/>
            <w:vAlign w:val="bottom"/>
            <w:hideMark/>
          </w:tcPr>
          <w:p w14:paraId="732F3AA6" w14:textId="4116B872"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34</w:t>
            </w:r>
          </w:p>
        </w:tc>
        <w:tc>
          <w:tcPr>
            <w:tcW w:w="1812" w:type="dxa"/>
            <w:shd w:val="clear" w:color="auto" w:fill="auto"/>
            <w:noWrap/>
            <w:vAlign w:val="bottom"/>
            <w:hideMark/>
          </w:tcPr>
          <w:p w14:paraId="75E9F6A0" w14:textId="0C95378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1.530223</w:t>
            </w:r>
          </w:p>
        </w:tc>
        <w:tc>
          <w:tcPr>
            <w:tcW w:w="1826" w:type="dxa"/>
            <w:shd w:val="clear" w:color="auto" w:fill="auto"/>
            <w:noWrap/>
            <w:vAlign w:val="bottom"/>
            <w:hideMark/>
          </w:tcPr>
          <w:p w14:paraId="2BA74FF0" w14:textId="5D761A0B"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0.045007</w:t>
            </w:r>
          </w:p>
        </w:tc>
        <w:tc>
          <w:tcPr>
            <w:tcW w:w="1975" w:type="dxa"/>
            <w:shd w:val="clear" w:color="auto" w:fill="auto"/>
            <w:noWrap/>
            <w:vAlign w:val="bottom"/>
            <w:hideMark/>
          </w:tcPr>
          <w:p w14:paraId="4CB26EBF" w14:textId="16D20060" w:rsidR="00AB1AAB" w:rsidRPr="00F7440D" w:rsidRDefault="00AB1AAB" w:rsidP="00F7440D">
            <w:pPr>
              <w:spacing w:after="0" w:line="360" w:lineRule="auto"/>
              <w:ind w:firstLine="709"/>
              <w:rPr>
                <w:rFonts w:ascii="Times New Roman" w:hAnsi="Times New Roman" w:cs="Times New Roman"/>
                <w:sz w:val="28"/>
                <w:szCs w:val="28"/>
              </w:rPr>
            </w:pPr>
          </w:p>
        </w:tc>
        <w:tc>
          <w:tcPr>
            <w:tcW w:w="1847" w:type="dxa"/>
            <w:shd w:val="clear" w:color="auto" w:fill="auto"/>
            <w:noWrap/>
            <w:vAlign w:val="bottom"/>
            <w:hideMark/>
          </w:tcPr>
          <w:p w14:paraId="744F76F1" w14:textId="77777777" w:rsidR="00AB1AAB" w:rsidRPr="00F7440D" w:rsidRDefault="00AB1AAB" w:rsidP="00F7440D">
            <w:pPr>
              <w:spacing w:after="0" w:line="360" w:lineRule="auto"/>
              <w:ind w:firstLine="709"/>
              <w:rPr>
                <w:rFonts w:ascii="Times New Roman" w:hAnsi="Times New Roman" w:cs="Times New Roman"/>
                <w:sz w:val="28"/>
                <w:szCs w:val="28"/>
              </w:rPr>
            </w:pPr>
          </w:p>
        </w:tc>
      </w:tr>
      <w:tr w:rsidR="00AB1AAB" w:rsidRPr="00F7440D" w14:paraId="1377DD3C" w14:textId="77777777" w:rsidTr="00AB1AAB">
        <w:trPr>
          <w:trHeight w:val="270"/>
        </w:trPr>
        <w:tc>
          <w:tcPr>
            <w:tcW w:w="1420" w:type="dxa"/>
            <w:shd w:val="clear" w:color="auto" w:fill="auto"/>
            <w:noWrap/>
            <w:hideMark/>
          </w:tcPr>
          <w:p w14:paraId="49EB4E3A" w14:textId="77777777" w:rsidR="00AB1AAB" w:rsidRPr="00F7440D" w:rsidRDefault="00AB1AAB" w:rsidP="00F7440D">
            <w:pPr>
              <w:spacing w:after="0" w:line="360" w:lineRule="auto"/>
              <w:rPr>
                <w:rFonts w:ascii="Times New Roman" w:hAnsi="Times New Roman"/>
                <w:sz w:val="28"/>
                <w:szCs w:val="28"/>
                <w:lang w:val="uk-UA"/>
              </w:rPr>
            </w:pPr>
            <w:r w:rsidRPr="00F7440D">
              <w:rPr>
                <w:rFonts w:ascii="Times New Roman" w:hAnsi="Times New Roman"/>
                <w:sz w:val="28"/>
                <w:szCs w:val="28"/>
                <w:lang w:val="uk-UA"/>
              </w:rPr>
              <w:t>Разом</w:t>
            </w:r>
          </w:p>
        </w:tc>
        <w:tc>
          <w:tcPr>
            <w:tcW w:w="868" w:type="dxa"/>
            <w:shd w:val="clear" w:color="auto" w:fill="auto"/>
            <w:noWrap/>
            <w:vAlign w:val="bottom"/>
            <w:hideMark/>
          </w:tcPr>
          <w:p w14:paraId="6324DC7D" w14:textId="6E3CAAAF"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35</w:t>
            </w:r>
          </w:p>
        </w:tc>
        <w:tc>
          <w:tcPr>
            <w:tcW w:w="1812" w:type="dxa"/>
            <w:shd w:val="clear" w:color="auto" w:fill="auto"/>
            <w:noWrap/>
            <w:vAlign w:val="bottom"/>
            <w:hideMark/>
          </w:tcPr>
          <w:p w14:paraId="182B83F3" w14:textId="75AB0E2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1.5772</w:t>
            </w:r>
          </w:p>
        </w:tc>
        <w:tc>
          <w:tcPr>
            <w:tcW w:w="1826" w:type="dxa"/>
            <w:shd w:val="clear" w:color="auto" w:fill="auto"/>
            <w:noWrap/>
            <w:vAlign w:val="bottom"/>
            <w:hideMark/>
          </w:tcPr>
          <w:p w14:paraId="5871C144" w14:textId="4945F80A"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975" w:type="dxa"/>
            <w:shd w:val="clear" w:color="auto" w:fill="auto"/>
            <w:noWrap/>
            <w:vAlign w:val="bottom"/>
            <w:hideMark/>
          </w:tcPr>
          <w:p w14:paraId="1F102C31" w14:textId="49BB134F"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c>
          <w:tcPr>
            <w:tcW w:w="1847" w:type="dxa"/>
            <w:shd w:val="clear" w:color="auto" w:fill="auto"/>
            <w:noWrap/>
            <w:vAlign w:val="bottom"/>
            <w:hideMark/>
          </w:tcPr>
          <w:p w14:paraId="4A7C0926" w14:textId="4AB23FD9" w:rsidR="00AB1AAB" w:rsidRPr="00F7440D" w:rsidRDefault="00AB1AAB" w:rsidP="00F7440D">
            <w:pPr>
              <w:spacing w:after="0" w:line="360" w:lineRule="auto"/>
              <w:ind w:firstLine="709"/>
              <w:rPr>
                <w:rFonts w:ascii="Times New Roman" w:hAnsi="Times New Roman" w:cs="Times New Roman"/>
                <w:sz w:val="28"/>
                <w:szCs w:val="28"/>
              </w:rPr>
            </w:pPr>
            <w:r w:rsidRPr="00F7440D">
              <w:rPr>
                <w:rFonts w:ascii="Times New Roman" w:hAnsi="Times New Roman" w:cs="Times New Roman"/>
                <w:sz w:val="28"/>
                <w:szCs w:val="28"/>
              </w:rPr>
              <w:t> </w:t>
            </w:r>
          </w:p>
        </w:tc>
      </w:tr>
    </w:tbl>
    <w:p w14:paraId="10DA2C2F" w14:textId="77777777" w:rsidR="00112933" w:rsidRPr="00F7440D" w:rsidRDefault="00112933" w:rsidP="00112933">
      <w:pPr>
        <w:spacing w:after="0" w:line="360" w:lineRule="auto"/>
        <w:jc w:val="both"/>
        <w:rPr>
          <w:rFonts w:ascii="Times New Roman" w:hAnsi="Times New Roman"/>
          <w:sz w:val="28"/>
          <w:szCs w:val="28"/>
          <w:lang w:val="uk-UA"/>
        </w:rPr>
      </w:pPr>
    </w:p>
    <w:p w14:paraId="5641AD0E" w14:textId="4137B1FB" w:rsidR="00AB1AAB" w:rsidRPr="00F7440D" w:rsidRDefault="00E96E97"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AB1AAB" w:rsidRPr="00F7440D">
        <w:rPr>
          <w:rFonts w:ascii="Times New Roman" w:hAnsi="Times New Roman"/>
          <w:sz w:val="28"/>
          <w:szCs w:val="28"/>
          <w:lang w:val="uk-UA"/>
        </w:rPr>
        <w:t>.16</w:t>
      </w:r>
    </w:p>
    <w:p w14:paraId="3098D8F7" w14:textId="183AF928" w:rsidR="00AB1AAB" w:rsidRPr="00F7440D" w:rsidRDefault="00AB1AA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 контрольної групи пацієнтів</w:t>
      </w:r>
    </w:p>
    <w:tbl>
      <w:tblPr>
        <w:tblW w:w="9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5"/>
        <w:gridCol w:w="2181"/>
        <w:gridCol w:w="2067"/>
        <w:gridCol w:w="1891"/>
        <w:gridCol w:w="1557"/>
      </w:tblGrid>
      <w:tr w:rsidR="00AB1AAB" w:rsidRPr="00F7440D" w14:paraId="09F76D8C" w14:textId="77777777" w:rsidTr="00AB1AAB">
        <w:trPr>
          <w:trHeight w:val="255"/>
        </w:trPr>
        <w:tc>
          <w:tcPr>
            <w:tcW w:w="1885" w:type="dxa"/>
            <w:shd w:val="clear" w:color="auto" w:fill="auto"/>
            <w:noWrap/>
            <w:hideMark/>
          </w:tcPr>
          <w:p w14:paraId="72C83E44" w14:textId="77777777" w:rsidR="00AB1AAB" w:rsidRPr="00F7440D" w:rsidRDefault="00AB1AAB" w:rsidP="00F7440D">
            <w:pPr>
              <w:spacing w:after="0" w:line="360" w:lineRule="auto"/>
              <w:ind w:firstLine="709"/>
              <w:rPr>
                <w:rFonts w:ascii="Times New Roman" w:hAnsi="Times New Roman"/>
                <w:i/>
                <w:iCs/>
                <w:sz w:val="28"/>
                <w:szCs w:val="28"/>
                <w:lang w:val="ru-RU"/>
              </w:rPr>
            </w:pPr>
            <w:r w:rsidRPr="00F7440D">
              <w:rPr>
                <w:rFonts w:ascii="Times New Roman" w:hAnsi="Times New Roman"/>
                <w:i/>
                <w:iCs/>
                <w:sz w:val="28"/>
                <w:szCs w:val="28"/>
              </w:rPr>
              <w:t> </w:t>
            </w:r>
          </w:p>
        </w:tc>
        <w:tc>
          <w:tcPr>
            <w:tcW w:w="2181" w:type="dxa"/>
            <w:shd w:val="clear" w:color="auto" w:fill="auto"/>
            <w:noWrap/>
            <w:hideMark/>
          </w:tcPr>
          <w:p w14:paraId="07099BEF" w14:textId="77777777" w:rsidR="00AB1AAB" w:rsidRPr="00F7440D" w:rsidRDefault="00AB1AA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Коефіцієнти</w:t>
            </w:r>
          </w:p>
        </w:tc>
        <w:tc>
          <w:tcPr>
            <w:tcW w:w="2067" w:type="dxa"/>
            <w:shd w:val="clear" w:color="auto" w:fill="auto"/>
            <w:noWrap/>
            <w:hideMark/>
          </w:tcPr>
          <w:p w14:paraId="16AFE297" w14:textId="77777777" w:rsidR="00AB1AAB" w:rsidRPr="00F7440D" w:rsidRDefault="00AB1AAB" w:rsidP="00F7440D">
            <w:pPr>
              <w:spacing w:after="0" w:line="360" w:lineRule="auto"/>
              <w:rPr>
                <w:rFonts w:ascii="Times New Roman" w:hAnsi="Times New Roman"/>
                <w:i/>
                <w:iCs/>
                <w:sz w:val="28"/>
                <w:szCs w:val="28"/>
                <w:lang w:val="uk-UA"/>
              </w:rPr>
            </w:pPr>
            <w:r w:rsidRPr="00F7440D">
              <w:rPr>
                <w:rFonts w:ascii="Times New Roman" w:hAnsi="Times New Roman"/>
                <w:i/>
                <w:iCs/>
                <w:sz w:val="28"/>
                <w:szCs w:val="28"/>
                <w:lang w:val="uk-UA"/>
              </w:rPr>
              <w:t>Стандартна помилка</w:t>
            </w:r>
          </w:p>
        </w:tc>
        <w:tc>
          <w:tcPr>
            <w:tcW w:w="1891" w:type="dxa"/>
            <w:shd w:val="clear" w:color="auto" w:fill="auto"/>
            <w:noWrap/>
            <w:hideMark/>
          </w:tcPr>
          <w:p w14:paraId="74946842" w14:textId="77777777" w:rsidR="00AB1AAB" w:rsidRPr="00F7440D" w:rsidRDefault="00AB1AAB" w:rsidP="00F7440D">
            <w:pPr>
              <w:spacing w:after="0" w:line="360" w:lineRule="auto"/>
              <w:ind w:firstLine="709"/>
              <w:rPr>
                <w:rFonts w:ascii="Times New Roman" w:hAnsi="Times New Roman"/>
                <w:i/>
                <w:iCs/>
                <w:sz w:val="28"/>
                <w:szCs w:val="28"/>
              </w:rPr>
            </w:pPr>
            <w:r w:rsidRPr="00F7440D">
              <w:rPr>
                <w:rFonts w:ascii="Times New Roman" w:hAnsi="Times New Roman"/>
                <w:i/>
                <w:iCs/>
                <w:sz w:val="28"/>
                <w:szCs w:val="28"/>
              </w:rPr>
              <w:t>t-статистика</w:t>
            </w:r>
          </w:p>
        </w:tc>
        <w:tc>
          <w:tcPr>
            <w:tcW w:w="1557" w:type="dxa"/>
            <w:shd w:val="clear" w:color="auto" w:fill="auto"/>
            <w:noWrap/>
            <w:hideMark/>
          </w:tcPr>
          <w:p w14:paraId="7C70AF06" w14:textId="77777777" w:rsidR="00AB1AAB" w:rsidRPr="00F7440D" w:rsidRDefault="00AB1AAB" w:rsidP="00F7440D">
            <w:pPr>
              <w:spacing w:after="0" w:line="360" w:lineRule="auto"/>
              <w:ind w:firstLine="709"/>
              <w:rPr>
                <w:rFonts w:ascii="Times New Roman" w:hAnsi="Times New Roman"/>
                <w:i/>
                <w:iCs/>
                <w:sz w:val="28"/>
                <w:szCs w:val="28"/>
                <w:lang w:val="uk-UA"/>
              </w:rPr>
            </w:pPr>
            <w:r w:rsidRPr="00F7440D">
              <w:rPr>
                <w:rFonts w:ascii="Times New Roman" w:hAnsi="Times New Roman"/>
                <w:i/>
                <w:iCs/>
                <w:sz w:val="28"/>
                <w:szCs w:val="28"/>
              </w:rPr>
              <w:t>P-</w:t>
            </w:r>
            <w:r w:rsidRPr="00F7440D">
              <w:rPr>
                <w:rFonts w:ascii="Times New Roman" w:hAnsi="Times New Roman"/>
                <w:i/>
                <w:iCs/>
                <w:sz w:val="28"/>
                <w:szCs w:val="28"/>
                <w:lang w:val="uk-UA"/>
              </w:rPr>
              <w:t>значення</w:t>
            </w:r>
          </w:p>
        </w:tc>
      </w:tr>
      <w:tr w:rsidR="00AB1AAB" w:rsidRPr="00F7440D" w14:paraId="311F2D52" w14:textId="77777777" w:rsidTr="00AB1AAB">
        <w:trPr>
          <w:trHeight w:val="255"/>
        </w:trPr>
        <w:tc>
          <w:tcPr>
            <w:tcW w:w="1885" w:type="dxa"/>
            <w:shd w:val="clear" w:color="auto" w:fill="auto"/>
            <w:noWrap/>
            <w:hideMark/>
          </w:tcPr>
          <w:p w14:paraId="74324AC7"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rPr>
              <w:t>Y-пересічення</w:t>
            </w:r>
          </w:p>
        </w:tc>
        <w:tc>
          <w:tcPr>
            <w:tcW w:w="2181" w:type="dxa"/>
            <w:shd w:val="clear" w:color="auto" w:fill="auto"/>
            <w:noWrap/>
            <w:vAlign w:val="bottom"/>
            <w:hideMark/>
          </w:tcPr>
          <w:p w14:paraId="486BB9F7" w14:textId="16AABD27"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0.005732</w:t>
            </w:r>
          </w:p>
        </w:tc>
        <w:tc>
          <w:tcPr>
            <w:tcW w:w="2067" w:type="dxa"/>
            <w:shd w:val="clear" w:color="auto" w:fill="auto"/>
            <w:noWrap/>
            <w:vAlign w:val="bottom"/>
            <w:hideMark/>
          </w:tcPr>
          <w:p w14:paraId="67CA145E" w14:textId="0E88AAB4"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0.465559</w:t>
            </w:r>
          </w:p>
        </w:tc>
        <w:tc>
          <w:tcPr>
            <w:tcW w:w="1891" w:type="dxa"/>
            <w:shd w:val="clear" w:color="auto" w:fill="auto"/>
            <w:noWrap/>
            <w:vAlign w:val="bottom"/>
            <w:hideMark/>
          </w:tcPr>
          <w:p w14:paraId="4E7C399B" w14:textId="00651288"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0.012312</w:t>
            </w:r>
          </w:p>
        </w:tc>
        <w:tc>
          <w:tcPr>
            <w:tcW w:w="1557" w:type="dxa"/>
            <w:shd w:val="clear" w:color="auto" w:fill="auto"/>
            <w:noWrap/>
            <w:vAlign w:val="bottom"/>
            <w:hideMark/>
          </w:tcPr>
          <w:p w14:paraId="0EBAD8E3" w14:textId="3BA4CC35"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0.990249</w:t>
            </w:r>
          </w:p>
        </w:tc>
      </w:tr>
      <w:tr w:rsidR="00AB1AAB" w:rsidRPr="00F7440D" w14:paraId="6F314172" w14:textId="77777777" w:rsidTr="00AB1AAB">
        <w:trPr>
          <w:trHeight w:val="270"/>
        </w:trPr>
        <w:tc>
          <w:tcPr>
            <w:tcW w:w="1885" w:type="dxa"/>
            <w:shd w:val="clear" w:color="auto" w:fill="auto"/>
            <w:noWrap/>
            <w:hideMark/>
          </w:tcPr>
          <w:p w14:paraId="141A66C1" w14:textId="77777777" w:rsidR="00AB1AAB" w:rsidRPr="00F7440D" w:rsidRDefault="00AB1AAB" w:rsidP="00F7440D">
            <w:pPr>
              <w:spacing w:after="0" w:line="360" w:lineRule="auto"/>
              <w:rPr>
                <w:rFonts w:ascii="Times New Roman" w:hAnsi="Times New Roman"/>
                <w:sz w:val="28"/>
                <w:szCs w:val="28"/>
              </w:rPr>
            </w:pPr>
            <w:r w:rsidRPr="00F7440D">
              <w:rPr>
                <w:rFonts w:ascii="Times New Roman" w:hAnsi="Times New Roman"/>
                <w:sz w:val="28"/>
                <w:szCs w:val="28"/>
                <w:lang w:val="uk-UA"/>
              </w:rPr>
              <w:t>Змінна</w:t>
            </w:r>
            <w:r w:rsidRPr="00F7440D">
              <w:rPr>
                <w:rFonts w:ascii="Times New Roman" w:hAnsi="Times New Roman"/>
                <w:sz w:val="28"/>
                <w:szCs w:val="28"/>
              </w:rPr>
              <w:t xml:space="preserve"> X 1</w:t>
            </w:r>
          </w:p>
        </w:tc>
        <w:tc>
          <w:tcPr>
            <w:tcW w:w="2181" w:type="dxa"/>
            <w:shd w:val="clear" w:color="auto" w:fill="auto"/>
            <w:noWrap/>
            <w:vAlign w:val="bottom"/>
            <w:hideMark/>
          </w:tcPr>
          <w:p w14:paraId="53E4A3EC" w14:textId="3761FC30"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0.003838</w:t>
            </w:r>
          </w:p>
        </w:tc>
        <w:tc>
          <w:tcPr>
            <w:tcW w:w="2067" w:type="dxa"/>
            <w:shd w:val="clear" w:color="auto" w:fill="auto"/>
            <w:noWrap/>
            <w:vAlign w:val="bottom"/>
            <w:hideMark/>
          </w:tcPr>
          <w:p w14:paraId="05717C37" w14:textId="4338823D"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0.003757</w:t>
            </w:r>
          </w:p>
        </w:tc>
        <w:tc>
          <w:tcPr>
            <w:tcW w:w="1891" w:type="dxa"/>
            <w:shd w:val="clear" w:color="auto" w:fill="auto"/>
            <w:noWrap/>
            <w:vAlign w:val="bottom"/>
            <w:hideMark/>
          </w:tcPr>
          <w:p w14:paraId="6DB6F789" w14:textId="34131E4B"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1.021657</w:t>
            </w:r>
          </w:p>
        </w:tc>
        <w:tc>
          <w:tcPr>
            <w:tcW w:w="1557" w:type="dxa"/>
            <w:shd w:val="clear" w:color="auto" w:fill="auto"/>
            <w:noWrap/>
            <w:vAlign w:val="bottom"/>
            <w:hideMark/>
          </w:tcPr>
          <w:p w14:paraId="1F432D65" w14:textId="65B6E571" w:rsidR="00AB1AAB" w:rsidRPr="00F7440D" w:rsidRDefault="00AB1AAB" w:rsidP="00F7440D">
            <w:pPr>
              <w:spacing w:after="0" w:line="360" w:lineRule="auto"/>
              <w:rPr>
                <w:rFonts w:ascii="Times New Roman" w:hAnsi="Times New Roman" w:cs="Times New Roman"/>
                <w:sz w:val="28"/>
                <w:szCs w:val="28"/>
              </w:rPr>
            </w:pPr>
            <w:r w:rsidRPr="00F7440D">
              <w:rPr>
                <w:rFonts w:ascii="Times New Roman" w:hAnsi="Times New Roman" w:cs="Times New Roman"/>
                <w:sz w:val="28"/>
                <w:szCs w:val="28"/>
              </w:rPr>
              <w:t>0.314158</w:t>
            </w:r>
          </w:p>
        </w:tc>
      </w:tr>
    </w:tbl>
    <w:p w14:paraId="4FA8B6BD" w14:textId="77777777" w:rsidR="00AB1AAB" w:rsidRPr="00F7440D" w:rsidRDefault="00AB1AAB" w:rsidP="00F7440D">
      <w:pPr>
        <w:spacing w:after="0" w:line="360" w:lineRule="auto"/>
        <w:ind w:firstLine="709"/>
        <w:rPr>
          <w:rFonts w:ascii="Times New Roman" w:hAnsi="Times New Roman"/>
          <w:sz w:val="28"/>
          <w:szCs w:val="28"/>
          <w:lang w:val="ru-RU"/>
        </w:rPr>
      </w:pPr>
    </w:p>
    <w:p w14:paraId="7773E620" w14:textId="77777777" w:rsidR="00112933" w:rsidRPr="00F7440D"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Достовірність за рівнем значущості критерію Фішера (Значимість F) дорівнює 0,31, що означає, що модель значима.</w:t>
      </w:r>
    </w:p>
    <w:p w14:paraId="19EEC122" w14:textId="0AFFFB6B" w:rsidR="00112933" w:rsidRPr="00112933" w:rsidRDefault="00112933" w:rsidP="00112933">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Ступінь точності опису моделлю процесу R-квадрат дорівнює 0,03, що говорить про низьку точність апроксимації, що говорить про те, що побудована модель не може бути використана для опису процесу.</w:t>
      </w:r>
    </w:p>
    <w:p w14:paraId="257F2DCE" w14:textId="2420763B" w:rsidR="00AB1AAB" w:rsidRPr="00F7440D" w:rsidRDefault="00A7399B"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ru-RU"/>
        </w:rPr>
        <w:t>Таким чином, висновком регресійного аналізу даних є відсутність залежності індексу кровоточивості ясен та та рівня секреторного імуноглобуліну А у соматично здорових дітей. Порівняння даних регресійного аналізу рівня секреторного імуноглобуліну А у першій та п'ятій групах пацієнтів довів, що на тлі атопічних захворювань страждає імунна ланка патогенезу захворювань пародонту. При цьому ступінь запалення залежить від значень рівня імуноглобуліну. Важливим фактом є те, що згідно з отриманими даними страждає як мукозальний, так і загальний імунітет, що відображається на стані тканин пародонту.</w:t>
      </w:r>
    </w:p>
    <w:p w14:paraId="1B0D0FE1" w14:textId="77777777" w:rsidR="00AB1AAB" w:rsidRPr="00F7440D" w:rsidRDefault="00AB1AAB" w:rsidP="00F7440D">
      <w:pPr>
        <w:spacing w:after="0" w:line="360" w:lineRule="auto"/>
        <w:ind w:firstLine="709"/>
        <w:jc w:val="both"/>
        <w:rPr>
          <w:rFonts w:ascii="Times New Roman" w:hAnsi="Times New Roman" w:cs="Times New Roman"/>
          <w:sz w:val="28"/>
          <w:szCs w:val="28"/>
          <w:lang w:val="uk-UA"/>
        </w:rPr>
      </w:pPr>
    </w:p>
    <w:p w14:paraId="08E90789" w14:textId="52BE2FEC" w:rsidR="005A222F" w:rsidRPr="00F7440D" w:rsidRDefault="005A222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 xml:space="preserve">Ще одним з показників стану імунної системи є рівень імуноглобуліну </w:t>
      </w:r>
      <w:r w:rsidRPr="00F7440D">
        <w:rPr>
          <w:rFonts w:ascii="Times New Roman" w:hAnsi="Times New Roman"/>
          <w:sz w:val="28"/>
          <w:szCs w:val="28"/>
        </w:rPr>
        <w:t>G</w:t>
      </w:r>
      <w:r w:rsidRPr="00F7440D">
        <w:rPr>
          <w:rFonts w:ascii="Times New Roman" w:hAnsi="Times New Roman"/>
          <w:sz w:val="28"/>
          <w:szCs w:val="28"/>
          <w:lang w:val="uk-UA"/>
        </w:rPr>
        <w:t>. Метою регресі</w:t>
      </w:r>
      <w:r w:rsidR="00475F9A" w:rsidRPr="00F7440D">
        <w:rPr>
          <w:rFonts w:ascii="Times New Roman" w:hAnsi="Times New Roman"/>
          <w:sz w:val="28"/>
          <w:szCs w:val="28"/>
          <w:lang w:val="uk-UA"/>
        </w:rPr>
        <w:t>й</w:t>
      </w:r>
      <w:r w:rsidRPr="00F7440D">
        <w:rPr>
          <w:rFonts w:ascii="Times New Roman" w:hAnsi="Times New Roman"/>
          <w:sz w:val="28"/>
          <w:szCs w:val="28"/>
          <w:lang w:val="uk-UA"/>
        </w:rPr>
        <w:t xml:space="preserve">ного аналізу даного показника було дослідити наявність залежності запалення тканин пародонту згідно з індексом </w:t>
      </w:r>
      <w:r w:rsidRPr="00F7440D">
        <w:rPr>
          <w:rFonts w:ascii="Times New Roman" w:hAnsi="Times New Roman"/>
          <w:sz w:val="28"/>
          <w:szCs w:val="28"/>
        </w:rPr>
        <w:t>SBI</w:t>
      </w:r>
      <w:r w:rsidRPr="00F7440D">
        <w:rPr>
          <w:rFonts w:ascii="Times New Roman" w:hAnsi="Times New Roman"/>
          <w:sz w:val="28"/>
          <w:szCs w:val="28"/>
          <w:lang w:val="uk-UA"/>
        </w:rPr>
        <w:t xml:space="preserve">, а також порівняти якість отриманого рівняння лінійної регресії з рівняннями імуноглобулінів інших класів. </w:t>
      </w:r>
    </w:p>
    <w:p w14:paraId="5ACEE7B8" w14:textId="6860E218" w:rsidR="00364EDD" w:rsidRPr="00F7440D" w:rsidRDefault="005A222F"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Дл</w:t>
      </w:r>
      <w:r w:rsidR="00143337" w:rsidRPr="00F7440D">
        <w:rPr>
          <w:rFonts w:ascii="Times New Roman" w:hAnsi="Times New Roman"/>
          <w:sz w:val="28"/>
          <w:szCs w:val="28"/>
          <w:lang w:val="uk-UA"/>
        </w:rPr>
        <w:t xml:space="preserve">я проведення регресійного аналізу нами була обрана перша група пацієнтів, серед яких був діагностований хронічний гінгівіт та атопічні захворювання. </w:t>
      </w:r>
      <w:r w:rsidR="00364EDD" w:rsidRPr="00F7440D">
        <w:rPr>
          <w:rFonts w:ascii="Times New Roman" w:hAnsi="Times New Roman"/>
          <w:sz w:val="28"/>
          <w:szCs w:val="28"/>
          <w:lang w:val="uk-UA"/>
        </w:rPr>
        <w:t>Згідно з отриманими даними середній рівень кровоточивості ясен за індексом H.R. Muh</w:t>
      </w:r>
      <w:r w:rsidRPr="00F7440D">
        <w:rPr>
          <w:rFonts w:ascii="Times New Roman" w:hAnsi="Times New Roman"/>
          <w:sz w:val="28"/>
          <w:szCs w:val="28"/>
          <w:lang w:val="uk-UA"/>
        </w:rPr>
        <w:t>lemann та S. Son дорівнював 3.42</w:t>
      </w:r>
      <w:r w:rsidR="00364EDD" w:rsidRPr="00F7440D">
        <w:rPr>
          <w:rFonts w:ascii="Times New Roman" w:hAnsi="Times New Roman"/>
          <w:sz w:val="28"/>
          <w:szCs w:val="28"/>
          <w:lang w:val="uk-UA"/>
        </w:rPr>
        <w:t xml:space="preserve">±0.42 балам, що свідчить про доволі високий рівень кровоточивості та відповідно про наявність процесів запалення у тканинах пародонту. Середній рівень </w:t>
      </w:r>
      <w:r w:rsidR="00364EDD" w:rsidRPr="00F7440D">
        <w:rPr>
          <w:rFonts w:ascii="Times New Roman" w:hAnsi="Times New Roman"/>
          <w:sz w:val="28"/>
          <w:szCs w:val="28"/>
        </w:rPr>
        <w:t>IgG</w:t>
      </w:r>
      <w:r w:rsidR="00364EDD" w:rsidRPr="00F7440D">
        <w:rPr>
          <w:rFonts w:ascii="Times New Roman" w:hAnsi="Times New Roman"/>
          <w:sz w:val="28"/>
          <w:szCs w:val="28"/>
          <w:lang w:val="uk-UA"/>
        </w:rPr>
        <w:t xml:space="preserve"> дорівнював </w:t>
      </w:r>
      <w:r w:rsidRPr="00F7440D">
        <w:rPr>
          <w:rFonts w:ascii="Times New Roman" w:hAnsi="Times New Roman"/>
          <w:sz w:val="28"/>
          <w:szCs w:val="28"/>
          <w:lang w:val="uk-UA"/>
        </w:rPr>
        <w:t xml:space="preserve">1.72 </w:t>
      </w:r>
      <w:r w:rsidRPr="00F7440D">
        <w:rPr>
          <w:rFonts w:ascii="Times New Roman" w:hAnsi="Times New Roman" w:cs="Times New Roman"/>
          <w:sz w:val="28"/>
          <w:szCs w:val="28"/>
          <w:lang w:val="uk-UA"/>
        </w:rPr>
        <w:t xml:space="preserve">± </w:t>
      </w:r>
      <w:r w:rsidRPr="00F7440D">
        <w:rPr>
          <w:rFonts w:ascii="Times New Roman" w:hAnsi="Times New Roman"/>
          <w:sz w:val="28"/>
          <w:szCs w:val="28"/>
          <w:lang w:val="uk-UA"/>
        </w:rPr>
        <w:t xml:space="preserve">0.49 </w:t>
      </w:r>
      <w:r w:rsidR="00364EDD" w:rsidRPr="00F7440D">
        <w:rPr>
          <w:rFonts w:ascii="Times New Roman" w:hAnsi="Times New Roman"/>
          <w:sz w:val="28"/>
          <w:szCs w:val="28"/>
          <w:lang w:val="uk-UA"/>
        </w:rPr>
        <w:t xml:space="preserve">г/л. </w:t>
      </w:r>
      <w:r w:rsidRPr="00F7440D">
        <w:rPr>
          <w:rFonts w:ascii="Times New Roman" w:hAnsi="Times New Roman"/>
          <w:sz w:val="28"/>
          <w:szCs w:val="28"/>
          <w:lang w:val="uk-UA"/>
        </w:rPr>
        <w:t>Результати отриманих даних регресійно</w:t>
      </w:r>
      <w:r w:rsidR="00E9728E" w:rsidRPr="00F7440D">
        <w:rPr>
          <w:rFonts w:ascii="Times New Roman" w:hAnsi="Times New Roman"/>
          <w:sz w:val="28"/>
          <w:szCs w:val="28"/>
          <w:lang w:val="uk-UA"/>
        </w:rPr>
        <w:t>го аналізу наведені у таблицях 8.17, 8.18, 8</w:t>
      </w:r>
      <w:r w:rsidRPr="00F7440D">
        <w:rPr>
          <w:rFonts w:ascii="Times New Roman" w:hAnsi="Times New Roman"/>
          <w:sz w:val="28"/>
          <w:szCs w:val="28"/>
          <w:lang w:val="uk-UA"/>
        </w:rPr>
        <w:t>.19.</w:t>
      </w:r>
    </w:p>
    <w:p w14:paraId="195CE02F" w14:textId="77777777" w:rsidR="00112933" w:rsidRDefault="00112933" w:rsidP="00F7440D">
      <w:pPr>
        <w:spacing w:after="0" w:line="360" w:lineRule="auto"/>
        <w:ind w:firstLine="709"/>
        <w:jc w:val="right"/>
        <w:rPr>
          <w:rFonts w:ascii="Times New Roman" w:hAnsi="Times New Roman"/>
          <w:sz w:val="28"/>
          <w:szCs w:val="28"/>
          <w:lang w:val="uk-UA"/>
        </w:rPr>
      </w:pPr>
    </w:p>
    <w:p w14:paraId="1B113A47" w14:textId="77777777" w:rsidR="00112933" w:rsidRDefault="00112933" w:rsidP="00F7440D">
      <w:pPr>
        <w:spacing w:after="0" w:line="360" w:lineRule="auto"/>
        <w:ind w:firstLine="709"/>
        <w:jc w:val="right"/>
        <w:rPr>
          <w:rFonts w:ascii="Times New Roman" w:hAnsi="Times New Roman"/>
          <w:sz w:val="28"/>
          <w:szCs w:val="28"/>
          <w:lang w:val="uk-UA"/>
        </w:rPr>
      </w:pPr>
    </w:p>
    <w:p w14:paraId="6CED04A4" w14:textId="7E120C28" w:rsidR="00143337" w:rsidRPr="00F7440D" w:rsidRDefault="00364EDD"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00143337" w:rsidRPr="00F7440D">
        <w:rPr>
          <w:rFonts w:ascii="Times New Roman" w:hAnsi="Times New Roman"/>
          <w:sz w:val="28"/>
          <w:szCs w:val="28"/>
          <w:lang w:val="uk-UA"/>
        </w:rPr>
        <w:t>.</w:t>
      </w:r>
      <w:r w:rsidRPr="00F7440D">
        <w:rPr>
          <w:rFonts w:ascii="Times New Roman" w:hAnsi="Times New Roman"/>
          <w:sz w:val="28"/>
          <w:szCs w:val="28"/>
          <w:lang w:val="uk-UA"/>
        </w:rPr>
        <w:t>1</w:t>
      </w:r>
      <w:r w:rsidR="00143337" w:rsidRPr="00F7440D">
        <w:rPr>
          <w:rFonts w:ascii="Times New Roman" w:hAnsi="Times New Roman"/>
          <w:sz w:val="28"/>
          <w:szCs w:val="28"/>
          <w:lang w:val="uk-UA"/>
        </w:rPr>
        <w:t>7</w:t>
      </w:r>
    </w:p>
    <w:p w14:paraId="4E9C5642" w14:textId="5BD801C9"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w:t>
      </w:r>
      <w:r w:rsidR="00143337" w:rsidRPr="00F7440D">
        <w:rPr>
          <w:rFonts w:ascii="Times New Roman" w:hAnsi="Times New Roman"/>
          <w:sz w:val="28"/>
          <w:szCs w:val="28"/>
          <w:lang w:val="uk-UA"/>
        </w:rPr>
        <w:t xml:space="preserve"> рівнів імуноглобуліну </w:t>
      </w:r>
      <w:r w:rsidR="00143337" w:rsidRPr="00F7440D">
        <w:rPr>
          <w:rFonts w:ascii="Times New Roman" w:hAnsi="Times New Roman"/>
          <w:sz w:val="28"/>
          <w:szCs w:val="28"/>
        </w:rPr>
        <w:t>G</w:t>
      </w:r>
      <w:r w:rsidR="00143337" w:rsidRPr="00F7440D">
        <w:rPr>
          <w:rFonts w:ascii="Times New Roman" w:hAnsi="Times New Roman"/>
          <w:sz w:val="28"/>
          <w:szCs w:val="28"/>
          <w:lang w:val="uk-UA"/>
        </w:rPr>
        <w:t xml:space="preserve"> та індексу </w:t>
      </w:r>
      <w:r w:rsidR="00143337" w:rsidRPr="00F7440D">
        <w:rPr>
          <w:rFonts w:ascii="Times New Roman" w:hAnsi="Times New Roman"/>
          <w:sz w:val="28"/>
          <w:szCs w:val="28"/>
        </w:rPr>
        <w:t>SBI</w:t>
      </w:r>
      <w:r w:rsidR="00143337" w:rsidRPr="00F7440D">
        <w:rPr>
          <w:rFonts w:ascii="Times New Roman" w:hAnsi="Times New Roman"/>
          <w:sz w:val="28"/>
          <w:szCs w:val="28"/>
          <w:lang w:val="uk-UA"/>
        </w:rPr>
        <w:t xml:space="preserve"> у першій групі пацієнтів</w:t>
      </w:r>
    </w:p>
    <w:tbl>
      <w:tblPr>
        <w:tblStyle w:val="TableGrid"/>
        <w:tblW w:w="0" w:type="auto"/>
        <w:tblLook w:val="04A0" w:firstRow="1" w:lastRow="0" w:firstColumn="1" w:lastColumn="0" w:noHBand="0" w:noVBand="1"/>
      </w:tblPr>
      <w:tblGrid>
        <w:gridCol w:w="5559"/>
        <w:gridCol w:w="3756"/>
      </w:tblGrid>
      <w:tr w:rsidR="00364EDD" w:rsidRPr="00F7440D" w14:paraId="22A8BC5B" w14:textId="77777777" w:rsidTr="00573865">
        <w:trPr>
          <w:trHeight w:val="214"/>
        </w:trPr>
        <w:tc>
          <w:tcPr>
            <w:tcW w:w="9315" w:type="dxa"/>
            <w:gridSpan w:val="2"/>
            <w:noWrap/>
            <w:hideMark/>
          </w:tcPr>
          <w:p w14:paraId="5EA608B4" w14:textId="77777777" w:rsidR="00364EDD" w:rsidRPr="00F7440D" w:rsidRDefault="00364EDD"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364EDD" w:rsidRPr="00F7440D" w14:paraId="1CD8AECC" w14:textId="77777777" w:rsidTr="00573865">
        <w:trPr>
          <w:trHeight w:val="214"/>
        </w:trPr>
        <w:tc>
          <w:tcPr>
            <w:tcW w:w="5559" w:type="dxa"/>
            <w:noWrap/>
            <w:hideMark/>
          </w:tcPr>
          <w:p w14:paraId="3E4EB62A"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hideMark/>
          </w:tcPr>
          <w:p w14:paraId="6CAF518E"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0.90689</w:t>
            </w:r>
          </w:p>
        </w:tc>
      </w:tr>
      <w:tr w:rsidR="00364EDD" w:rsidRPr="00F7440D" w14:paraId="1491ED38" w14:textId="77777777" w:rsidTr="00573865">
        <w:trPr>
          <w:trHeight w:val="214"/>
        </w:trPr>
        <w:tc>
          <w:tcPr>
            <w:tcW w:w="5559" w:type="dxa"/>
            <w:noWrap/>
            <w:hideMark/>
          </w:tcPr>
          <w:p w14:paraId="3FB6857A"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hideMark/>
          </w:tcPr>
          <w:p w14:paraId="582B6A18"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0.82245</w:t>
            </w:r>
          </w:p>
        </w:tc>
      </w:tr>
      <w:tr w:rsidR="00364EDD" w:rsidRPr="00F7440D" w14:paraId="46BD0686" w14:textId="77777777" w:rsidTr="00573865">
        <w:trPr>
          <w:trHeight w:val="214"/>
        </w:trPr>
        <w:tc>
          <w:tcPr>
            <w:tcW w:w="5559" w:type="dxa"/>
            <w:noWrap/>
            <w:hideMark/>
          </w:tcPr>
          <w:p w14:paraId="3D46304C" w14:textId="77777777" w:rsidR="00364EDD" w:rsidRPr="00F7440D" w:rsidRDefault="00364EDD"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hideMark/>
          </w:tcPr>
          <w:p w14:paraId="48B79ADE" w14:textId="77777777" w:rsidR="00364EDD" w:rsidRPr="00F7440D" w:rsidRDefault="00364EDD" w:rsidP="00F7440D">
            <w:pPr>
              <w:spacing w:line="360" w:lineRule="auto"/>
              <w:ind w:firstLine="709"/>
              <w:rPr>
                <w:rFonts w:eastAsiaTheme="minorHAnsi"/>
                <w:sz w:val="28"/>
                <w:szCs w:val="28"/>
                <w:lang w:val="uk-UA"/>
              </w:rPr>
            </w:pPr>
            <w:r w:rsidRPr="00F7440D">
              <w:rPr>
                <w:rFonts w:eastAsiaTheme="minorHAnsi"/>
                <w:sz w:val="28"/>
                <w:szCs w:val="28"/>
                <w:lang w:val="uk-UA"/>
              </w:rPr>
              <w:t>0.818119</w:t>
            </w:r>
          </w:p>
        </w:tc>
      </w:tr>
      <w:tr w:rsidR="00364EDD" w:rsidRPr="00F7440D" w14:paraId="29218B13" w14:textId="77777777" w:rsidTr="00573865">
        <w:trPr>
          <w:trHeight w:val="214"/>
        </w:trPr>
        <w:tc>
          <w:tcPr>
            <w:tcW w:w="5559" w:type="dxa"/>
            <w:noWrap/>
            <w:hideMark/>
          </w:tcPr>
          <w:p w14:paraId="5CB00E48" w14:textId="77777777" w:rsidR="00364EDD" w:rsidRPr="00F7440D" w:rsidRDefault="00364EDD"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hideMark/>
          </w:tcPr>
          <w:p w14:paraId="6920C48F" w14:textId="77777777" w:rsidR="00364EDD" w:rsidRPr="00F7440D" w:rsidRDefault="00364EDD" w:rsidP="00F7440D">
            <w:pPr>
              <w:spacing w:line="360" w:lineRule="auto"/>
              <w:ind w:firstLine="709"/>
              <w:rPr>
                <w:rFonts w:eastAsiaTheme="minorHAnsi"/>
                <w:sz w:val="28"/>
                <w:szCs w:val="28"/>
              </w:rPr>
            </w:pPr>
            <w:r w:rsidRPr="00F7440D">
              <w:rPr>
                <w:rFonts w:eastAsiaTheme="minorHAnsi"/>
                <w:sz w:val="28"/>
                <w:szCs w:val="28"/>
              </w:rPr>
              <w:t>0.19452</w:t>
            </w:r>
          </w:p>
        </w:tc>
      </w:tr>
      <w:tr w:rsidR="00364EDD" w:rsidRPr="00F7440D" w14:paraId="6CD85FE8" w14:textId="77777777" w:rsidTr="00573865">
        <w:trPr>
          <w:trHeight w:val="226"/>
        </w:trPr>
        <w:tc>
          <w:tcPr>
            <w:tcW w:w="5559" w:type="dxa"/>
            <w:noWrap/>
            <w:hideMark/>
          </w:tcPr>
          <w:p w14:paraId="06E12BAD" w14:textId="77777777" w:rsidR="00364EDD" w:rsidRPr="00F7440D" w:rsidRDefault="00364EDD"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hideMark/>
          </w:tcPr>
          <w:p w14:paraId="0755422D" w14:textId="0A414608" w:rsidR="00364EDD" w:rsidRPr="00F7440D" w:rsidRDefault="005A222F" w:rsidP="00F7440D">
            <w:pPr>
              <w:spacing w:line="360" w:lineRule="auto"/>
              <w:ind w:firstLine="709"/>
              <w:rPr>
                <w:rFonts w:eastAsiaTheme="minorHAnsi"/>
                <w:sz w:val="28"/>
                <w:szCs w:val="28"/>
              </w:rPr>
            </w:pPr>
            <w:r w:rsidRPr="00F7440D">
              <w:rPr>
                <w:rFonts w:eastAsiaTheme="minorHAnsi"/>
                <w:sz w:val="28"/>
                <w:szCs w:val="28"/>
              </w:rPr>
              <w:t>76</w:t>
            </w:r>
          </w:p>
        </w:tc>
      </w:tr>
    </w:tbl>
    <w:p w14:paraId="43E443E3" w14:textId="77777777" w:rsidR="00364EDD" w:rsidRPr="00F7440D" w:rsidRDefault="00364EDD" w:rsidP="00F7440D">
      <w:pPr>
        <w:spacing w:after="0" w:line="360" w:lineRule="auto"/>
        <w:ind w:firstLine="709"/>
        <w:rPr>
          <w:rFonts w:ascii="Times New Roman" w:hAnsi="Times New Roman"/>
          <w:sz w:val="28"/>
          <w:szCs w:val="28"/>
          <w:lang w:val="ru-RU"/>
        </w:rPr>
      </w:pPr>
    </w:p>
    <w:p w14:paraId="1C2B926D" w14:textId="795E5195" w:rsidR="000728CB" w:rsidRPr="00F7440D" w:rsidRDefault="00143337" w:rsidP="00F7440D">
      <w:pPr>
        <w:spacing w:after="0" w:line="360" w:lineRule="auto"/>
        <w:ind w:firstLine="709"/>
        <w:jc w:val="both"/>
        <w:rPr>
          <w:rFonts w:ascii="Times New Roman" w:hAnsi="Times New Roman"/>
          <w:sz w:val="28"/>
          <w:szCs w:val="28"/>
          <w:lang w:val="ru-RU"/>
        </w:rPr>
      </w:pPr>
      <w:r w:rsidRPr="00F7440D">
        <w:rPr>
          <w:rFonts w:ascii="Times New Roman" w:hAnsi="Times New Roman"/>
          <w:sz w:val="28"/>
          <w:szCs w:val="28"/>
          <w:lang w:val="uk-UA"/>
        </w:rPr>
        <w:t xml:space="preserve">Коефіцієнт детермінації </w:t>
      </w:r>
      <w:r w:rsidR="00364EDD" w:rsidRPr="00F7440D">
        <w:rPr>
          <w:rFonts w:ascii="Times New Roman" w:hAnsi="Times New Roman"/>
          <w:sz w:val="28"/>
          <w:szCs w:val="28"/>
        </w:rPr>
        <w:t>R</w:t>
      </w:r>
      <w:r w:rsidR="00364EDD" w:rsidRPr="00F7440D">
        <w:rPr>
          <w:rFonts w:ascii="Times New Roman" w:hAnsi="Times New Roman"/>
          <w:sz w:val="28"/>
          <w:szCs w:val="28"/>
          <w:lang w:val="uk-UA"/>
        </w:rPr>
        <w:t>-квадрат</w:t>
      </w:r>
      <w:r w:rsidRPr="00F7440D">
        <w:rPr>
          <w:rFonts w:ascii="Times New Roman" w:hAnsi="Times New Roman"/>
          <w:sz w:val="28"/>
          <w:szCs w:val="28"/>
          <w:lang w:val="uk-UA"/>
        </w:rPr>
        <w:t xml:space="preserve"> дорівнював 0,82, що робить можливим використання результатів регресійного аналізу та прогнозу за допомогою рівняння регресії</w:t>
      </w:r>
      <w:r w:rsidR="00364EDD" w:rsidRPr="00F7440D">
        <w:rPr>
          <w:rFonts w:ascii="Times New Roman" w:hAnsi="Times New Roman"/>
          <w:sz w:val="28"/>
          <w:szCs w:val="28"/>
          <w:lang w:val="uk-UA"/>
        </w:rPr>
        <w:t xml:space="preserve">. </w:t>
      </w:r>
    </w:p>
    <w:p w14:paraId="6871BB8C" w14:textId="0349ACD0" w:rsidR="00475F9A"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364EDD" w:rsidRPr="00F7440D">
        <w:rPr>
          <w:rFonts w:ascii="Times New Roman" w:hAnsi="Times New Roman"/>
          <w:sz w:val="28"/>
          <w:szCs w:val="28"/>
          <w:lang w:val="uk-UA"/>
        </w:rPr>
        <w:t>.</w:t>
      </w:r>
      <w:r w:rsidR="00475F9A" w:rsidRPr="00F7440D">
        <w:rPr>
          <w:rFonts w:ascii="Times New Roman" w:hAnsi="Times New Roman"/>
          <w:sz w:val="28"/>
          <w:szCs w:val="28"/>
          <w:lang w:val="uk-UA"/>
        </w:rPr>
        <w:t>18</w:t>
      </w:r>
      <w:r w:rsidR="00364EDD" w:rsidRPr="00F7440D">
        <w:rPr>
          <w:rFonts w:ascii="Times New Roman" w:hAnsi="Times New Roman"/>
          <w:sz w:val="28"/>
          <w:szCs w:val="28"/>
          <w:lang w:val="uk-UA"/>
        </w:rPr>
        <w:t xml:space="preserve"> </w:t>
      </w:r>
    </w:p>
    <w:p w14:paraId="412A3E5A" w14:textId="24F7E658"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w:t>
      </w:r>
      <w:r w:rsidR="00475F9A" w:rsidRPr="00F7440D">
        <w:rPr>
          <w:rFonts w:ascii="Times New Roman" w:hAnsi="Times New Roman"/>
          <w:sz w:val="28"/>
          <w:szCs w:val="28"/>
          <w:lang w:val="uk-UA"/>
        </w:rPr>
        <w:t xml:space="preserve"> регресійної статистики рівнів імуноглобуліну </w:t>
      </w:r>
      <w:r w:rsidR="00475F9A" w:rsidRPr="00F7440D">
        <w:rPr>
          <w:rFonts w:ascii="Times New Roman" w:hAnsi="Times New Roman"/>
          <w:sz w:val="28"/>
          <w:szCs w:val="28"/>
        </w:rPr>
        <w:t>G</w:t>
      </w:r>
      <w:r w:rsidR="00475F9A" w:rsidRPr="00F7440D">
        <w:rPr>
          <w:rFonts w:ascii="Times New Roman" w:hAnsi="Times New Roman"/>
          <w:sz w:val="28"/>
          <w:szCs w:val="28"/>
          <w:lang w:val="uk-UA"/>
        </w:rPr>
        <w:t xml:space="preserve"> та індексу </w:t>
      </w:r>
      <w:r w:rsidR="00475F9A" w:rsidRPr="00F7440D">
        <w:rPr>
          <w:rFonts w:ascii="Times New Roman" w:hAnsi="Times New Roman"/>
          <w:sz w:val="28"/>
          <w:szCs w:val="28"/>
        </w:rPr>
        <w:t>SBI</w:t>
      </w:r>
      <w:r w:rsidR="00475F9A" w:rsidRPr="00F7440D">
        <w:rPr>
          <w:rFonts w:ascii="Times New Roman" w:hAnsi="Times New Roman"/>
          <w:sz w:val="28"/>
          <w:szCs w:val="28"/>
          <w:lang w:val="uk-UA"/>
        </w:rPr>
        <w:t xml:space="preserve"> у першій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364EDD" w:rsidRPr="00F7440D" w14:paraId="0CD37B26" w14:textId="77777777" w:rsidTr="00573865">
        <w:trPr>
          <w:trHeight w:val="269"/>
        </w:trPr>
        <w:tc>
          <w:tcPr>
            <w:tcW w:w="1668" w:type="dxa"/>
            <w:noWrap/>
            <w:hideMark/>
          </w:tcPr>
          <w:p w14:paraId="0CA6E12F" w14:textId="77777777" w:rsidR="00364EDD" w:rsidRPr="00F7440D" w:rsidRDefault="00364EDD"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79197D6C"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df</w:t>
            </w:r>
          </w:p>
        </w:tc>
        <w:tc>
          <w:tcPr>
            <w:tcW w:w="1505" w:type="dxa"/>
            <w:noWrap/>
            <w:hideMark/>
          </w:tcPr>
          <w:p w14:paraId="61ED7EA9"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SS</w:t>
            </w:r>
          </w:p>
        </w:tc>
        <w:tc>
          <w:tcPr>
            <w:tcW w:w="1505" w:type="dxa"/>
            <w:noWrap/>
            <w:hideMark/>
          </w:tcPr>
          <w:p w14:paraId="6F20FEEB"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MS</w:t>
            </w:r>
          </w:p>
        </w:tc>
        <w:tc>
          <w:tcPr>
            <w:tcW w:w="1505" w:type="dxa"/>
            <w:noWrap/>
            <w:hideMark/>
          </w:tcPr>
          <w:p w14:paraId="5FE0824B"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F</w:t>
            </w:r>
          </w:p>
        </w:tc>
        <w:tc>
          <w:tcPr>
            <w:tcW w:w="1997" w:type="dxa"/>
            <w:noWrap/>
            <w:hideMark/>
          </w:tcPr>
          <w:p w14:paraId="42F35A14" w14:textId="77777777" w:rsidR="00364EDD" w:rsidRPr="00F7440D" w:rsidRDefault="00364EDD" w:rsidP="00F7440D">
            <w:pPr>
              <w:spacing w:line="360" w:lineRule="auto"/>
              <w:jc w:val="center"/>
              <w:rPr>
                <w:rFonts w:eastAsia="Times New Roman"/>
                <w:i/>
                <w:iCs/>
                <w:sz w:val="28"/>
                <w:szCs w:val="28"/>
              </w:rPr>
            </w:pPr>
            <w:r w:rsidRPr="00F7440D">
              <w:rPr>
                <w:rFonts w:eastAsia="Times New Roman"/>
                <w:i/>
                <w:iCs/>
                <w:sz w:val="28"/>
                <w:szCs w:val="28"/>
              </w:rPr>
              <w:t>Значимість F</w:t>
            </w:r>
          </w:p>
        </w:tc>
      </w:tr>
      <w:tr w:rsidR="00364EDD" w:rsidRPr="00F7440D" w14:paraId="1BAD0B01" w14:textId="77777777" w:rsidTr="00573865">
        <w:trPr>
          <w:trHeight w:val="269"/>
        </w:trPr>
        <w:tc>
          <w:tcPr>
            <w:tcW w:w="1668" w:type="dxa"/>
            <w:noWrap/>
            <w:hideMark/>
          </w:tcPr>
          <w:p w14:paraId="28281807"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hideMark/>
          </w:tcPr>
          <w:p w14:paraId="252E995D"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1</w:t>
            </w:r>
          </w:p>
        </w:tc>
        <w:tc>
          <w:tcPr>
            <w:tcW w:w="1505" w:type="dxa"/>
            <w:noWrap/>
            <w:hideMark/>
          </w:tcPr>
          <w:p w14:paraId="07BE4FF1"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7.186194</w:t>
            </w:r>
          </w:p>
        </w:tc>
        <w:tc>
          <w:tcPr>
            <w:tcW w:w="1505" w:type="dxa"/>
            <w:noWrap/>
            <w:hideMark/>
          </w:tcPr>
          <w:p w14:paraId="2B0D8B25"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7.186194</w:t>
            </w:r>
          </w:p>
        </w:tc>
        <w:tc>
          <w:tcPr>
            <w:tcW w:w="1505" w:type="dxa"/>
            <w:noWrap/>
            <w:hideMark/>
          </w:tcPr>
          <w:p w14:paraId="419FE5EE" w14:textId="2C6C1273" w:rsidR="00364EDD" w:rsidRPr="00F7440D" w:rsidRDefault="00475F9A" w:rsidP="00F7440D">
            <w:pPr>
              <w:spacing w:line="360" w:lineRule="auto"/>
              <w:jc w:val="right"/>
              <w:rPr>
                <w:rFonts w:eastAsia="Times New Roman"/>
                <w:sz w:val="28"/>
                <w:szCs w:val="28"/>
              </w:rPr>
            </w:pPr>
            <w:r w:rsidRPr="00F7440D">
              <w:rPr>
                <w:rFonts w:eastAsia="Times New Roman"/>
                <w:sz w:val="28"/>
                <w:szCs w:val="28"/>
              </w:rPr>
              <w:t>18.9</w:t>
            </w:r>
            <w:r w:rsidR="00364EDD" w:rsidRPr="00F7440D">
              <w:rPr>
                <w:rFonts w:eastAsia="Times New Roman"/>
                <w:sz w:val="28"/>
                <w:szCs w:val="28"/>
              </w:rPr>
              <w:t>9205</w:t>
            </w:r>
          </w:p>
        </w:tc>
        <w:tc>
          <w:tcPr>
            <w:tcW w:w="1997" w:type="dxa"/>
            <w:noWrap/>
            <w:hideMark/>
          </w:tcPr>
          <w:p w14:paraId="2E44ACFC"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5.55E-17</w:t>
            </w:r>
          </w:p>
        </w:tc>
      </w:tr>
      <w:tr w:rsidR="00364EDD" w:rsidRPr="00F7440D" w14:paraId="4AB71E4A" w14:textId="77777777" w:rsidTr="00573865">
        <w:trPr>
          <w:trHeight w:val="269"/>
        </w:trPr>
        <w:tc>
          <w:tcPr>
            <w:tcW w:w="1668" w:type="dxa"/>
            <w:noWrap/>
            <w:hideMark/>
          </w:tcPr>
          <w:p w14:paraId="588BD577"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hideMark/>
          </w:tcPr>
          <w:p w14:paraId="0789279A" w14:textId="6BE5FC6E" w:rsidR="00364EDD" w:rsidRPr="00F7440D" w:rsidRDefault="00143337" w:rsidP="00F7440D">
            <w:pPr>
              <w:spacing w:line="360" w:lineRule="auto"/>
              <w:jc w:val="right"/>
              <w:rPr>
                <w:rFonts w:eastAsia="Times New Roman"/>
                <w:sz w:val="28"/>
                <w:szCs w:val="28"/>
              </w:rPr>
            </w:pPr>
            <w:r w:rsidRPr="00F7440D">
              <w:rPr>
                <w:rFonts w:eastAsia="Times New Roman"/>
                <w:sz w:val="28"/>
                <w:szCs w:val="28"/>
              </w:rPr>
              <w:t>74</w:t>
            </w:r>
          </w:p>
        </w:tc>
        <w:tc>
          <w:tcPr>
            <w:tcW w:w="1505" w:type="dxa"/>
            <w:noWrap/>
            <w:hideMark/>
          </w:tcPr>
          <w:p w14:paraId="33C0EB9B"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1.551354</w:t>
            </w:r>
          </w:p>
        </w:tc>
        <w:tc>
          <w:tcPr>
            <w:tcW w:w="1505" w:type="dxa"/>
            <w:noWrap/>
            <w:hideMark/>
          </w:tcPr>
          <w:p w14:paraId="0B1B56AE"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0.037838</w:t>
            </w:r>
          </w:p>
        </w:tc>
        <w:tc>
          <w:tcPr>
            <w:tcW w:w="1505" w:type="dxa"/>
            <w:noWrap/>
            <w:hideMark/>
          </w:tcPr>
          <w:p w14:paraId="32D8FB9F" w14:textId="184BBBB0" w:rsidR="00364EDD" w:rsidRPr="00F7440D" w:rsidRDefault="00364EDD" w:rsidP="00F7440D">
            <w:pPr>
              <w:spacing w:line="360" w:lineRule="auto"/>
              <w:jc w:val="right"/>
              <w:rPr>
                <w:rFonts w:eastAsia="Times New Roman"/>
                <w:sz w:val="28"/>
                <w:szCs w:val="28"/>
              </w:rPr>
            </w:pPr>
          </w:p>
        </w:tc>
        <w:tc>
          <w:tcPr>
            <w:tcW w:w="1997" w:type="dxa"/>
            <w:noWrap/>
            <w:hideMark/>
          </w:tcPr>
          <w:p w14:paraId="4939D542" w14:textId="77777777" w:rsidR="00364EDD" w:rsidRPr="00F7440D" w:rsidRDefault="00364EDD" w:rsidP="00F7440D">
            <w:pPr>
              <w:spacing w:line="360" w:lineRule="auto"/>
              <w:rPr>
                <w:rFonts w:eastAsia="Times New Roman"/>
                <w:sz w:val="28"/>
                <w:szCs w:val="28"/>
              </w:rPr>
            </w:pPr>
          </w:p>
        </w:tc>
      </w:tr>
      <w:tr w:rsidR="00364EDD" w:rsidRPr="00F7440D" w14:paraId="3B5BDB7B" w14:textId="77777777" w:rsidTr="00573865">
        <w:trPr>
          <w:trHeight w:val="284"/>
        </w:trPr>
        <w:tc>
          <w:tcPr>
            <w:tcW w:w="1668" w:type="dxa"/>
            <w:noWrap/>
            <w:hideMark/>
          </w:tcPr>
          <w:p w14:paraId="6E11EA80" w14:textId="77777777" w:rsidR="00364EDD" w:rsidRPr="00F7440D" w:rsidRDefault="00364EDD"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hideMark/>
          </w:tcPr>
          <w:p w14:paraId="405E26BD" w14:textId="65F05978" w:rsidR="00364EDD" w:rsidRPr="00F7440D" w:rsidRDefault="00143337" w:rsidP="00F7440D">
            <w:pPr>
              <w:spacing w:line="360" w:lineRule="auto"/>
              <w:jc w:val="right"/>
              <w:rPr>
                <w:rFonts w:eastAsia="Times New Roman"/>
                <w:sz w:val="28"/>
                <w:szCs w:val="28"/>
              </w:rPr>
            </w:pPr>
            <w:r w:rsidRPr="00F7440D">
              <w:rPr>
                <w:rFonts w:eastAsia="Times New Roman"/>
                <w:sz w:val="28"/>
                <w:szCs w:val="28"/>
              </w:rPr>
              <w:t>75</w:t>
            </w:r>
          </w:p>
        </w:tc>
        <w:tc>
          <w:tcPr>
            <w:tcW w:w="1505" w:type="dxa"/>
            <w:noWrap/>
            <w:hideMark/>
          </w:tcPr>
          <w:p w14:paraId="7700EC69" w14:textId="77777777" w:rsidR="00364EDD" w:rsidRPr="00F7440D" w:rsidRDefault="00364EDD" w:rsidP="00F7440D">
            <w:pPr>
              <w:spacing w:line="360" w:lineRule="auto"/>
              <w:jc w:val="right"/>
              <w:rPr>
                <w:rFonts w:eastAsia="Times New Roman"/>
                <w:sz w:val="28"/>
                <w:szCs w:val="28"/>
              </w:rPr>
            </w:pPr>
            <w:r w:rsidRPr="00F7440D">
              <w:rPr>
                <w:rFonts w:eastAsia="Times New Roman"/>
                <w:sz w:val="28"/>
                <w:szCs w:val="28"/>
              </w:rPr>
              <w:t>8.737548</w:t>
            </w:r>
          </w:p>
        </w:tc>
        <w:tc>
          <w:tcPr>
            <w:tcW w:w="1505" w:type="dxa"/>
            <w:noWrap/>
            <w:hideMark/>
          </w:tcPr>
          <w:p w14:paraId="797A6A7B"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c>
          <w:tcPr>
            <w:tcW w:w="1505" w:type="dxa"/>
            <w:noWrap/>
            <w:hideMark/>
          </w:tcPr>
          <w:p w14:paraId="6853F814"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c>
          <w:tcPr>
            <w:tcW w:w="1997" w:type="dxa"/>
            <w:noWrap/>
            <w:hideMark/>
          </w:tcPr>
          <w:p w14:paraId="7860F9CB" w14:textId="77777777" w:rsidR="00364EDD" w:rsidRPr="00F7440D" w:rsidRDefault="00364EDD" w:rsidP="00F7440D">
            <w:pPr>
              <w:spacing w:line="360" w:lineRule="auto"/>
              <w:rPr>
                <w:rFonts w:eastAsia="Times New Roman"/>
                <w:sz w:val="28"/>
                <w:szCs w:val="28"/>
              </w:rPr>
            </w:pPr>
            <w:r w:rsidRPr="00F7440D">
              <w:rPr>
                <w:rFonts w:eastAsia="Times New Roman"/>
                <w:sz w:val="28"/>
                <w:szCs w:val="28"/>
              </w:rPr>
              <w:t> </w:t>
            </w:r>
          </w:p>
        </w:tc>
      </w:tr>
    </w:tbl>
    <w:p w14:paraId="4DFFC58A" w14:textId="77777777" w:rsidR="00364EDD" w:rsidRPr="00F7440D" w:rsidRDefault="00364EDD" w:rsidP="00F7440D">
      <w:pPr>
        <w:spacing w:after="0" w:line="360" w:lineRule="auto"/>
        <w:ind w:firstLine="709"/>
        <w:rPr>
          <w:rFonts w:ascii="Times New Roman" w:hAnsi="Times New Roman"/>
          <w:sz w:val="28"/>
          <w:szCs w:val="28"/>
          <w:lang w:val="ru-RU"/>
        </w:rPr>
      </w:pPr>
    </w:p>
    <w:p w14:paraId="7EF5690A" w14:textId="77777777" w:rsidR="00112933" w:rsidRDefault="00112933" w:rsidP="00F7440D">
      <w:pPr>
        <w:spacing w:after="0" w:line="360" w:lineRule="auto"/>
        <w:ind w:firstLine="709"/>
        <w:jc w:val="right"/>
        <w:rPr>
          <w:rFonts w:ascii="Times New Roman" w:hAnsi="Times New Roman"/>
          <w:sz w:val="28"/>
          <w:szCs w:val="28"/>
          <w:lang w:val="uk-UA"/>
        </w:rPr>
      </w:pPr>
    </w:p>
    <w:p w14:paraId="27CBAE21" w14:textId="77777777" w:rsidR="00112933" w:rsidRDefault="00112933" w:rsidP="00F7440D">
      <w:pPr>
        <w:spacing w:after="0" w:line="360" w:lineRule="auto"/>
        <w:ind w:firstLine="709"/>
        <w:jc w:val="right"/>
        <w:rPr>
          <w:rFonts w:ascii="Times New Roman" w:hAnsi="Times New Roman"/>
          <w:sz w:val="28"/>
          <w:szCs w:val="28"/>
          <w:lang w:val="uk-UA"/>
        </w:rPr>
      </w:pPr>
    </w:p>
    <w:p w14:paraId="4BE3E774" w14:textId="77777777" w:rsidR="00112933" w:rsidRDefault="00112933" w:rsidP="00F7440D">
      <w:pPr>
        <w:spacing w:after="0" w:line="360" w:lineRule="auto"/>
        <w:ind w:firstLine="709"/>
        <w:jc w:val="right"/>
        <w:rPr>
          <w:rFonts w:ascii="Times New Roman" w:hAnsi="Times New Roman"/>
          <w:sz w:val="28"/>
          <w:szCs w:val="28"/>
          <w:lang w:val="uk-UA"/>
        </w:rPr>
      </w:pPr>
    </w:p>
    <w:p w14:paraId="01332137" w14:textId="77777777" w:rsidR="00112933" w:rsidRDefault="00112933" w:rsidP="00F7440D">
      <w:pPr>
        <w:spacing w:after="0" w:line="360" w:lineRule="auto"/>
        <w:ind w:firstLine="709"/>
        <w:jc w:val="right"/>
        <w:rPr>
          <w:rFonts w:ascii="Times New Roman" w:hAnsi="Times New Roman"/>
          <w:sz w:val="28"/>
          <w:szCs w:val="28"/>
          <w:lang w:val="uk-UA"/>
        </w:rPr>
      </w:pPr>
    </w:p>
    <w:p w14:paraId="218DE6D1" w14:textId="77777777" w:rsidR="00112933" w:rsidRDefault="00112933" w:rsidP="00F7440D">
      <w:pPr>
        <w:spacing w:after="0" w:line="360" w:lineRule="auto"/>
        <w:ind w:firstLine="709"/>
        <w:jc w:val="right"/>
        <w:rPr>
          <w:rFonts w:ascii="Times New Roman" w:hAnsi="Times New Roman"/>
          <w:sz w:val="28"/>
          <w:szCs w:val="28"/>
          <w:lang w:val="uk-UA"/>
        </w:rPr>
      </w:pPr>
    </w:p>
    <w:p w14:paraId="5BDC9D5E" w14:textId="77777777" w:rsidR="00112933" w:rsidRDefault="00112933" w:rsidP="00F7440D">
      <w:pPr>
        <w:spacing w:after="0" w:line="360" w:lineRule="auto"/>
        <w:ind w:firstLine="709"/>
        <w:jc w:val="right"/>
        <w:rPr>
          <w:rFonts w:ascii="Times New Roman" w:hAnsi="Times New Roman"/>
          <w:sz w:val="28"/>
          <w:szCs w:val="28"/>
          <w:lang w:val="uk-UA"/>
        </w:rPr>
      </w:pPr>
    </w:p>
    <w:p w14:paraId="47078625" w14:textId="4999040F" w:rsidR="00475F9A"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364EDD" w:rsidRPr="00F7440D">
        <w:rPr>
          <w:rFonts w:ascii="Times New Roman" w:hAnsi="Times New Roman"/>
          <w:sz w:val="28"/>
          <w:szCs w:val="28"/>
          <w:lang w:val="uk-UA"/>
        </w:rPr>
        <w:t>.</w:t>
      </w:r>
      <w:r w:rsidR="00475F9A" w:rsidRPr="00F7440D">
        <w:rPr>
          <w:rFonts w:ascii="Times New Roman" w:hAnsi="Times New Roman"/>
          <w:sz w:val="28"/>
          <w:szCs w:val="28"/>
          <w:lang w:val="uk-UA"/>
        </w:rPr>
        <w:t>19</w:t>
      </w:r>
      <w:r w:rsidR="00364EDD" w:rsidRPr="00F7440D">
        <w:rPr>
          <w:rFonts w:ascii="Times New Roman" w:hAnsi="Times New Roman"/>
          <w:sz w:val="28"/>
          <w:szCs w:val="28"/>
          <w:lang w:val="uk-UA"/>
        </w:rPr>
        <w:t xml:space="preserve"> </w:t>
      </w:r>
    </w:p>
    <w:p w14:paraId="684A2063" w14:textId="06B2208C" w:rsidR="00364EDD" w:rsidRPr="00F7440D" w:rsidRDefault="00364EDD"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w:t>
      </w:r>
    </w:p>
    <w:tbl>
      <w:tblPr>
        <w:tblStyle w:val="TableGrid"/>
        <w:tblW w:w="9284" w:type="dxa"/>
        <w:tblLook w:val="04A0" w:firstRow="1" w:lastRow="0" w:firstColumn="1" w:lastColumn="0" w:noHBand="0" w:noVBand="1"/>
      </w:tblPr>
      <w:tblGrid>
        <w:gridCol w:w="1785"/>
        <w:gridCol w:w="2254"/>
        <w:gridCol w:w="2021"/>
        <w:gridCol w:w="1859"/>
        <w:gridCol w:w="1365"/>
      </w:tblGrid>
      <w:tr w:rsidR="00364EDD" w:rsidRPr="00F7440D" w14:paraId="0DBD17DB" w14:textId="77777777" w:rsidTr="00573865">
        <w:trPr>
          <w:trHeight w:val="249"/>
        </w:trPr>
        <w:tc>
          <w:tcPr>
            <w:tcW w:w="1785" w:type="dxa"/>
            <w:noWrap/>
            <w:hideMark/>
          </w:tcPr>
          <w:p w14:paraId="7EC96D52" w14:textId="77777777" w:rsidR="00364EDD" w:rsidRPr="00F7440D" w:rsidRDefault="00364EDD"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1073F08E" w14:textId="77777777" w:rsidR="00364EDD" w:rsidRPr="00F7440D" w:rsidRDefault="00364EDD"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4AE04489" w14:textId="77777777" w:rsidR="00364EDD" w:rsidRPr="00F7440D" w:rsidRDefault="00364EDD"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18B22A84" w14:textId="77777777" w:rsidR="00364EDD" w:rsidRPr="00F7440D" w:rsidRDefault="00364EDD"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0615CF44" w14:textId="77777777" w:rsidR="00364EDD" w:rsidRPr="00F7440D" w:rsidRDefault="00364EDD"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364EDD" w:rsidRPr="00F7440D" w14:paraId="2CC06D34" w14:textId="77777777" w:rsidTr="00573865">
        <w:trPr>
          <w:trHeight w:val="249"/>
        </w:trPr>
        <w:tc>
          <w:tcPr>
            <w:tcW w:w="1785" w:type="dxa"/>
            <w:noWrap/>
            <w:hideMark/>
          </w:tcPr>
          <w:p w14:paraId="2A48F038"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hideMark/>
          </w:tcPr>
          <w:p w14:paraId="4B346F02" w14:textId="77777777" w:rsidR="00364EDD" w:rsidRPr="00F7440D" w:rsidRDefault="00364EDD" w:rsidP="00F7440D">
            <w:pPr>
              <w:rPr>
                <w:rFonts w:eastAsia="Times New Roman"/>
                <w:sz w:val="28"/>
                <w:szCs w:val="28"/>
              </w:rPr>
            </w:pPr>
            <w:r w:rsidRPr="00F7440D">
              <w:rPr>
                <w:rFonts w:eastAsia="Times New Roman"/>
                <w:sz w:val="28"/>
                <w:szCs w:val="28"/>
              </w:rPr>
              <w:t>-0.32473</w:t>
            </w:r>
          </w:p>
        </w:tc>
        <w:tc>
          <w:tcPr>
            <w:tcW w:w="2021" w:type="dxa"/>
            <w:noWrap/>
            <w:hideMark/>
          </w:tcPr>
          <w:p w14:paraId="35937153" w14:textId="77777777" w:rsidR="00364EDD" w:rsidRPr="00F7440D" w:rsidRDefault="00364EDD" w:rsidP="00F7440D">
            <w:pPr>
              <w:rPr>
                <w:rFonts w:eastAsia="Times New Roman"/>
                <w:sz w:val="28"/>
                <w:szCs w:val="28"/>
              </w:rPr>
            </w:pPr>
            <w:r w:rsidRPr="00F7440D">
              <w:rPr>
                <w:rFonts w:eastAsia="Times New Roman"/>
                <w:sz w:val="28"/>
                <w:szCs w:val="28"/>
              </w:rPr>
              <w:t>0.24433</w:t>
            </w:r>
          </w:p>
        </w:tc>
        <w:tc>
          <w:tcPr>
            <w:tcW w:w="1859" w:type="dxa"/>
            <w:noWrap/>
            <w:hideMark/>
          </w:tcPr>
          <w:p w14:paraId="746F4F92" w14:textId="77777777" w:rsidR="00364EDD" w:rsidRPr="00F7440D" w:rsidRDefault="00364EDD" w:rsidP="00F7440D">
            <w:pPr>
              <w:rPr>
                <w:rFonts w:eastAsia="Times New Roman"/>
                <w:sz w:val="28"/>
                <w:szCs w:val="28"/>
              </w:rPr>
            </w:pPr>
            <w:r w:rsidRPr="00F7440D">
              <w:rPr>
                <w:rFonts w:eastAsia="Times New Roman"/>
                <w:sz w:val="28"/>
                <w:szCs w:val="28"/>
              </w:rPr>
              <w:t>-1.32906</w:t>
            </w:r>
          </w:p>
        </w:tc>
        <w:tc>
          <w:tcPr>
            <w:tcW w:w="1365" w:type="dxa"/>
            <w:noWrap/>
            <w:hideMark/>
          </w:tcPr>
          <w:p w14:paraId="6D4C8CBF" w14:textId="77777777" w:rsidR="00364EDD" w:rsidRPr="00F7440D" w:rsidRDefault="00364EDD" w:rsidP="00F7440D">
            <w:pPr>
              <w:jc w:val="right"/>
              <w:rPr>
                <w:rFonts w:eastAsia="Times New Roman"/>
                <w:sz w:val="28"/>
                <w:szCs w:val="28"/>
              </w:rPr>
            </w:pPr>
            <w:r w:rsidRPr="00F7440D">
              <w:rPr>
                <w:rFonts w:eastAsia="Times New Roman"/>
                <w:sz w:val="28"/>
                <w:szCs w:val="28"/>
              </w:rPr>
              <w:t>0.191177</w:t>
            </w:r>
          </w:p>
        </w:tc>
      </w:tr>
      <w:tr w:rsidR="00364EDD" w:rsidRPr="00F7440D" w14:paraId="77F14F63" w14:textId="77777777" w:rsidTr="00573865">
        <w:trPr>
          <w:trHeight w:val="264"/>
        </w:trPr>
        <w:tc>
          <w:tcPr>
            <w:tcW w:w="1785" w:type="dxa"/>
            <w:noWrap/>
            <w:hideMark/>
          </w:tcPr>
          <w:p w14:paraId="6D2A3A6E" w14:textId="77777777" w:rsidR="00364EDD" w:rsidRPr="00F7440D" w:rsidRDefault="00364EDD"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hideMark/>
          </w:tcPr>
          <w:p w14:paraId="0810864D" w14:textId="77777777" w:rsidR="00364EDD" w:rsidRPr="00F7440D" w:rsidRDefault="00364EDD" w:rsidP="00F7440D">
            <w:pPr>
              <w:rPr>
                <w:rFonts w:eastAsia="Times New Roman"/>
                <w:sz w:val="28"/>
                <w:szCs w:val="28"/>
              </w:rPr>
            </w:pPr>
            <w:r w:rsidRPr="00F7440D">
              <w:rPr>
                <w:rFonts w:eastAsia="Times New Roman"/>
                <w:sz w:val="28"/>
                <w:szCs w:val="28"/>
              </w:rPr>
              <w:t>0.980734</w:t>
            </w:r>
          </w:p>
        </w:tc>
        <w:tc>
          <w:tcPr>
            <w:tcW w:w="2021" w:type="dxa"/>
            <w:noWrap/>
            <w:hideMark/>
          </w:tcPr>
          <w:p w14:paraId="7CFCE0A8" w14:textId="77777777" w:rsidR="00364EDD" w:rsidRPr="00F7440D" w:rsidRDefault="00364EDD" w:rsidP="00F7440D">
            <w:pPr>
              <w:rPr>
                <w:rFonts w:eastAsia="Times New Roman"/>
                <w:sz w:val="28"/>
                <w:szCs w:val="28"/>
              </w:rPr>
            </w:pPr>
            <w:r w:rsidRPr="00F7440D">
              <w:rPr>
                <w:rFonts w:eastAsia="Times New Roman"/>
                <w:sz w:val="28"/>
                <w:szCs w:val="28"/>
              </w:rPr>
              <w:t>0.071165</w:t>
            </w:r>
          </w:p>
        </w:tc>
        <w:tc>
          <w:tcPr>
            <w:tcW w:w="1859" w:type="dxa"/>
            <w:noWrap/>
            <w:hideMark/>
          </w:tcPr>
          <w:p w14:paraId="0C437F13" w14:textId="77777777" w:rsidR="00364EDD" w:rsidRPr="00F7440D" w:rsidRDefault="00364EDD" w:rsidP="00F7440D">
            <w:pPr>
              <w:rPr>
                <w:rFonts w:eastAsia="Times New Roman"/>
                <w:sz w:val="28"/>
                <w:szCs w:val="28"/>
              </w:rPr>
            </w:pPr>
            <w:r w:rsidRPr="00F7440D">
              <w:rPr>
                <w:rFonts w:eastAsia="Times New Roman"/>
                <w:sz w:val="28"/>
                <w:szCs w:val="28"/>
              </w:rPr>
              <w:t>13.78116</w:t>
            </w:r>
          </w:p>
        </w:tc>
        <w:tc>
          <w:tcPr>
            <w:tcW w:w="1365" w:type="dxa"/>
            <w:noWrap/>
            <w:hideMark/>
          </w:tcPr>
          <w:p w14:paraId="146EC110" w14:textId="77777777" w:rsidR="00364EDD" w:rsidRPr="00F7440D" w:rsidRDefault="00364EDD" w:rsidP="00F7440D">
            <w:pPr>
              <w:jc w:val="right"/>
              <w:rPr>
                <w:rFonts w:eastAsia="Times New Roman"/>
                <w:sz w:val="28"/>
                <w:szCs w:val="28"/>
              </w:rPr>
            </w:pPr>
            <w:r w:rsidRPr="00F7440D">
              <w:rPr>
                <w:rFonts w:eastAsia="Times New Roman"/>
                <w:sz w:val="28"/>
                <w:szCs w:val="28"/>
              </w:rPr>
              <w:t>5.55E-17</w:t>
            </w:r>
          </w:p>
        </w:tc>
      </w:tr>
    </w:tbl>
    <w:p w14:paraId="7F7F7B3A" w14:textId="77777777" w:rsidR="00364EDD" w:rsidRPr="00F7440D" w:rsidRDefault="00364EDD" w:rsidP="00F7440D">
      <w:pPr>
        <w:spacing w:after="0" w:line="360" w:lineRule="auto"/>
        <w:ind w:firstLine="709"/>
        <w:rPr>
          <w:rFonts w:ascii="Times New Roman" w:hAnsi="Times New Roman"/>
          <w:sz w:val="28"/>
          <w:szCs w:val="28"/>
          <w:lang w:val="ru-RU"/>
        </w:rPr>
      </w:pPr>
    </w:p>
    <w:p w14:paraId="58A7606C" w14:textId="7709EFCD" w:rsidR="00364EDD" w:rsidRPr="00F7440D" w:rsidRDefault="00364EDD"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ru-RU"/>
        </w:rPr>
        <w:t>Зг</w:t>
      </w:r>
      <w:r w:rsidRPr="00F7440D">
        <w:rPr>
          <w:rFonts w:ascii="Times New Roman" w:hAnsi="Times New Roman"/>
          <w:sz w:val="28"/>
          <w:szCs w:val="28"/>
          <w:lang w:val="uk-UA"/>
        </w:rPr>
        <w:t xml:space="preserve">ідно з отриманими результатами застосування регресійного аналізу </w:t>
      </w:r>
      <w:r w:rsidR="005C02B2" w:rsidRPr="00F7440D">
        <w:rPr>
          <w:rFonts w:ascii="Times New Roman" w:hAnsi="Times New Roman"/>
          <w:sz w:val="28"/>
          <w:szCs w:val="28"/>
          <w:lang w:val="uk-UA"/>
        </w:rPr>
        <w:t xml:space="preserve">даних кровоточивості ясен за рівнем індексу </w:t>
      </w:r>
      <w:r w:rsidR="005C02B2" w:rsidRPr="00F7440D">
        <w:rPr>
          <w:rFonts w:ascii="Times New Roman" w:hAnsi="Times New Roman"/>
          <w:sz w:val="28"/>
          <w:szCs w:val="28"/>
        </w:rPr>
        <w:t>SBI</w:t>
      </w:r>
      <w:r w:rsidR="005C02B2" w:rsidRPr="00F7440D">
        <w:rPr>
          <w:rFonts w:ascii="Times New Roman" w:hAnsi="Times New Roman"/>
          <w:sz w:val="28"/>
          <w:szCs w:val="28"/>
          <w:lang w:val="ru-RU"/>
        </w:rPr>
        <w:t xml:space="preserve"> </w:t>
      </w:r>
      <w:r w:rsidR="005C02B2" w:rsidRPr="00F7440D">
        <w:rPr>
          <w:rFonts w:ascii="Times New Roman" w:hAnsi="Times New Roman"/>
          <w:sz w:val="28"/>
          <w:szCs w:val="28"/>
          <w:lang w:val="uk-UA"/>
        </w:rPr>
        <w:t xml:space="preserve">та імунологічного статусу за рівнем імуноглобуліну </w:t>
      </w:r>
      <w:r w:rsidR="005C02B2" w:rsidRPr="00F7440D">
        <w:rPr>
          <w:rFonts w:ascii="Times New Roman" w:hAnsi="Times New Roman"/>
          <w:sz w:val="28"/>
          <w:szCs w:val="28"/>
        </w:rPr>
        <w:t>G</w:t>
      </w:r>
      <w:r w:rsidRPr="00F7440D">
        <w:rPr>
          <w:rFonts w:ascii="Times New Roman" w:hAnsi="Times New Roman"/>
          <w:sz w:val="28"/>
          <w:szCs w:val="28"/>
          <w:lang w:val="ru-RU"/>
        </w:rPr>
        <w:t xml:space="preserve"> </w:t>
      </w:r>
      <w:r w:rsidRPr="00F7440D">
        <w:rPr>
          <w:rFonts w:ascii="Times New Roman" w:hAnsi="Times New Roman"/>
          <w:sz w:val="28"/>
          <w:szCs w:val="28"/>
          <w:lang w:val="uk-UA"/>
        </w:rPr>
        <w:t xml:space="preserve">можна зробити наступні висновки. Побудована залежність показників імуноглобуліна </w:t>
      </w:r>
      <w:r w:rsidRPr="00F7440D">
        <w:rPr>
          <w:rFonts w:ascii="Times New Roman" w:hAnsi="Times New Roman"/>
          <w:sz w:val="28"/>
          <w:szCs w:val="28"/>
        </w:rPr>
        <w:t>G</w:t>
      </w:r>
      <w:r w:rsidRPr="00F7440D">
        <w:rPr>
          <w:rFonts w:ascii="Times New Roman" w:hAnsi="Times New Roman"/>
          <w:sz w:val="28"/>
          <w:szCs w:val="28"/>
          <w:lang w:val="uk-UA"/>
        </w:rPr>
        <w:t xml:space="preserve"> (</w:t>
      </w:r>
      <w:r w:rsidRPr="00F7440D">
        <w:rPr>
          <w:rFonts w:ascii="Times New Roman" w:hAnsi="Times New Roman"/>
          <w:sz w:val="28"/>
          <w:szCs w:val="28"/>
        </w:rPr>
        <w:t>Y</w:t>
      </w:r>
      <w:r w:rsidRPr="00F7440D">
        <w:rPr>
          <w:rFonts w:ascii="Times New Roman" w:hAnsi="Times New Roman"/>
          <w:sz w:val="28"/>
          <w:szCs w:val="28"/>
          <w:lang w:val="uk-UA"/>
        </w:rPr>
        <w:t xml:space="preserve">) від рівня запалення згідно з індексом H.R. Muhlemann та S. Son (змінна </w:t>
      </w:r>
      <w:r w:rsidRPr="00F7440D">
        <w:rPr>
          <w:rFonts w:ascii="Times New Roman" w:hAnsi="Times New Roman"/>
          <w:sz w:val="28"/>
          <w:szCs w:val="28"/>
        </w:rPr>
        <w:t>X</w:t>
      </w:r>
      <w:r w:rsidR="00143337" w:rsidRPr="00F7440D">
        <w:rPr>
          <w:rFonts w:ascii="Times New Roman" w:hAnsi="Times New Roman"/>
          <w:sz w:val="28"/>
          <w:szCs w:val="28"/>
          <w:lang w:val="uk-UA"/>
        </w:rPr>
        <w:t xml:space="preserve">) у </w:t>
      </w:r>
      <w:r w:rsidRPr="00F7440D">
        <w:rPr>
          <w:rFonts w:ascii="Times New Roman" w:hAnsi="Times New Roman"/>
          <w:sz w:val="28"/>
          <w:szCs w:val="28"/>
          <w:lang w:val="uk-UA"/>
        </w:rPr>
        <w:t>вигляді лінійної регресії. Визначені коефіцієнти ліній</w:t>
      </w:r>
      <w:r w:rsidR="005C02B2" w:rsidRPr="00F7440D">
        <w:rPr>
          <w:rFonts w:ascii="Times New Roman" w:hAnsi="Times New Roman"/>
          <w:sz w:val="28"/>
          <w:szCs w:val="28"/>
          <w:lang w:val="uk-UA"/>
        </w:rPr>
        <w:t>ної регресії мінус 0,32 та 0,98, а отже рівняння лінійної регресії має такий вигляд:</w:t>
      </w:r>
      <w:r w:rsidRPr="00F7440D">
        <w:rPr>
          <w:rFonts w:ascii="Times New Roman" w:hAnsi="Times New Roman"/>
          <w:sz w:val="28"/>
          <w:szCs w:val="28"/>
          <w:lang w:val="uk-UA"/>
        </w:rPr>
        <w:t xml:space="preserve"> </w:t>
      </w:r>
      <w:r w:rsidR="005C02B2" w:rsidRPr="00F7440D">
        <w:rPr>
          <w:rFonts w:ascii="Times New Roman" w:hAnsi="Times New Roman"/>
          <w:sz w:val="28"/>
          <w:szCs w:val="28"/>
        </w:rPr>
        <w:t>y</w:t>
      </w:r>
      <w:r w:rsidR="005C02B2" w:rsidRPr="00F7440D">
        <w:rPr>
          <w:rFonts w:ascii="Times New Roman" w:hAnsi="Times New Roman"/>
          <w:sz w:val="28"/>
          <w:szCs w:val="28"/>
          <w:lang w:val="uk-UA"/>
        </w:rPr>
        <w:t xml:space="preserve"> = 0,98 </w:t>
      </w:r>
      <w:r w:rsidR="005C02B2" w:rsidRPr="00F7440D">
        <w:rPr>
          <w:rFonts w:ascii="Times New Roman" w:hAnsi="Times New Roman"/>
          <w:sz w:val="28"/>
          <w:szCs w:val="28"/>
        </w:rPr>
        <w:t>X</w:t>
      </w:r>
      <w:r w:rsidR="005C02B2" w:rsidRPr="00F7440D">
        <w:rPr>
          <w:rFonts w:ascii="Times New Roman" w:hAnsi="Times New Roman"/>
          <w:sz w:val="28"/>
          <w:szCs w:val="28"/>
          <w:lang w:val="uk-UA"/>
        </w:rPr>
        <w:t xml:space="preserve"> 1 </w:t>
      </w:r>
      <w:r w:rsidR="005C02B2" w:rsidRPr="00F7440D">
        <w:rPr>
          <w:rFonts w:ascii="Times New Roman" w:hAnsi="Times New Roman" w:cs="Times New Roman"/>
          <w:sz w:val="28"/>
          <w:szCs w:val="28"/>
          <w:lang w:val="uk-UA"/>
        </w:rPr>
        <w:t>+</w:t>
      </w:r>
      <w:r w:rsidR="005C02B2" w:rsidRPr="00F7440D">
        <w:rPr>
          <w:rFonts w:ascii="Times New Roman" w:hAnsi="Times New Roman"/>
          <w:sz w:val="28"/>
          <w:szCs w:val="28"/>
          <w:lang w:val="uk-UA"/>
        </w:rPr>
        <w:t xml:space="preserve"> 0,32. </w:t>
      </w:r>
      <w:r w:rsidRPr="00F7440D">
        <w:rPr>
          <w:rFonts w:ascii="Times New Roman" w:hAnsi="Times New Roman"/>
          <w:sz w:val="28"/>
          <w:szCs w:val="28"/>
          <w:lang w:val="uk-UA"/>
        </w:rPr>
        <w:t xml:space="preserve">Для оцінки загальної якості отриманого рівняння лінійної регресії </w:t>
      </w:r>
      <w:r w:rsidR="005C02B2" w:rsidRPr="00F7440D">
        <w:rPr>
          <w:rFonts w:ascii="Times New Roman" w:hAnsi="Times New Roman"/>
          <w:sz w:val="28"/>
          <w:szCs w:val="28"/>
          <w:lang w:val="uk-UA"/>
        </w:rPr>
        <w:t>був застосований</w:t>
      </w:r>
      <w:r w:rsidRPr="00F7440D">
        <w:rPr>
          <w:rFonts w:ascii="Times New Roman" w:hAnsi="Times New Roman"/>
          <w:sz w:val="28"/>
          <w:szCs w:val="28"/>
          <w:lang w:val="uk-UA"/>
        </w:rPr>
        <w:t xml:space="preserve"> коефіцієнт детермінації. Отримане в результаті значення 0,82 означає, що 82%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пов’язується зі змінюваністю фактору Х. Інша частина змінюваності </w:t>
      </w:r>
      <w:r w:rsidRPr="00F7440D">
        <w:rPr>
          <w:rFonts w:ascii="Times New Roman" w:hAnsi="Times New Roman"/>
          <w:sz w:val="28"/>
          <w:szCs w:val="28"/>
        </w:rPr>
        <w:t>Y</w:t>
      </w:r>
      <w:r w:rsidRPr="00F7440D">
        <w:rPr>
          <w:rFonts w:ascii="Times New Roman" w:hAnsi="Times New Roman"/>
          <w:sz w:val="28"/>
          <w:szCs w:val="28"/>
          <w:lang w:val="uk-UA"/>
        </w:rPr>
        <w:t xml:space="preserve"> (18%)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sz w:val="28"/>
          <w:szCs w:val="28"/>
          <w:lang w:val="uk-UA"/>
        </w:rPr>
        <w:t>прогностичні</w:t>
      </w:r>
      <w:r w:rsidRPr="00F7440D">
        <w:rPr>
          <w:rFonts w:ascii="Times New Roman" w:hAnsi="Times New Roman"/>
          <w:sz w:val="28"/>
          <w:szCs w:val="28"/>
          <w:lang w:val="uk-UA"/>
        </w:rPr>
        <w:t xml:space="preserve"> значення мають необхідну адекватність.</w:t>
      </w:r>
    </w:p>
    <w:p w14:paraId="282AEEEB" w14:textId="77777777" w:rsidR="00364EDD" w:rsidRPr="00F7440D" w:rsidRDefault="00364EDD" w:rsidP="00F7440D">
      <w:pPr>
        <w:spacing w:after="0" w:line="360" w:lineRule="auto"/>
        <w:ind w:firstLine="709"/>
        <w:jc w:val="both"/>
        <w:rPr>
          <w:rFonts w:ascii="Times New Roman" w:hAnsi="Times New Roman" w:cs="Times New Roman"/>
          <w:sz w:val="28"/>
          <w:szCs w:val="28"/>
          <w:lang w:val="uk-UA"/>
        </w:rPr>
      </w:pPr>
    </w:p>
    <w:p w14:paraId="68BFC1E8" w14:textId="1655506D" w:rsidR="005C02B2" w:rsidRPr="00F7440D" w:rsidRDefault="005073D8"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Для оцінювання останнього з досліджуваних нами рівнів імуноглобулінів, нами був обраний регресійний аналіз залежності рівня запалення згідно з індексом РМА та рівня імуноглобуліну М. У дослідженнях деяких авторів повідомляється про доволі низьку інформативну значимість даного рівню імуноглобуліну в аспекті стоматологічної захворюваності. Нами були проведені власні </w:t>
      </w:r>
      <w:r w:rsidR="00543A9D" w:rsidRPr="00F7440D">
        <w:rPr>
          <w:rFonts w:ascii="Times New Roman" w:hAnsi="Times New Roman" w:cs="Times New Roman"/>
          <w:sz w:val="28"/>
          <w:szCs w:val="28"/>
          <w:lang w:val="uk-UA"/>
        </w:rPr>
        <w:t>досілдження, які показали достовірну різницю у показниках рівню імуноглобуліну М у контрольній та дослідних групах. Важливим фактом виявилося те, що навіть у групах без виражених клінічних ознак хронічного гінгівіту рівень імуноглобуліну М виявився зниженим, що доводить вагомість імунних порушень у патогенезі захворювань пародонту у дітей на тлі атопічних захворювань.</w:t>
      </w:r>
    </w:p>
    <w:p w14:paraId="767A2615" w14:textId="598C607C" w:rsidR="000728CB" w:rsidRPr="00F7440D" w:rsidRDefault="00543A9D"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Відповідно до отриманих нами результатів, </w:t>
      </w:r>
      <w:r w:rsidR="00297E3B" w:rsidRPr="00F7440D">
        <w:rPr>
          <w:rFonts w:ascii="Times New Roman" w:hAnsi="Times New Roman" w:cs="Times New Roman"/>
          <w:sz w:val="28"/>
          <w:szCs w:val="28"/>
          <w:lang w:val="uk-UA"/>
        </w:rPr>
        <w:t xml:space="preserve">середній </w:t>
      </w:r>
      <w:r w:rsidRPr="00F7440D">
        <w:rPr>
          <w:rFonts w:ascii="Times New Roman" w:hAnsi="Times New Roman" w:cs="Times New Roman"/>
          <w:sz w:val="28"/>
          <w:szCs w:val="28"/>
          <w:lang w:val="uk-UA"/>
        </w:rPr>
        <w:t>рівень імуноглобуліну М у третій дослідній групі знаходився на рівні</w:t>
      </w:r>
      <w:r w:rsidR="000E712C" w:rsidRPr="00F7440D">
        <w:rPr>
          <w:rFonts w:ascii="Times New Roman" w:hAnsi="Times New Roman" w:cs="Times New Roman"/>
          <w:sz w:val="28"/>
          <w:szCs w:val="28"/>
          <w:lang w:val="uk-UA"/>
        </w:rPr>
        <w:t xml:space="preserve"> 2.20 ± 0.46 г/л на початку дослідження, рівень запалення відповідав 35.5 ± 2.35 </w:t>
      </w:r>
      <w:r w:rsidR="00297E3B" w:rsidRPr="00F7440D">
        <w:rPr>
          <w:rFonts w:ascii="Times New Roman" w:hAnsi="Times New Roman" w:cs="Times New Roman"/>
          <w:sz w:val="28"/>
          <w:szCs w:val="28"/>
          <w:lang w:val="uk-UA"/>
        </w:rPr>
        <w:t xml:space="preserve">% згідно з індексом РМА. Оцінювання регресійної </w:t>
      </w:r>
      <w:r w:rsidR="00E9728E" w:rsidRPr="00F7440D">
        <w:rPr>
          <w:rFonts w:ascii="Times New Roman" w:hAnsi="Times New Roman" w:cs="Times New Roman"/>
          <w:sz w:val="28"/>
          <w:szCs w:val="28"/>
          <w:lang w:val="uk-UA"/>
        </w:rPr>
        <w:t>статистики наведено у таблицях 8.20, 8.21, 8</w:t>
      </w:r>
      <w:r w:rsidR="00297E3B" w:rsidRPr="00F7440D">
        <w:rPr>
          <w:rFonts w:ascii="Times New Roman" w:hAnsi="Times New Roman" w:cs="Times New Roman"/>
          <w:sz w:val="28"/>
          <w:szCs w:val="28"/>
          <w:lang w:val="uk-UA"/>
        </w:rPr>
        <w:t xml:space="preserve">.22. </w:t>
      </w:r>
    </w:p>
    <w:p w14:paraId="72B5E301" w14:textId="68AD3536" w:rsidR="000E712C" w:rsidRPr="00F7440D" w:rsidRDefault="000E712C"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Pr="00F7440D">
        <w:rPr>
          <w:rFonts w:ascii="Times New Roman" w:hAnsi="Times New Roman"/>
          <w:sz w:val="28"/>
          <w:szCs w:val="28"/>
          <w:lang w:val="uk-UA"/>
        </w:rPr>
        <w:t>.20</w:t>
      </w:r>
    </w:p>
    <w:p w14:paraId="46D2A309" w14:textId="1E239383"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М та індексу РМА у третій групі пацієнтів</w:t>
      </w:r>
    </w:p>
    <w:tbl>
      <w:tblPr>
        <w:tblStyle w:val="TableGrid"/>
        <w:tblW w:w="0" w:type="auto"/>
        <w:tblLook w:val="04A0" w:firstRow="1" w:lastRow="0" w:firstColumn="1" w:lastColumn="0" w:noHBand="0" w:noVBand="1"/>
      </w:tblPr>
      <w:tblGrid>
        <w:gridCol w:w="5559"/>
        <w:gridCol w:w="3756"/>
      </w:tblGrid>
      <w:tr w:rsidR="000E712C" w:rsidRPr="00F7440D" w14:paraId="45C982BD" w14:textId="77777777" w:rsidTr="00573865">
        <w:trPr>
          <w:trHeight w:val="214"/>
        </w:trPr>
        <w:tc>
          <w:tcPr>
            <w:tcW w:w="9315" w:type="dxa"/>
            <w:gridSpan w:val="2"/>
            <w:noWrap/>
            <w:hideMark/>
          </w:tcPr>
          <w:p w14:paraId="19C56BE9" w14:textId="77777777" w:rsidR="000E712C" w:rsidRPr="00F7440D" w:rsidRDefault="000E712C"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0E712C" w:rsidRPr="00F7440D" w14:paraId="28C5646A" w14:textId="77777777" w:rsidTr="00573865">
        <w:trPr>
          <w:trHeight w:val="214"/>
        </w:trPr>
        <w:tc>
          <w:tcPr>
            <w:tcW w:w="5559" w:type="dxa"/>
            <w:noWrap/>
            <w:hideMark/>
          </w:tcPr>
          <w:p w14:paraId="5EA9763C"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2629B304" w14:textId="33E17D79"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0.829052</w:t>
            </w:r>
          </w:p>
        </w:tc>
      </w:tr>
      <w:tr w:rsidR="000E712C" w:rsidRPr="00F7440D" w14:paraId="7658BBDB" w14:textId="77777777" w:rsidTr="00573865">
        <w:trPr>
          <w:trHeight w:val="214"/>
        </w:trPr>
        <w:tc>
          <w:tcPr>
            <w:tcW w:w="5559" w:type="dxa"/>
            <w:noWrap/>
            <w:hideMark/>
          </w:tcPr>
          <w:p w14:paraId="37AA06AF"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10CF28B1" w14:textId="0689FD37"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0.687327</w:t>
            </w:r>
          </w:p>
        </w:tc>
      </w:tr>
      <w:tr w:rsidR="000E712C" w:rsidRPr="00F7440D" w14:paraId="03C79C58" w14:textId="77777777" w:rsidTr="00573865">
        <w:trPr>
          <w:trHeight w:val="214"/>
        </w:trPr>
        <w:tc>
          <w:tcPr>
            <w:tcW w:w="5559" w:type="dxa"/>
            <w:noWrap/>
            <w:hideMark/>
          </w:tcPr>
          <w:p w14:paraId="452BAB2E" w14:textId="77777777" w:rsidR="000E712C" w:rsidRPr="00F7440D" w:rsidRDefault="000E712C"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3752EFD5" w14:textId="55806B11" w:rsidR="000E712C" w:rsidRPr="00F7440D" w:rsidRDefault="000E712C" w:rsidP="00F7440D">
            <w:pPr>
              <w:spacing w:line="360" w:lineRule="auto"/>
              <w:ind w:firstLine="709"/>
              <w:rPr>
                <w:rFonts w:eastAsiaTheme="minorHAnsi" w:cs="Times New Roman"/>
                <w:sz w:val="28"/>
                <w:szCs w:val="28"/>
                <w:lang w:val="uk-UA"/>
              </w:rPr>
            </w:pPr>
            <w:r w:rsidRPr="00F7440D">
              <w:rPr>
                <w:rFonts w:cs="Times New Roman"/>
                <w:sz w:val="28"/>
                <w:szCs w:val="28"/>
              </w:rPr>
              <w:t>0.67616</w:t>
            </w:r>
          </w:p>
        </w:tc>
      </w:tr>
      <w:tr w:rsidR="000E712C" w:rsidRPr="00F7440D" w14:paraId="238C2FD9" w14:textId="77777777" w:rsidTr="00573865">
        <w:trPr>
          <w:trHeight w:val="214"/>
        </w:trPr>
        <w:tc>
          <w:tcPr>
            <w:tcW w:w="5559" w:type="dxa"/>
            <w:noWrap/>
            <w:hideMark/>
          </w:tcPr>
          <w:p w14:paraId="1BC586E8" w14:textId="77777777" w:rsidR="000E712C" w:rsidRPr="00F7440D" w:rsidRDefault="000E712C"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03D528D5" w14:textId="0170DB8A" w:rsidR="000E712C" w:rsidRPr="00F7440D" w:rsidRDefault="000E712C" w:rsidP="00F7440D">
            <w:pPr>
              <w:spacing w:line="360" w:lineRule="auto"/>
              <w:ind w:firstLine="709"/>
              <w:rPr>
                <w:rFonts w:eastAsiaTheme="minorHAnsi" w:cs="Times New Roman"/>
                <w:sz w:val="28"/>
                <w:szCs w:val="28"/>
              </w:rPr>
            </w:pPr>
            <w:r w:rsidRPr="00F7440D">
              <w:rPr>
                <w:rFonts w:cs="Times New Roman"/>
                <w:sz w:val="28"/>
                <w:szCs w:val="28"/>
              </w:rPr>
              <w:t>1.334587</w:t>
            </w:r>
          </w:p>
        </w:tc>
      </w:tr>
      <w:tr w:rsidR="000E712C" w:rsidRPr="00F7440D" w14:paraId="5C8BAE35" w14:textId="77777777" w:rsidTr="00573865">
        <w:trPr>
          <w:trHeight w:val="226"/>
        </w:trPr>
        <w:tc>
          <w:tcPr>
            <w:tcW w:w="5559" w:type="dxa"/>
            <w:noWrap/>
            <w:hideMark/>
          </w:tcPr>
          <w:p w14:paraId="541461B6" w14:textId="77777777" w:rsidR="000E712C" w:rsidRPr="00F7440D" w:rsidRDefault="000E712C"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2CF560B4" w14:textId="427CA7C7" w:rsidR="000E712C" w:rsidRPr="00F7440D" w:rsidRDefault="000E712C" w:rsidP="00F7440D">
            <w:pPr>
              <w:spacing w:line="360" w:lineRule="auto"/>
              <w:ind w:firstLine="709"/>
              <w:rPr>
                <w:rFonts w:eastAsiaTheme="minorHAnsi" w:cs="Times New Roman"/>
                <w:sz w:val="28"/>
                <w:szCs w:val="28"/>
              </w:rPr>
            </w:pPr>
            <w:r w:rsidRPr="00F7440D">
              <w:rPr>
                <w:rFonts w:cs="Times New Roman"/>
                <w:sz w:val="28"/>
                <w:szCs w:val="28"/>
              </w:rPr>
              <w:t>30</w:t>
            </w:r>
          </w:p>
        </w:tc>
      </w:tr>
    </w:tbl>
    <w:p w14:paraId="75A718C4" w14:textId="77777777" w:rsidR="000E712C" w:rsidRPr="00F7440D" w:rsidRDefault="000E712C" w:rsidP="00F7440D">
      <w:pPr>
        <w:spacing w:after="0" w:line="360" w:lineRule="auto"/>
        <w:ind w:firstLine="709"/>
        <w:rPr>
          <w:rFonts w:ascii="Times New Roman" w:hAnsi="Times New Roman"/>
          <w:sz w:val="28"/>
          <w:szCs w:val="28"/>
          <w:lang w:val="ru-RU"/>
        </w:rPr>
      </w:pPr>
    </w:p>
    <w:p w14:paraId="266E1E87" w14:textId="6D2E5EBA" w:rsidR="000E712C" w:rsidRPr="00F7440D" w:rsidRDefault="009A0A1B"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Як видно з отриманих результатів, к</w:t>
      </w:r>
      <w:r w:rsidR="000E712C" w:rsidRPr="00F7440D">
        <w:rPr>
          <w:rFonts w:ascii="Times New Roman" w:hAnsi="Times New Roman"/>
          <w:sz w:val="28"/>
          <w:szCs w:val="28"/>
          <w:lang w:val="uk-UA"/>
        </w:rPr>
        <w:t xml:space="preserve">оефіцієнт детермінації </w:t>
      </w:r>
      <w:r w:rsidR="000E712C" w:rsidRPr="00F7440D">
        <w:rPr>
          <w:rFonts w:ascii="Times New Roman" w:hAnsi="Times New Roman"/>
          <w:sz w:val="28"/>
          <w:szCs w:val="28"/>
        </w:rPr>
        <w:t>R</w:t>
      </w:r>
      <w:r w:rsidR="000E712C" w:rsidRPr="00F7440D">
        <w:rPr>
          <w:rFonts w:ascii="Times New Roman" w:hAnsi="Times New Roman"/>
          <w:sz w:val="28"/>
          <w:szCs w:val="28"/>
          <w:lang w:val="uk-UA"/>
        </w:rPr>
        <w:t>-квадрат</w:t>
      </w:r>
      <w:r w:rsidRPr="00F7440D">
        <w:rPr>
          <w:rFonts w:ascii="Times New Roman" w:hAnsi="Times New Roman"/>
          <w:sz w:val="28"/>
          <w:szCs w:val="28"/>
          <w:lang w:val="uk-UA"/>
        </w:rPr>
        <w:t xml:space="preserve"> дорівнював 0,69</w:t>
      </w:r>
      <w:r w:rsidR="000E712C" w:rsidRPr="00F7440D">
        <w:rPr>
          <w:rFonts w:ascii="Times New Roman" w:hAnsi="Times New Roman"/>
          <w:sz w:val="28"/>
          <w:szCs w:val="28"/>
          <w:lang w:val="uk-UA"/>
        </w:rPr>
        <w:t xml:space="preserve">, що </w:t>
      </w:r>
      <w:r w:rsidRPr="00F7440D">
        <w:rPr>
          <w:rFonts w:ascii="Times New Roman" w:hAnsi="Times New Roman"/>
          <w:sz w:val="28"/>
          <w:szCs w:val="28"/>
          <w:lang w:val="uk-UA"/>
        </w:rPr>
        <w:t>ставить під сумнів можливість</w:t>
      </w:r>
      <w:r w:rsidR="000E712C" w:rsidRPr="00F7440D">
        <w:rPr>
          <w:rFonts w:ascii="Times New Roman" w:hAnsi="Times New Roman"/>
          <w:sz w:val="28"/>
          <w:szCs w:val="28"/>
          <w:lang w:val="uk-UA"/>
        </w:rPr>
        <w:t xml:space="preserve"> використання результатів регресійного аналізу</w:t>
      </w:r>
      <w:r w:rsidRPr="00F7440D">
        <w:rPr>
          <w:rFonts w:ascii="Times New Roman" w:hAnsi="Times New Roman"/>
          <w:sz w:val="28"/>
          <w:szCs w:val="28"/>
          <w:lang w:val="uk-UA"/>
        </w:rPr>
        <w:t xml:space="preserve"> залежності рівня імуноглобуліну М та ступеню запалення ясен</w:t>
      </w:r>
      <w:r w:rsidR="000E712C" w:rsidRPr="00F7440D">
        <w:rPr>
          <w:rFonts w:ascii="Times New Roman" w:hAnsi="Times New Roman"/>
          <w:sz w:val="28"/>
          <w:szCs w:val="28"/>
          <w:lang w:val="uk-UA"/>
        </w:rPr>
        <w:t xml:space="preserve"> та прогнозу за допомогою рівняння регресії. </w:t>
      </w:r>
    </w:p>
    <w:p w14:paraId="398E0264" w14:textId="77777777" w:rsidR="00112933" w:rsidRDefault="00112933" w:rsidP="00F7440D">
      <w:pPr>
        <w:spacing w:after="0" w:line="360" w:lineRule="auto"/>
        <w:ind w:firstLine="709"/>
        <w:jc w:val="right"/>
        <w:rPr>
          <w:rFonts w:ascii="Times New Roman" w:hAnsi="Times New Roman"/>
          <w:sz w:val="28"/>
          <w:szCs w:val="28"/>
          <w:lang w:val="uk-UA"/>
        </w:rPr>
      </w:pPr>
    </w:p>
    <w:p w14:paraId="17FE9364" w14:textId="77777777" w:rsidR="00112933" w:rsidRDefault="00112933" w:rsidP="00F7440D">
      <w:pPr>
        <w:spacing w:after="0" w:line="360" w:lineRule="auto"/>
        <w:ind w:firstLine="709"/>
        <w:jc w:val="right"/>
        <w:rPr>
          <w:rFonts w:ascii="Times New Roman" w:hAnsi="Times New Roman"/>
          <w:sz w:val="28"/>
          <w:szCs w:val="28"/>
          <w:lang w:val="uk-UA"/>
        </w:rPr>
      </w:pPr>
    </w:p>
    <w:p w14:paraId="6995D651" w14:textId="673CD99E" w:rsidR="000E712C"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E712C" w:rsidRPr="00F7440D">
        <w:rPr>
          <w:rFonts w:ascii="Times New Roman" w:hAnsi="Times New Roman"/>
          <w:sz w:val="28"/>
          <w:szCs w:val="28"/>
          <w:lang w:val="uk-UA"/>
        </w:rPr>
        <w:t xml:space="preserve">.21 </w:t>
      </w:r>
    </w:p>
    <w:p w14:paraId="344BC0E3" w14:textId="635EC659"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М та індексу РМА у третій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0E712C" w:rsidRPr="00F7440D" w14:paraId="06882F38" w14:textId="77777777" w:rsidTr="00F4461B">
        <w:trPr>
          <w:trHeight w:val="269"/>
        </w:trPr>
        <w:tc>
          <w:tcPr>
            <w:tcW w:w="1668" w:type="dxa"/>
            <w:noWrap/>
            <w:hideMark/>
          </w:tcPr>
          <w:p w14:paraId="593387AD"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28E8CF11"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065C8324"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261FA5E4"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272BDCF1" w14:textId="77777777" w:rsidR="000E712C" w:rsidRPr="00F7440D" w:rsidRDefault="000E712C"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58C7DD78" w14:textId="77777777" w:rsidR="000E712C" w:rsidRPr="00F7440D" w:rsidRDefault="000E712C"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0E712C" w:rsidRPr="00F7440D" w14:paraId="7EFF860B" w14:textId="77777777" w:rsidTr="00F4461B">
        <w:trPr>
          <w:trHeight w:val="269"/>
        </w:trPr>
        <w:tc>
          <w:tcPr>
            <w:tcW w:w="1668" w:type="dxa"/>
            <w:noWrap/>
            <w:hideMark/>
          </w:tcPr>
          <w:p w14:paraId="31883D07"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hideMark/>
          </w:tcPr>
          <w:p w14:paraId="529A0C89" w14:textId="4384F9BE"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hideMark/>
          </w:tcPr>
          <w:p w14:paraId="7ADFB92F" w14:textId="0EA53CF9"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109.6286</w:t>
            </w:r>
          </w:p>
        </w:tc>
        <w:tc>
          <w:tcPr>
            <w:tcW w:w="1505" w:type="dxa"/>
            <w:noWrap/>
            <w:hideMark/>
          </w:tcPr>
          <w:p w14:paraId="73D042F9" w14:textId="2B376597"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109.6286</w:t>
            </w:r>
          </w:p>
        </w:tc>
        <w:tc>
          <w:tcPr>
            <w:tcW w:w="1505" w:type="dxa"/>
            <w:noWrap/>
            <w:hideMark/>
          </w:tcPr>
          <w:p w14:paraId="17A630E3" w14:textId="68EE6C14"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61.55033</w:t>
            </w:r>
          </w:p>
        </w:tc>
        <w:tc>
          <w:tcPr>
            <w:tcW w:w="1997" w:type="dxa"/>
            <w:noWrap/>
            <w:hideMark/>
          </w:tcPr>
          <w:p w14:paraId="5DAE33A1" w14:textId="48506EF6"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1.52E-08</w:t>
            </w:r>
          </w:p>
        </w:tc>
      </w:tr>
      <w:tr w:rsidR="000E712C" w:rsidRPr="00F7440D" w14:paraId="7D10865B" w14:textId="77777777" w:rsidTr="00F4461B">
        <w:trPr>
          <w:trHeight w:val="269"/>
        </w:trPr>
        <w:tc>
          <w:tcPr>
            <w:tcW w:w="1668" w:type="dxa"/>
            <w:noWrap/>
            <w:hideMark/>
          </w:tcPr>
          <w:p w14:paraId="2BC65D0B"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hideMark/>
          </w:tcPr>
          <w:p w14:paraId="73EC2B03" w14:textId="183A5576"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28</w:t>
            </w:r>
          </w:p>
        </w:tc>
        <w:tc>
          <w:tcPr>
            <w:tcW w:w="1505" w:type="dxa"/>
            <w:noWrap/>
            <w:hideMark/>
          </w:tcPr>
          <w:p w14:paraId="463AFEE3" w14:textId="7CC9AFC5"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49.8714</w:t>
            </w:r>
          </w:p>
        </w:tc>
        <w:tc>
          <w:tcPr>
            <w:tcW w:w="1505" w:type="dxa"/>
            <w:noWrap/>
            <w:hideMark/>
          </w:tcPr>
          <w:p w14:paraId="60511A69" w14:textId="3B274C78"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1.781121</w:t>
            </w:r>
          </w:p>
        </w:tc>
        <w:tc>
          <w:tcPr>
            <w:tcW w:w="1505" w:type="dxa"/>
            <w:noWrap/>
            <w:hideMark/>
          </w:tcPr>
          <w:p w14:paraId="226F2715" w14:textId="77777777" w:rsidR="000E712C" w:rsidRPr="00F7440D" w:rsidRDefault="000E712C" w:rsidP="00F7440D">
            <w:pPr>
              <w:spacing w:line="360" w:lineRule="auto"/>
              <w:jc w:val="right"/>
              <w:rPr>
                <w:rFonts w:eastAsia="Times New Roman" w:cs="Times New Roman"/>
                <w:sz w:val="28"/>
                <w:szCs w:val="28"/>
              </w:rPr>
            </w:pPr>
          </w:p>
        </w:tc>
        <w:tc>
          <w:tcPr>
            <w:tcW w:w="1997" w:type="dxa"/>
            <w:noWrap/>
            <w:hideMark/>
          </w:tcPr>
          <w:p w14:paraId="1D3B0A8D" w14:textId="77777777" w:rsidR="000E712C" w:rsidRPr="00F7440D" w:rsidRDefault="000E712C" w:rsidP="00F7440D">
            <w:pPr>
              <w:spacing w:line="360" w:lineRule="auto"/>
              <w:rPr>
                <w:rFonts w:eastAsia="Times New Roman" w:cs="Times New Roman"/>
                <w:sz w:val="28"/>
                <w:szCs w:val="28"/>
              </w:rPr>
            </w:pPr>
          </w:p>
        </w:tc>
      </w:tr>
      <w:tr w:rsidR="000E712C" w:rsidRPr="00F7440D" w14:paraId="4C3E6E4B" w14:textId="77777777" w:rsidTr="00F4461B">
        <w:trPr>
          <w:trHeight w:val="284"/>
        </w:trPr>
        <w:tc>
          <w:tcPr>
            <w:tcW w:w="1668" w:type="dxa"/>
            <w:noWrap/>
            <w:hideMark/>
          </w:tcPr>
          <w:p w14:paraId="7DFF47AB" w14:textId="77777777" w:rsidR="000E712C" w:rsidRPr="00F7440D" w:rsidRDefault="000E712C"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hideMark/>
          </w:tcPr>
          <w:p w14:paraId="456D59A4" w14:textId="30C8EDCD"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29</w:t>
            </w:r>
          </w:p>
        </w:tc>
        <w:tc>
          <w:tcPr>
            <w:tcW w:w="1505" w:type="dxa"/>
            <w:noWrap/>
            <w:hideMark/>
          </w:tcPr>
          <w:p w14:paraId="0F14BF6C" w14:textId="672C0690" w:rsidR="000E712C" w:rsidRPr="00F7440D" w:rsidRDefault="000E712C" w:rsidP="00F7440D">
            <w:pPr>
              <w:spacing w:line="360" w:lineRule="auto"/>
              <w:jc w:val="right"/>
              <w:rPr>
                <w:rFonts w:eastAsia="Times New Roman" w:cs="Times New Roman"/>
                <w:sz w:val="28"/>
                <w:szCs w:val="28"/>
              </w:rPr>
            </w:pPr>
            <w:r w:rsidRPr="00F7440D">
              <w:rPr>
                <w:rFonts w:cs="Times New Roman"/>
                <w:sz w:val="28"/>
                <w:szCs w:val="28"/>
              </w:rPr>
              <w:t>159.5</w:t>
            </w:r>
          </w:p>
        </w:tc>
        <w:tc>
          <w:tcPr>
            <w:tcW w:w="1505" w:type="dxa"/>
            <w:noWrap/>
            <w:hideMark/>
          </w:tcPr>
          <w:p w14:paraId="2A0059B8" w14:textId="126DED3C"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hideMark/>
          </w:tcPr>
          <w:p w14:paraId="6A7EA642" w14:textId="1F022008"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hideMark/>
          </w:tcPr>
          <w:p w14:paraId="17BD1795" w14:textId="4E3D39BB" w:rsidR="000E712C" w:rsidRPr="00F7440D" w:rsidRDefault="000E712C" w:rsidP="00F7440D">
            <w:pPr>
              <w:spacing w:line="360" w:lineRule="auto"/>
              <w:rPr>
                <w:rFonts w:eastAsia="Times New Roman" w:cs="Times New Roman"/>
                <w:sz w:val="28"/>
                <w:szCs w:val="28"/>
              </w:rPr>
            </w:pPr>
            <w:r w:rsidRPr="00F7440D">
              <w:rPr>
                <w:rFonts w:cs="Times New Roman"/>
                <w:sz w:val="28"/>
                <w:szCs w:val="28"/>
              </w:rPr>
              <w:t> </w:t>
            </w:r>
          </w:p>
        </w:tc>
      </w:tr>
    </w:tbl>
    <w:p w14:paraId="295CC83A" w14:textId="77777777" w:rsidR="000728CB" w:rsidRPr="00F7440D" w:rsidRDefault="000728CB" w:rsidP="00F7440D">
      <w:pPr>
        <w:spacing w:after="0" w:line="360" w:lineRule="auto"/>
        <w:rPr>
          <w:rFonts w:ascii="Times New Roman" w:hAnsi="Times New Roman"/>
          <w:sz w:val="28"/>
          <w:szCs w:val="28"/>
        </w:rPr>
      </w:pPr>
    </w:p>
    <w:p w14:paraId="0D29EE85" w14:textId="4B371E95" w:rsidR="000E712C"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0E712C" w:rsidRPr="00F7440D">
        <w:rPr>
          <w:rFonts w:ascii="Times New Roman" w:hAnsi="Times New Roman"/>
          <w:sz w:val="28"/>
          <w:szCs w:val="28"/>
          <w:lang w:val="uk-UA"/>
        </w:rPr>
        <w:t>.</w:t>
      </w:r>
      <w:r w:rsidR="000E712C" w:rsidRPr="00F7440D">
        <w:rPr>
          <w:rFonts w:ascii="Times New Roman" w:hAnsi="Times New Roman"/>
          <w:sz w:val="28"/>
          <w:szCs w:val="28"/>
        </w:rPr>
        <w:t>22</w:t>
      </w:r>
      <w:r w:rsidR="000E712C" w:rsidRPr="00F7440D">
        <w:rPr>
          <w:rFonts w:ascii="Times New Roman" w:hAnsi="Times New Roman"/>
          <w:sz w:val="28"/>
          <w:szCs w:val="28"/>
          <w:lang w:val="uk-UA"/>
        </w:rPr>
        <w:t xml:space="preserve"> </w:t>
      </w:r>
    </w:p>
    <w:p w14:paraId="1CB02043" w14:textId="140C7E5C" w:rsidR="000E712C" w:rsidRPr="00F7440D" w:rsidRDefault="000E712C"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TableGrid"/>
        <w:tblW w:w="9520" w:type="dxa"/>
        <w:tblLook w:val="04A0" w:firstRow="1" w:lastRow="0" w:firstColumn="1" w:lastColumn="0" w:noHBand="0" w:noVBand="1"/>
      </w:tblPr>
      <w:tblGrid>
        <w:gridCol w:w="2021"/>
        <w:gridCol w:w="2254"/>
        <w:gridCol w:w="2021"/>
        <w:gridCol w:w="1859"/>
        <w:gridCol w:w="1365"/>
      </w:tblGrid>
      <w:tr w:rsidR="000E712C" w:rsidRPr="00F7440D" w14:paraId="00FA1C87" w14:textId="77777777" w:rsidTr="000E712C">
        <w:trPr>
          <w:trHeight w:val="249"/>
        </w:trPr>
        <w:tc>
          <w:tcPr>
            <w:tcW w:w="2021" w:type="dxa"/>
            <w:noWrap/>
            <w:hideMark/>
          </w:tcPr>
          <w:p w14:paraId="2BD269CE" w14:textId="77777777" w:rsidR="000E712C" w:rsidRPr="00F7440D" w:rsidRDefault="000E712C"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4231D7E8" w14:textId="77777777" w:rsidR="000E712C" w:rsidRPr="00F7440D" w:rsidRDefault="000E712C"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0D34B17B" w14:textId="77777777" w:rsidR="000E712C" w:rsidRPr="00F7440D" w:rsidRDefault="000E712C"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39897920" w14:textId="77777777" w:rsidR="000E712C" w:rsidRPr="00F7440D" w:rsidRDefault="000E712C"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69F8985D" w14:textId="77777777" w:rsidR="000E712C" w:rsidRPr="00F7440D" w:rsidRDefault="000E712C"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0E712C" w:rsidRPr="00F7440D" w14:paraId="120ABF7C" w14:textId="77777777" w:rsidTr="000E712C">
        <w:trPr>
          <w:trHeight w:val="249"/>
        </w:trPr>
        <w:tc>
          <w:tcPr>
            <w:tcW w:w="2021" w:type="dxa"/>
            <w:noWrap/>
            <w:hideMark/>
          </w:tcPr>
          <w:p w14:paraId="16251A5F"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28717240" w14:textId="27E1EE86" w:rsidR="000E712C" w:rsidRPr="00F7440D" w:rsidRDefault="000E712C" w:rsidP="00F7440D">
            <w:pPr>
              <w:rPr>
                <w:rFonts w:eastAsia="Times New Roman" w:cs="Times New Roman"/>
                <w:sz w:val="28"/>
                <w:szCs w:val="28"/>
              </w:rPr>
            </w:pPr>
            <w:r w:rsidRPr="00F7440D">
              <w:rPr>
                <w:rFonts w:cs="Times New Roman"/>
                <w:sz w:val="28"/>
                <w:szCs w:val="28"/>
              </w:rPr>
              <w:t>40.18569</w:t>
            </w:r>
          </w:p>
        </w:tc>
        <w:tc>
          <w:tcPr>
            <w:tcW w:w="2021" w:type="dxa"/>
            <w:noWrap/>
            <w:vAlign w:val="bottom"/>
            <w:hideMark/>
          </w:tcPr>
          <w:p w14:paraId="2338C806" w14:textId="062C4F05" w:rsidR="000E712C" w:rsidRPr="00F7440D" w:rsidRDefault="000E712C" w:rsidP="00F7440D">
            <w:pPr>
              <w:rPr>
                <w:rFonts w:eastAsia="Times New Roman" w:cs="Times New Roman"/>
                <w:sz w:val="28"/>
                <w:szCs w:val="28"/>
              </w:rPr>
            </w:pPr>
            <w:r w:rsidRPr="00F7440D">
              <w:rPr>
                <w:rFonts w:cs="Times New Roman"/>
                <w:sz w:val="28"/>
                <w:szCs w:val="28"/>
              </w:rPr>
              <w:t>0.645044</w:t>
            </w:r>
          </w:p>
        </w:tc>
        <w:tc>
          <w:tcPr>
            <w:tcW w:w="1859" w:type="dxa"/>
            <w:noWrap/>
            <w:vAlign w:val="bottom"/>
            <w:hideMark/>
          </w:tcPr>
          <w:p w14:paraId="545E43F1" w14:textId="70B09FD1" w:rsidR="000E712C" w:rsidRPr="00F7440D" w:rsidRDefault="000E712C" w:rsidP="00F7440D">
            <w:pPr>
              <w:rPr>
                <w:rFonts w:eastAsia="Times New Roman" w:cs="Times New Roman"/>
                <w:sz w:val="28"/>
                <w:szCs w:val="28"/>
              </w:rPr>
            </w:pPr>
            <w:r w:rsidRPr="00F7440D">
              <w:rPr>
                <w:rFonts w:cs="Times New Roman"/>
                <w:sz w:val="28"/>
                <w:szCs w:val="28"/>
              </w:rPr>
              <w:t>62.29916</w:t>
            </w:r>
          </w:p>
        </w:tc>
        <w:tc>
          <w:tcPr>
            <w:tcW w:w="1365" w:type="dxa"/>
            <w:noWrap/>
            <w:vAlign w:val="bottom"/>
            <w:hideMark/>
          </w:tcPr>
          <w:p w14:paraId="3F6147C2" w14:textId="0E5EF0A3" w:rsidR="000E712C" w:rsidRPr="00F7440D" w:rsidRDefault="000E712C" w:rsidP="00F7440D">
            <w:pPr>
              <w:jc w:val="right"/>
              <w:rPr>
                <w:rFonts w:eastAsia="Times New Roman" w:cs="Times New Roman"/>
                <w:sz w:val="28"/>
                <w:szCs w:val="28"/>
              </w:rPr>
            </w:pPr>
            <w:r w:rsidRPr="00F7440D">
              <w:rPr>
                <w:rFonts w:cs="Times New Roman"/>
                <w:sz w:val="28"/>
                <w:szCs w:val="28"/>
              </w:rPr>
              <w:t>1.4E-31</w:t>
            </w:r>
          </w:p>
        </w:tc>
      </w:tr>
      <w:tr w:rsidR="000E712C" w:rsidRPr="00F7440D" w14:paraId="54BB8FFE" w14:textId="77777777" w:rsidTr="000E712C">
        <w:trPr>
          <w:trHeight w:val="264"/>
        </w:trPr>
        <w:tc>
          <w:tcPr>
            <w:tcW w:w="2021" w:type="dxa"/>
            <w:noWrap/>
            <w:hideMark/>
          </w:tcPr>
          <w:p w14:paraId="4160C200" w14:textId="77777777" w:rsidR="000E712C" w:rsidRPr="00F7440D" w:rsidRDefault="000E712C"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37FF5E8E" w14:textId="6A6C047B" w:rsidR="000E712C" w:rsidRPr="00F7440D" w:rsidRDefault="000E712C" w:rsidP="00F7440D">
            <w:pPr>
              <w:rPr>
                <w:rFonts w:eastAsia="Times New Roman" w:cs="Times New Roman"/>
                <w:sz w:val="28"/>
                <w:szCs w:val="28"/>
              </w:rPr>
            </w:pPr>
            <w:r w:rsidRPr="00F7440D">
              <w:rPr>
                <w:rFonts w:cs="Times New Roman"/>
                <w:sz w:val="28"/>
                <w:szCs w:val="28"/>
              </w:rPr>
              <w:t>-2.94265</w:t>
            </w:r>
          </w:p>
        </w:tc>
        <w:tc>
          <w:tcPr>
            <w:tcW w:w="2021" w:type="dxa"/>
            <w:noWrap/>
            <w:vAlign w:val="bottom"/>
            <w:hideMark/>
          </w:tcPr>
          <w:p w14:paraId="5ADB3E48" w14:textId="64756C67" w:rsidR="000E712C" w:rsidRPr="00F7440D" w:rsidRDefault="000E712C" w:rsidP="00F7440D">
            <w:pPr>
              <w:rPr>
                <w:rFonts w:eastAsia="Times New Roman" w:cs="Times New Roman"/>
                <w:sz w:val="28"/>
                <w:szCs w:val="28"/>
              </w:rPr>
            </w:pPr>
            <w:r w:rsidRPr="00F7440D">
              <w:rPr>
                <w:rFonts w:cs="Times New Roman"/>
                <w:sz w:val="28"/>
                <w:szCs w:val="28"/>
              </w:rPr>
              <w:t>0.37508</w:t>
            </w:r>
          </w:p>
        </w:tc>
        <w:tc>
          <w:tcPr>
            <w:tcW w:w="1859" w:type="dxa"/>
            <w:noWrap/>
            <w:vAlign w:val="bottom"/>
            <w:hideMark/>
          </w:tcPr>
          <w:p w14:paraId="27F1420D" w14:textId="4C66038B" w:rsidR="000E712C" w:rsidRPr="00F7440D" w:rsidRDefault="000E712C" w:rsidP="00F7440D">
            <w:pPr>
              <w:rPr>
                <w:rFonts w:eastAsia="Times New Roman" w:cs="Times New Roman"/>
                <w:sz w:val="28"/>
                <w:szCs w:val="28"/>
              </w:rPr>
            </w:pPr>
            <w:r w:rsidRPr="00F7440D">
              <w:rPr>
                <w:rFonts w:cs="Times New Roman"/>
                <w:sz w:val="28"/>
                <w:szCs w:val="28"/>
              </w:rPr>
              <w:t>-7.8454</w:t>
            </w:r>
          </w:p>
        </w:tc>
        <w:tc>
          <w:tcPr>
            <w:tcW w:w="1365" w:type="dxa"/>
            <w:noWrap/>
            <w:vAlign w:val="bottom"/>
            <w:hideMark/>
          </w:tcPr>
          <w:p w14:paraId="6D7FA3CB" w14:textId="01D4EAC2" w:rsidR="000E712C" w:rsidRPr="00F7440D" w:rsidRDefault="000E712C" w:rsidP="00F7440D">
            <w:pPr>
              <w:jc w:val="right"/>
              <w:rPr>
                <w:rFonts w:eastAsia="Times New Roman" w:cs="Times New Roman"/>
                <w:sz w:val="28"/>
                <w:szCs w:val="28"/>
              </w:rPr>
            </w:pPr>
            <w:r w:rsidRPr="00F7440D">
              <w:rPr>
                <w:rFonts w:cs="Times New Roman"/>
                <w:sz w:val="28"/>
                <w:szCs w:val="28"/>
              </w:rPr>
              <w:t>1.52E-08</w:t>
            </w:r>
          </w:p>
        </w:tc>
      </w:tr>
    </w:tbl>
    <w:p w14:paraId="3A8FD6D2" w14:textId="77777777" w:rsidR="000E712C" w:rsidRPr="00F7440D" w:rsidRDefault="000E712C" w:rsidP="00F7440D">
      <w:pPr>
        <w:spacing w:after="0" w:line="360" w:lineRule="auto"/>
        <w:ind w:firstLine="709"/>
        <w:rPr>
          <w:rFonts w:ascii="Times New Roman" w:hAnsi="Times New Roman"/>
          <w:sz w:val="28"/>
          <w:szCs w:val="28"/>
          <w:lang w:val="ru-RU"/>
        </w:rPr>
      </w:pPr>
    </w:p>
    <w:p w14:paraId="1EFD45CD" w14:textId="0D54CDB6" w:rsidR="000E712C" w:rsidRPr="00F7440D" w:rsidRDefault="009A0A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ru-RU"/>
        </w:rPr>
        <w:t xml:space="preserve">Доволі високі значення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 xml:space="preserve"> </w:t>
      </w:r>
      <w:r w:rsidRPr="00F7440D">
        <w:rPr>
          <w:rFonts w:ascii="Times New Roman" w:hAnsi="Times New Roman" w:cs="Times New Roman"/>
          <w:sz w:val="28"/>
          <w:szCs w:val="28"/>
          <w:lang w:val="uk-UA"/>
        </w:rPr>
        <w:t>критерію Фішера підтверджують доволі високу вірогідність неправильного прогнозу ступеню запалення ясен на основі використання з метою прогнозу значень імуноглобуліну М.</w:t>
      </w:r>
    </w:p>
    <w:p w14:paraId="6FAAFA64" w14:textId="19F0ABE0" w:rsidR="009A0A1B" w:rsidRPr="00F7440D" w:rsidRDefault="009A0A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Для виявлення закономірності або доведення її відсутності нами також проведений регресійний аналіз даних у групі дітей з атопічними захворюваннями в анамнезі, але у яких не було виявлено хронічного гінгівіту. Для цього ми проаналізували показники другої групи пацієнтів, визначені на початку дослідження. Як показали результати, рівень запалення ясен згідно з індексом РМА достовірно відрізнявся від показників третьої групи, де був попередньо здійснений регресійний аналіз, та дорівнював 6.86 ± 1.53 %</w:t>
      </w:r>
      <w:r w:rsidR="00A3239D" w:rsidRPr="00F7440D">
        <w:rPr>
          <w:rFonts w:ascii="Times New Roman" w:hAnsi="Times New Roman" w:cs="Times New Roman"/>
          <w:sz w:val="28"/>
          <w:szCs w:val="28"/>
          <w:lang w:val="uk-UA"/>
        </w:rPr>
        <w:t>. Важливо відмітити, що рівень імуноглобуліну М достовірно не відрізнявся від аналогічних показників третьої групи, знаходився на рівні 2.05 ± 0.52 г/л, що підтверджує наявність імунологічних змін у дітей з атопічними захворюваннями та існування стадії передхвороби хронічного гінгівіту у дітей на тлі обтяженого загальносоматичного статусу.</w:t>
      </w:r>
    </w:p>
    <w:p w14:paraId="0C664E51" w14:textId="6512D1FC" w:rsidR="000728CB"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Отримані дані регресійно</w:t>
      </w:r>
      <w:r w:rsidR="00E9728E" w:rsidRPr="00F7440D">
        <w:rPr>
          <w:rFonts w:ascii="Times New Roman" w:hAnsi="Times New Roman" w:cs="Times New Roman"/>
          <w:sz w:val="28"/>
          <w:szCs w:val="28"/>
          <w:lang w:val="uk-UA"/>
        </w:rPr>
        <w:t>го аналізу наведені у таблицях 8.23, 8</w:t>
      </w:r>
      <w:r w:rsidRPr="00F7440D">
        <w:rPr>
          <w:rFonts w:ascii="Times New Roman" w:hAnsi="Times New Roman" w:cs="Times New Roman"/>
          <w:sz w:val="28"/>
          <w:szCs w:val="28"/>
          <w:lang w:val="uk-UA"/>
        </w:rPr>
        <w:t>.24</w:t>
      </w:r>
      <w:r w:rsidR="00E9728E" w:rsidRPr="00F7440D">
        <w:rPr>
          <w:rFonts w:ascii="Times New Roman" w:hAnsi="Times New Roman" w:cs="Times New Roman"/>
          <w:sz w:val="28"/>
          <w:szCs w:val="28"/>
          <w:lang w:val="uk-UA"/>
        </w:rPr>
        <w:t>, 8</w:t>
      </w:r>
      <w:r w:rsidRPr="00F7440D">
        <w:rPr>
          <w:rFonts w:ascii="Times New Roman" w:hAnsi="Times New Roman" w:cs="Times New Roman"/>
          <w:sz w:val="28"/>
          <w:szCs w:val="28"/>
          <w:lang w:val="uk-UA"/>
        </w:rPr>
        <w:t>.25.</w:t>
      </w:r>
    </w:p>
    <w:p w14:paraId="7F88A9D2" w14:textId="409F8E15" w:rsidR="00EA2B01" w:rsidRPr="00F7440D" w:rsidRDefault="00EA2B01"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Pr="00F7440D">
        <w:rPr>
          <w:rFonts w:ascii="Times New Roman" w:hAnsi="Times New Roman"/>
          <w:sz w:val="28"/>
          <w:szCs w:val="28"/>
          <w:lang w:val="uk-UA"/>
        </w:rPr>
        <w:t>.23</w:t>
      </w:r>
    </w:p>
    <w:p w14:paraId="38E7DEFE" w14:textId="37589015"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рівнів імуноглобуліну М та індексу РМА у другій групі пацієнтів</w:t>
      </w:r>
    </w:p>
    <w:tbl>
      <w:tblPr>
        <w:tblStyle w:val="TableGrid"/>
        <w:tblW w:w="0" w:type="auto"/>
        <w:tblLook w:val="04A0" w:firstRow="1" w:lastRow="0" w:firstColumn="1" w:lastColumn="0" w:noHBand="0" w:noVBand="1"/>
      </w:tblPr>
      <w:tblGrid>
        <w:gridCol w:w="5559"/>
        <w:gridCol w:w="3756"/>
      </w:tblGrid>
      <w:tr w:rsidR="00EA2B01" w:rsidRPr="00F7440D" w14:paraId="06ECA07E" w14:textId="77777777" w:rsidTr="00573865">
        <w:trPr>
          <w:trHeight w:val="214"/>
        </w:trPr>
        <w:tc>
          <w:tcPr>
            <w:tcW w:w="9315" w:type="dxa"/>
            <w:gridSpan w:val="2"/>
            <w:noWrap/>
            <w:hideMark/>
          </w:tcPr>
          <w:p w14:paraId="326279EF" w14:textId="77777777" w:rsidR="00EA2B01" w:rsidRPr="00F7440D" w:rsidRDefault="00EA2B01"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EA2B01" w:rsidRPr="00F7440D" w14:paraId="0AEE9C28" w14:textId="77777777" w:rsidTr="00573865">
        <w:trPr>
          <w:trHeight w:val="214"/>
        </w:trPr>
        <w:tc>
          <w:tcPr>
            <w:tcW w:w="5559" w:type="dxa"/>
            <w:noWrap/>
            <w:hideMark/>
          </w:tcPr>
          <w:p w14:paraId="3ED5AD02"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265AF826" w14:textId="3E06768A"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0.65835</w:t>
            </w:r>
          </w:p>
        </w:tc>
      </w:tr>
      <w:tr w:rsidR="00EA2B01" w:rsidRPr="00F7440D" w14:paraId="4FDF019F" w14:textId="77777777" w:rsidTr="00573865">
        <w:trPr>
          <w:trHeight w:val="214"/>
        </w:trPr>
        <w:tc>
          <w:tcPr>
            <w:tcW w:w="5559" w:type="dxa"/>
            <w:noWrap/>
            <w:hideMark/>
          </w:tcPr>
          <w:p w14:paraId="7EE94F8B"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579D7D5B" w14:textId="6F399A0E"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0.433425</w:t>
            </w:r>
          </w:p>
        </w:tc>
      </w:tr>
      <w:tr w:rsidR="00EA2B01" w:rsidRPr="00F7440D" w14:paraId="1201541E" w14:textId="77777777" w:rsidTr="00573865">
        <w:trPr>
          <w:trHeight w:val="214"/>
        </w:trPr>
        <w:tc>
          <w:tcPr>
            <w:tcW w:w="5559" w:type="dxa"/>
            <w:noWrap/>
            <w:hideMark/>
          </w:tcPr>
          <w:p w14:paraId="394E0A60" w14:textId="77777777" w:rsidR="00EA2B01" w:rsidRPr="00F7440D" w:rsidRDefault="00EA2B01"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01F0E802" w14:textId="6A50746E" w:rsidR="00EA2B01" w:rsidRPr="00F7440D" w:rsidRDefault="00EA2B01" w:rsidP="00F7440D">
            <w:pPr>
              <w:spacing w:line="360" w:lineRule="auto"/>
              <w:ind w:firstLine="709"/>
              <w:rPr>
                <w:rFonts w:eastAsiaTheme="minorHAnsi" w:cs="Times New Roman"/>
                <w:sz w:val="28"/>
                <w:szCs w:val="28"/>
                <w:lang w:val="uk-UA"/>
              </w:rPr>
            </w:pPr>
            <w:r w:rsidRPr="00F7440D">
              <w:rPr>
                <w:rFonts w:cs="Times New Roman"/>
                <w:sz w:val="28"/>
                <w:szCs w:val="28"/>
              </w:rPr>
              <w:t>0.421621</w:t>
            </w:r>
          </w:p>
        </w:tc>
      </w:tr>
      <w:tr w:rsidR="00EA2B01" w:rsidRPr="00F7440D" w14:paraId="33508D27" w14:textId="77777777" w:rsidTr="00573865">
        <w:trPr>
          <w:trHeight w:val="214"/>
        </w:trPr>
        <w:tc>
          <w:tcPr>
            <w:tcW w:w="5559" w:type="dxa"/>
            <w:noWrap/>
            <w:hideMark/>
          </w:tcPr>
          <w:p w14:paraId="5804D000" w14:textId="77777777" w:rsidR="00EA2B01" w:rsidRPr="00F7440D" w:rsidRDefault="00EA2B01"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4BAC7D52" w14:textId="3BC48DB0" w:rsidR="00EA2B01" w:rsidRPr="00F7440D" w:rsidRDefault="00EA2B01" w:rsidP="00F7440D">
            <w:pPr>
              <w:spacing w:line="360" w:lineRule="auto"/>
              <w:ind w:firstLine="709"/>
              <w:rPr>
                <w:rFonts w:eastAsiaTheme="minorHAnsi" w:cs="Times New Roman"/>
                <w:sz w:val="28"/>
                <w:szCs w:val="28"/>
              </w:rPr>
            </w:pPr>
            <w:r w:rsidRPr="00F7440D">
              <w:rPr>
                <w:rFonts w:cs="Times New Roman"/>
                <w:sz w:val="28"/>
                <w:szCs w:val="28"/>
              </w:rPr>
              <w:t>1.160109</w:t>
            </w:r>
          </w:p>
        </w:tc>
      </w:tr>
      <w:tr w:rsidR="00EA2B01" w:rsidRPr="00F7440D" w14:paraId="5066F42A" w14:textId="77777777" w:rsidTr="00573865">
        <w:trPr>
          <w:trHeight w:val="226"/>
        </w:trPr>
        <w:tc>
          <w:tcPr>
            <w:tcW w:w="5559" w:type="dxa"/>
            <w:noWrap/>
            <w:hideMark/>
          </w:tcPr>
          <w:p w14:paraId="3443ED42" w14:textId="77777777" w:rsidR="00EA2B01" w:rsidRPr="00F7440D" w:rsidRDefault="00EA2B01"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2CF1B985" w14:textId="04580FFB" w:rsidR="00EA2B01" w:rsidRPr="00F7440D" w:rsidRDefault="00EA2B01" w:rsidP="00F7440D">
            <w:pPr>
              <w:spacing w:line="360" w:lineRule="auto"/>
              <w:ind w:firstLine="709"/>
              <w:rPr>
                <w:rFonts w:eastAsiaTheme="minorHAnsi" w:cs="Times New Roman"/>
                <w:sz w:val="28"/>
                <w:szCs w:val="28"/>
              </w:rPr>
            </w:pPr>
            <w:r w:rsidRPr="00F7440D">
              <w:rPr>
                <w:rFonts w:cs="Times New Roman"/>
                <w:sz w:val="28"/>
                <w:szCs w:val="28"/>
              </w:rPr>
              <w:t>50</w:t>
            </w:r>
          </w:p>
        </w:tc>
      </w:tr>
    </w:tbl>
    <w:p w14:paraId="18B1C8BA" w14:textId="77777777" w:rsidR="00EA2B01" w:rsidRPr="00F7440D" w:rsidRDefault="00EA2B01" w:rsidP="00F7440D">
      <w:pPr>
        <w:spacing w:after="0" w:line="360" w:lineRule="auto"/>
        <w:ind w:firstLine="709"/>
        <w:rPr>
          <w:rFonts w:ascii="Times New Roman" w:hAnsi="Times New Roman"/>
          <w:sz w:val="28"/>
          <w:szCs w:val="28"/>
          <w:lang w:val="ru-RU"/>
        </w:rPr>
      </w:pPr>
    </w:p>
    <w:p w14:paraId="1C1BE37A" w14:textId="77777777" w:rsidR="00EA2B01"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Проведенння регресійного аналізу дозволило визначити коефіцієнт детермінації, який дорівнював 0.43, а отже зв’язок між даними параметрами у другій групі пацієнтів ще слабший, ніж у третій групі. </w:t>
      </w:r>
    </w:p>
    <w:p w14:paraId="5A29D50C" w14:textId="47CB91F6" w:rsidR="00EA2B01"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EA2B01" w:rsidRPr="00F7440D">
        <w:rPr>
          <w:rFonts w:ascii="Times New Roman" w:hAnsi="Times New Roman"/>
          <w:sz w:val="28"/>
          <w:szCs w:val="28"/>
          <w:lang w:val="uk-UA"/>
        </w:rPr>
        <w:t xml:space="preserve">.24 </w:t>
      </w:r>
    </w:p>
    <w:p w14:paraId="11DF2014" w14:textId="254E5F14"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рівнів імуноглобуліну М та індексу РМА у другій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EA2B01" w:rsidRPr="00F7440D" w14:paraId="4148C423" w14:textId="77777777" w:rsidTr="00573865">
        <w:trPr>
          <w:trHeight w:val="269"/>
        </w:trPr>
        <w:tc>
          <w:tcPr>
            <w:tcW w:w="1668" w:type="dxa"/>
            <w:noWrap/>
            <w:hideMark/>
          </w:tcPr>
          <w:p w14:paraId="37DE5644"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67A02E9D"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07293AEB"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53C602D7"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6E67D828" w14:textId="77777777" w:rsidR="00EA2B01" w:rsidRPr="00F7440D" w:rsidRDefault="00EA2B01"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20DC5F82" w14:textId="77777777" w:rsidR="00EA2B01" w:rsidRPr="00F7440D" w:rsidRDefault="00EA2B01"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EA2B01" w:rsidRPr="00F7440D" w14:paraId="6116C204" w14:textId="77777777" w:rsidTr="00573865">
        <w:trPr>
          <w:trHeight w:val="269"/>
        </w:trPr>
        <w:tc>
          <w:tcPr>
            <w:tcW w:w="1668" w:type="dxa"/>
            <w:noWrap/>
            <w:hideMark/>
          </w:tcPr>
          <w:p w14:paraId="1F993840"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540FB84E" w14:textId="38A844AE"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7A1E65FE" w14:textId="3100096A"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49.41907</w:t>
            </w:r>
          </w:p>
        </w:tc>
        <w:tc>
          <w:tcPr>
            <w:tcW w:w="1505" w:type="dxa"/>
            <w:noWrap/>
            <w:vAlign w:val="bottom"/>
            <w:hideMark/>
          </w:tcPr>
          <w:p w14:paraId="7B3BC36C" w14:textId="6D191C48"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49.41907</w:t>
            </w:r>
          </w:p>
        </w:tc>
        <w:tc>
          <w:tcPr>
            <w:tcW w:w="1505" w:type="dxa"/>
            <w:noWrap/>
            <w:vAlign w:val="bottom"/>
            <w:hideMark/>
          </w:tcPr>
          <w:p w14:paraId="3EC4F3B4" w14:textId="0D3B65E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36.71953</w:t>
            </w:r>
          </w:p>
        </w:tc>
        <w:tc>
          <w:tcPr>
            <w:tcW w:w="1997" w:type="dxa"/>
            <w:noWrap/>
            <w:vAlign w:val="bottom"/>
            <w:hideMark/>
          </w:tcPr>
          <w:p w14:paraId="24C628C5" w14:textId="3278CF01"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2.03E-07</w:t>
            </w:r>
          </w:p>
        </w:tc>
      </w:tr>
      <w:tr w:rsidR="00EA2B01" w:rsidRPr="00F7440D" w14:paraId="6EAC304E" w14:textId="77777777" w:rsidTr="00573865">
        <w:trPr>
          <w:trHeight w:val="269"/>
        </w:trPr>
        <w:tc>
          <w:tcPr>
            <w:tcW w:w="1668" w:type="dxa"/>
            <w:noWrap/>
            <w:hideMark/>
          </w:tcPr>
          <w:p w14:paraId="411DF2FD"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34FF9E17" w14:textId="1B70521F"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48</w:t>
            </w:r>
          </w:p>
        </w:tc>
        <w:tc>
          <w:tcPr>
            <w:tcW w:w="1505" w:type="dxa"/>
            <w:noWrap/>
            <w:vAlign w:val="bottom"/>
            <w:hideMark/>
          </w:tcPr>
          <w:p w14:paraId="4D60AB73" w14:textId="2D0C129F"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64.60093</w:t>
            </w:r>
          </w:p>
        </w:tc>
        <w:tc>
          <w:tcPr>
            <w:tcW w:w="1505" w:type="dxa"/>
            <w:noWrap/>
            <w:vAlign w:val="bottom"/>
            <w:hideMark/>
          </w:tcPr>
          <w:p w14:paraId="109E457A" w14:textId="1D1175D4"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1.345853</w:t>
            </w:r>
          </w:p>
        </w:tc>
        <w:tc>
          <w:tcPr>
            <w:tcW w:w="1505" w:type="dxa"/>
            <w:noWrap/>
            <w:vAlign w:val="bottom"/>
            <w:hideMark/>
          </w:tcPr>
          <w:p w14:paraId="22DC25F9" w14:textId="77777777" w:rsidR="00EA2B01" w:rsidRPr="00F7440D" w:rsidRDefault="00EA2B01" w:rsidP="00F7440D">
            <w:pPr>
              <w:spacing w:line="360" w:lineRule="auto"/>
              <w:jc w:val="right"/>
              <w:rPr>
                <w:rFonts w:eastAsia="Times New Roman" w:cs="Times New Roman"/>
                <w:sz w:val="28"/>
                <w:szCs w:val="28"/>
              </w:rPr>
            </w:pPr>
          </w:p>
        </w:tc>
        <w:tc>
          <w:tcPr>
            <w:tcW w:w="1997" w:type="dxa"/>
            <w:noWrap/>
            <w:vAlign w:val="bottom"/>
            <w:hideMark/>
          </w:tcPr>
          <w:p w14:paraId="72A99453" w14:textId="77777777" w:rsidR="00EA2B01" w:rsidRPr="00F7440D" w:rsidRDefault="00EA2B01" w:rsidP="00F7440D">
            <w:pPr>
              <w:spacing w:line="360" w:lineRule="auto"/>
              <w:rPr>
                <w:rFonts w:eastAsia="Times New Roman" w:cs="Times New Roman"/>
                <w:sz w:val="28"/>
                <w:szCs w:val="28"/>
              </w:rPr>
            </w:pPr>
          </w:p>
        </w:tc>
      </w:tr>
      <w:tr w:rsidR="00EA2B01" w:rsidRPr="00F7440D" w14:paraId="40E51716" w14:textId="77777777" w:rsidTr="00573865">
        <w:trPr>
          <w:trHeight w:val="284"/>
        </w:trPr>
        <w:tc>
          <w:tcPr>
            <w:tcW w:w="1668" w:type="dxa"/>
            <w:noWrap/>
            <w:hideMark/>
          </w:tcPr>
          <w:p w14:paraId="5EC61FCA" w14:textId="77777777" w:rsidR="00EA2B01" w:rsidRPr="00F7440D" w:rsidRDefault="00EA2B01"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71BE612C" w14:textId="18A8405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49</w:t>
            </w:r>
          </w:p>
        </w:tc>
        <w:tc>
          <w:tcPr>
            <w:tcW w:w="1505" w:type="dxa"/>
            <w:noWrap/>
            <w:vAlign w:val="bottom"/>
            <w:hideMark/>
          </w:tcPr>
          <w:p w14:paraId="2FA2B831" w14:textId="33C4A9EB" w:rsidR="00EA2B01" w:rsidRPr="00F7440D" w:rsidRDefault="00EA2B01" w:rsidP="00F7440D">
            <w:pPr>
              <w:spacing w:line="360" w:lineRule="auto"/>
              <w:jc w:val="right"/>
              <w:rPr>
                <w:rFonts w:eastAsia="Times New Roman" w:cs="Times New Roman"/>
                <w:sz w:val="28"/>
                <w:szCs w:val="28"/>
              </w:rPr>
            </w:pPr>
            <w:r w:rsidRPr="00F7440D">
              <w:rPr>
                <w:rFonts w:cs="Times New Roman"/>
                <w:sz w:val="28"/>
                <w:szCs w:val="28"/>
              </w:rPr>
              <w:t>114.02</w:t>
            </w:r>
          </w:p>
        </w:tc>
        <w:tc>
          <w:tcPr>
            <w:tcW w:w="1505" w:type="dxa"/>
            <w:noWrap/>
            <w:vAlign w:val="bottom"/>
            <w:hideMark/>
          </w:tcPr>
          <w:p w14:paraId="1080F629" w14:textId="0C417BA7"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3E704BE0" w14:textId="4F72ECE7"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751BA710" w14:textId="56AB9293" w:rsidR="00EA2B01" w:rsidRPr="00F7440D" w:rsidRDefault="00EA2B01" w:rsidP="00F7440D">
            <w:pPr>
              <w:spacing w:line="360" w:lineRule="auto"/>
              <w:rPr>
                <w:rFonts w:eastAsia="Times New Roman" w:cs="Times New Roman"/>
                <w:sz w:val="28"/>
                <w:szCs w:val="28"/>
              </w:rPr>
            </w:pPr>
            <w:r w:rsidRPr="00F7440D">
              <w:rPr>
                <w:rFonts w:cs="Times New Roman"/>
                <w:sz w:val="28"/>
                <w:szCs w:val="28"/>
              </w:rPr>
              <w:t> </w:t>
            </w:r>
          </w:p>
        </w:tc>
      </w:tr>
    </w:tbl>
    <w:p w14:paraId="7036A3FA" w14:textId="77777777" w:rsidR="000728CB" w:rsidRPr="00F7440D" w:rsidRDefault="000728CB" w:rsidP="00F7440D">
      <w:pPr>
        <w:spacing w:after="0" w:line="360" w:lineRule="auto"/>
        <w:rPr>
          <w:rFonts w:ascii="Times New Roman" w:hAnsi="Times New Roman"/>
          <w:sz w:val="28"/>
          <w:szCs w:val="28"/>
        </w:rPr>
      </w:pPr>
    </w:p>
    <w:p w14:paraId="1C692DBC" w14:textId="77777777" w:rsidR="00112933" w:rsidRDefault="00112933" w:rsidP="00F7440D">
      <w:pPr>
        <w:spacing w:after="0" w:line="360" w:lineRule="auto"/>
        <w:ind w:firstLine="709"/>
        <w:jc w:val="right"/>
        <w:rPr>
          <w:rFonts w:ascii="Times New Roman" w:hAnsi="Times New Roman"/>
          <w:sz w:val="28"/>
          <w:szCs w:val="28"/>
          <w:lang w:val="uk-UA"/>
        </w:rPr>
      </w:pPr>
    </w:p>
    <w:p w14:paraId="0A0C46F0" w14:textId="77777777" w:rsidR="00112933" w:rsidRDefault="00112933" w:rsidP="00F7440D">
      <w:pPr>
        <w:spacing w:after="0" w:line="360" w:lineRule="auto"/>
        <w:ind w:firstLine="709"/>
        <w:jc w:val="right"/>
        <w:rPr>
          <w:rFonts w:ascii="Times New Roman" w:hAnsi="Times New Roman"/>
          <w:sz w:val="28"/>
          <w:szCs w:val="28"/>
          <w:lang w:val="uk-UA"/>
        </w:rPr>
      </w:pPr>
    </w:p>
    <w:p w14:paraId="11825E29" w14:textId="33196EFB" w:rsidR="00EA2B01"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EA2B01" w:rsidRPr="00F7440D">
        <w:rPr>
          <w:rFonts w:ascii="Times New Roman" w:hAnsi="Times New Roman"/>
          <w:sz w:val="28"/>
          <w:szCs w:val="28"/>
          <w:lang w:val="uk-UA"/>
        </w:rPr>
        <w:t>.</w:t>
      </w:r>
      <w:r w:rsidR="00EA2B01" w:rsidRPr="00F7440D">
        <w:rPr>
          <w:rFonts w:ascii="Times New Roman" w:hAnsi="Times New Roman"/>
          <w:sz w:val="28"/>
          <w:szCs w:val="28"/>
        </w:rPr>
        <w:t>25</w:t>
      </w:r>
      <w:r w:rsidR="00EA2B01" w:rsidRPr="00F7440D">
        <w:rPr>
          <w:rFonts w:ascii="Times New Roman" w:hAnsi="Times New Roman"/>
          <w:sz w:val="28"/>
          <w:szCs w:val="28"/>
          <w:lang w:val="uk-UA"/>
        </w:rPr>
        <w:t xml:space="preserve"> </w:t>
      </w:r>
    </w:p>
    <w:p w14:paraId="5163111A" w14:textId="77777777" w:rsidR="00EA2B01" w:rsidRPr="00F7440D" w:rsidRDefault="00EA2B01"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TableGrid"/>
        <w:tblW w:w="9520" w:type="dxa"/>
        <w:tblLook w:val="04A0" w:firstRow="1" w:lastRow="0" w:firstColumn="1" w:lastColumn="0" w:noHBand="0" w:noVBand="1"/>
      </w:tblPr>
      <w:tblGrid>
        <w:gridCol w:w="2021"/>
        <w:gridCol w:w="2254"/>
        <w:gridCol w:w="2021"/>
        <w:gridCol w:w="1859"/>
        <w:gridCol w:w="1365"/>
      </w:tblGrid>
      <w:tr w:rsidR="00EA2B01" w:rsidRPr="00F7440D" w14:paraId="1AC9B624" w14:textId="77777777" w:rsidTr="00573865">
        <w:trPr>
          <w:trHeight w:val="249"/>
        </w:trPr>
        <w:tc>
          <w:tcPr>
            <w:tcW w:w="2021" w:type="dxa"/>
            <w:noWrap/>
            <w:hideMark/>
          </w:tcPr>
          <w:p w14:paraId="6093F3DA" w14:textId="77777777" w:rsidR="00EA2B01" w:rsidRPr="00F7440D" w:rsidRDefault="00EA2B01"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26FED122" w14:textId="77777777" w:rsidR="00EA2B01" w:rsidRPr="00F7440D" w:rsidRDefault="00EA2B01"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18A9BE26" w14:textId="77777777" w:rsidR="00EA2B01" w:rsidRPr="00F7440D" w:rsidRDefault="00EA2B01"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42F08581" w14:textId="77777777" w:rsidR="00EA2B01" w:rsidRPr="00F7440D" w:rsidRDefault="00EA2B01"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203E8D91" w14:textId="77777777" w:rsidR="00EA2B01" w:rsidRPr="00F7440D" w:rsidRDefault="00EA2B01"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EA2B01" w:rsidRPr="00F7440D" w14:paraId="34CD2A19" w14:textId="77777777" w:rsidTr="00573865">
        <w:trPr>
          <w:trHeight w:val="249"/>
        </w:trPr>
        <w:tc>
          <w:tcPr>
            <w:tcW w:w="2021" w:type="dxa"/>
            <w:noWrap/>
            <w:hideMark/>
          </w:tcPr>
          <w:p w14:paraId="475D3AF9"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5EAC4FA0" w14:textId="6B2293C9" w:rsidR="00EA2B01" w:rsidRPr="00F7440D" w:rsidRDefault="00EA2B01" w:rsidP="00F7440D">
            <w:pPr>
              <w:rPr>
                <w:rFonts w:eastAsia="Times New Roman" w:cs="Times New Roman"/>
                <w:sz w:val="28"/>
                <w:szCs w:val="28"/>
              </w:rPr>
            </w:pPr>
            <w:r w:rsidRPr="00F7440D">
              <w:rPr>
                <w:rFonts w:cs="Times New Roman"/>
                <w:sz w:val="28"/>
                <w:szCs w:val="28"/>
              </w:rPr>
              <w:t>11.37319</w:t>
            </w:r>
          </w:p>
        </w:tc>
        <w:tc>
          <w:tcPr>
            <w:tcW w:w="2021" w:type="dxa"/>
            <w:noWrap/>
            <w:vAlign w:val="bottom"/>
            <w:hideMark/>
          </w:tcPr>
          <w:p w14:paraId="13779FEB" w14:textId="3167F17E" w:rsidR="00EA2B01" w:rsidRPr="00F7440D" w:rsidRDefault="00EA2B01" w:rsidP="00F7440D">
            <w:pPr>
              <w:rPr>
                <w:rFonts w:eastAsia="Times New Roman" w:cs="Times New Roman"/>
                <w:sz w:val="28"/>
                <w:szCs w:val="28"/>
              </w:rPr>
            </w:pPr>
            <w:r w:rsidRPr="00F7440D">
              <w:rPr>
                <w:rFonts w:cs="Times New Roman"/>
                <w:sz w:val="28"/>
                <w:szCs w:val="28"/>
              </w:rPr>
              <w:t>0.762649</w:t>
            </w:r>
          </w:p>
        </w:tc>
        <w:tc>
          <w:tcPr>
            <w:tcW w:w="1859" w:type="dxa"/>
            <w:noWrap/>
            <w:vAlign w:val="bottom"/>
            <w:hideMark/>
          </w:tcPr>
          <w:p w14:paraId="6F3EB856" w14:textId="015E2791" w:rsidR="00EA2B01" w:rsidRPr="00F7440D" w:rsidRDefault="00EA2B01" w:rsidP="00F7440D">
            <w:pPr>
              <w:rPr>
                <w:rFonts w:eastAsia="Times New Roman" w:cs="Times New Roman"/>
                <w:sz w:val="28"/>
                <w:szCs w:val="28"/>
              </w:rPr>
            </w:pPr>
            <w:r w:rsidRPr="00F7440D">
              <w:rPr>
                <w:rFonts w:cs="Times New Roman"/>
                <w:sz w:val="28"/>
                <w:szCs w:val="28"/>
              </w:rPr>
              <w:t>14.91276</w:t>
            </w:r>
          </w:p>
        </w:tc>
        <w:tc>
          <w:tcPr>
            <w:tcW w:w="1365" w:type="dxa"/>
            <w:noWrap/>
            <w:vAlign w:val="bottom"/>
            <w:hideMark/>
          </w:tcPr>
          <w:p w14:paraId="54329D66" w14:textId="3FCE93CB" w:rsidR="00EA2B01" w:rsidRPr="00F7440D" w:rsidRDefault="00EA2B01" w:rsidP="00F7440D">
            <w:pPr>
              <w:jc w:val="right"/>
              <w:rPr>
                <w:rFonts w:eastAsia="Times New Roman" w:cs="Times New Roman"/>
                <w:sz w:val="28"/>
                <w:szCs w:val="28"/>
              </w:rPr>
            </w:pPr>
            <w:r w:rsidRPr="00F7440D">
              <w:rPr>
                <w:rFonts w:cs="Times New Roman"/>
                <w:sz w:val="28"/>
                <w:szCs w:val="28"/>
              </w:rPr>
              <w:t>1.21E-19</w:t>
            </w:r>
          </w:p>
        </w:tc>
      </w:tr>
      <w:tr w:rsidR="00EA2B01" w:rsidRPr="00F7440D" w14:paraId="478D5DE7" w14:textId="77777777" w:rsidTr="00573865">
        <w:trPr>
          <w:trHeight w:val="264"/>
        </w:trPr>
        <w:tc>
          <w:tcPr>
            <w:tcW w:w="2021" w:type="dxa"/>
            <w:noWrap/>
            <w:hideMark/>
          </w:tcPr>
          <w:p w14:paraId="3DD4C4F8" w14:textId="77777777" w:rsidR="00EA2B01" w:rsidRPr="00F7440D" w:rsidRDefault="00EA2B01"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2695274D" w14:textId="2D0A2CB3" w:rsidR="00EA2B01" w:rsidRPr="00F7440D" w:rsidRDefault="00EA2B01" w:rsidP="00F7440D">
            <w:pPr>
              <w:rPr>
                <w:rFonts w:eastAsia="Times New Roman" w:cs="Times New Roman"/>
                <w:sz w:val="28"/>
                <w:szCs w:val="28"/>
              </w:rPr>
            </w:pPr>
            <w:r w:rsidRPr="00F7440D">
              <w:rPr>
                <w:rFonts w:cs="Times New Roman"/>
                <w:sz w:val="28"/>
                <w:szCs w:val="28"/>
              </w:rPr>
              <w:t>-1.68367</w:t>
            </w:r>
          </w:p>
        </w:tc>
        <w:tc>
          <w:tcPr>
            <w:tcW w:w="2021" w:type="dxa"/>
            <w:noWrap/>
            <w:vAlign w:val="bottom"/>
            <w:hideMark/>
          </w:tcPr>
          <w:p w14:paraId="43117A35" w14:textId="10391715" w:rsidR="00EA2B01" w:rsidRPr="00F7440D" w:rsidRDefault="00EA2B01" w:rsidP="00F7440D">
            <w:pPr>
              <w:rPr>
                <w:rFonts w:eastAsia="Times New Roman" w:cs="Times New Roman"/>
                <w:sz w:val="28"/>
                <w:szCs w:val="28"/>
              </w:rPr>
            </w:pPr>
            <w:r w:rsidRPr="00F7440D">
              <w:rPr>
                <w:rFonts w:cs="Times New Roman"/>
                <w:sz w:val="28"/>
                <w:szCs w:val="28"/>
              </w:rPr>
              <w:t>0.277848</w:t>
            </w:r>
          </w:p>
        </w:tc>
        <w:tc>
          <w:tcPr>
            <w:tcW w:w="1859" w:type="dxa"/>
            <w:noWrap/>
            <w:vAlign w:val="bottom"/>
            <w:hideMark/>
          </w:tcPr>
          <w:p w14:paraId="108A16CD" w14:textId="55B44308" w:rsidR="00EA2B01" w:rsidRPr="00F7440D" w:rsidRDefault="00EA2B01" w:rsidP="00F7440D">
            <w:pPr>
              <w:rPr>
                <w:rFonts w:eastAsia="Times New Roman" w:cs="Times New Roman"/>
                <w:sz w:val="28"/>
                <w:szCs w:val="28"/>
              </w:rPr>
            </w:pPr>
            <w:r w:rsidRPr="00F7440D">
              <w:rPr>
                <w:rFonts w:cs="Times New Roman"/>
                <w:sz w:val="28"/>
                <w:szCs w:val="28"/>
              </w:rPr>
              <w:t>-6.05966</w:t>
            </w:r>
          </w:p>
        </w:tc>
        <w:tc>
          <w:tcPr>
            <w:tcW w:w="1365" w:type="dxa"/>
            <w:noWrap/>
            <w:vAlign w:val="bottom"/>
            <w:hideMark/>
          </w:tcPr>
          <w:p w14:paraId="1C997E42" w14:textId="63A9556F" w:rsidR="00EA2B01" w:rsidRPr="00F7440D" w:rsidRDefault="00EA2B01" w:rsidP="00F7440D">
            <w:pPr>
              <w:jc w:val="right"/>
              <w:rPr>
                <w:rFonts w:eastAsia="Times New Roman" w:cs="Times New Roman"/>
                <w:sz w:val="28"/>
                <w:szCs w:val="28"/>
              </w:rPr>
            </w:pPr>
            <w:r w:rsidRPr="00F7440D">
              <w:rPr>
                <w:rFonts w:cs="Times New Roman"/>
                <w:sz w:val="28"/>
                <w:szCs w:val="28"/>
              </w:rPr>
              <w:t>2.03E-07</w:t>
            </w:r>
          </w:p>
        </w:tc>
      </w:tr>
    </w:tbl>
    <w:p w14:paraId="1A5D1202" w14:textId="77777777" w:rsidR="00EA2B01" w:rsidRPr="00F7440D" w:rsidRDefault="00EA2B01" w:rsidP="00F7440D">
      <w:pPr>
        <w:spacing w:after="0" w:line="360" w:lineRule="auto"/>
        <w:jc w:val="both"/>
        <w:rPr>
          <w:rFonts w:ascii="Times New Roman" w:hAnsi="Times New Roman" w:cs="Times New Roman"/>
          <w:sz w:val="28"/>
          <w:szCs w:val="28"/>
          <w:lang w:val="uk-UA"/>
        </w:rPr>
      </w:pPr>
    </w:p>
    <w:p w14:paraId="756B85B6" w14:textId="21749D80" w:rsidR="000E712C"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Оскільки згідно з коефіцієнтом детермінації лише 43 % змінюваності </w:t>
      </w:r>
      <w:r w:rsidRPr="00F7440D">
        <w:rPr>
          <w:rFonts w:ascii="Times New Roman" w:hAnsi="Times New Roman" w:cs="Times New Roman"/>
          <w:sz w:val="28"/>
          <w:szCs w:val="28"/>
        </w:rPr>
        <w:t>Y</w:t>
      </w:r>
      <w:r w:rsidRPr="00F7440D">
        <w:rPr>
          <w:rFonts w:ascii="Times New Roman" w:hAnsi="Times New Roman" w:cs="Times New Roman"/>
          <w:sz w:val="28"/>
          <w:szCs w:val="28"/>
          <w:lang w:val="uk-UA"/>
        </w:rPr>
        <w:t>, а це в даному випадку рівень імуноглобуліну М пов’язаний зі змінюваністю змінної X 1, індексу РМА, отже, використання даного біомаркеру у діагностичних та прогностичних цілях не видається можливим.</w:t>
      </w:r>
    </w:p>
    <w:p w14:paraId="71C36BD2" w14:textId="77777777" w:rsidR="00E9728E" w:rsidRPr="00F7440D" w:rsidRDefault="00E9728E" w:rsidP="00F7440D">
      <w:pPr>
        <w:spacing w:after="0" w:line="360" w:lineRule="auto"/>
        <w:ind w:firstLine="709"/>
        <w:jc w:val="both"/>
        <w:rPr>
          <w:rFonts w:ascii="Times New Roman" w:hAnsi="Times New Roman" w:cs="Times New Roman"/>
          <w:sz w:val="28"/>
          <w:szCs w:val="28"/>
          <w:lang w:val="uk-UA"/>
        </w:rPr>
      </w:pPr>
    </w:p>
    <w:p w14:paraId="6CDC3D7B" w14:textId="6BBCA0ED" w:rsidR="00F4461B" w:rsidRPr="00F7440D" w:rsidRDefault="00F446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Ще одним показником, який характеризує стан імунної системи організму, а особливо стан мукозального імунітету та спроможність макроорганізму протистояти процесам запалення, є рівень лізоциму. </w:t>
      </w:r>
      <w:r w:rsidR="00421115" w:rsidRPr="00F7440D">
        <w:rPr>
          <w:rFonts w:ascii="Times New Roman" w:hAnsi="Times New Roman" w:cs="Times New Roman"/>
          <w:sz w:val="28"/>
          <w:szCs w:val="28"/>
          <w:lang w:val="uk-UA"/>
        </w:rPr>
        <w:t xml:space="preserve">Як вже було встановлено, рівень лізоциму був знижений на початку дослідження у основних групах у порівнянні з контрольною. Так, у пацієнтів першої групи на початку дослідження рівень лізоциму дорівнював 192.77 ± 23.12 у.о. / л, у другій групі 193.80 ± 20.30 у.о. / л, у третій групі 184.48 ± 26.52 у.о. </w:t>
      </w:r>
      <w:r w:rsidR="00687EB8" w:rsidRPr="00F7440D">
        <w:rPr>
          <w:rFonts w:ascii="Times New Roman" w:hAnsi="Times New Roman" w:cs="Times New Roman"/>
          <w:sz w:val="28"/>
          <w:szCs w:val="28"/>
          <w:lang w:val="uk-UA"/>
        </w:rPr>
        <w:t>/ л., у четвертій групі 189.06 ± 25.30 у.о. / л, у пацієнтів п’ятої контрольної групи - 316.56 ± 15.87 у.о. / л.</w:t>
      </w:r>
    </w:p>
    <w:p w14:paraId="7BEA63E7" w14:textId="1FE46710" w:rsidR="00F4461B" w:rsidRPr="00F7440D" w:rsidRDefault="00687EB8"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Встановлення залежності показників лізоциму від ступеню запалення за індексом РМА було здійснено за допомогою регресійного аналізу, можливість побудови прогностичної моделі була визначеня за допомогою коефіцієнта детермінації, точність даного прогнозу визначена за допомогою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w:t>
      </w:r>
      <w:r w:rsidRPr="00F7440D">
        <w:rPr>
          <w:rFonts w:ascii="Times New Roman" w:hAnsi="Times New Roman" w:cs="Times New Roman"/>
          <w:sz w:val="28"/>
          <w:szCs w:val="28"/>
          <w:lang w:val="uk-UA"/>
        </w:rPr>
        <w:t xml:space="preserve">критерію та Р-значення. </w:t>
      </w:r>
      <w:r w:rsidR="00F4461B" w:rsidRPr="00F7440D">
        <w:rPr>
          <w:rFonts w:ascii="Times New Roman" w:hAnsi="Times New Roman" w:cs="Times New Roman"/>
          <w:sz w:val="28"/>
          <w:szCs w:val="28"/>
          <w:lang w:val="uk-UA"/>
        </w:rPr>
        <w:t>Отримані дані регресійно</w:t>
      </w:r>
      <w:r w:rsidR="00E9728E" w:rsidRPr="00F7440D">
        <w:rPr>
          <w:rFonts w:ascii="Times New Roman" w:hAnsi="Times New Roman" w:cs="Times New Roman"/>
          <w:sz w:val="28"/>
          <w:szCs w:val="28"/>
          <w:lang w:val="uk-UA"/>
        </w:rPr>
        <w:t xml:space="preserve">го </w:t>
      </w:r>
      <w:r w:rsidR="00607F83">
        <w:rPr>
          <w:rFonts w:ascii="Times New Roman" w:hAnsi="Times New Roman" w:cs="Times New Roman"/>
          <w:sz w:val="28"/>
          <w:szCs w:val="28"/>
          <w:lang w:val="uk-UA"/>
        </w:rPr>
        <w:t>аналізу наведені у таблицях 8.26, 8.27</w:t>
      </w:r>
      <w:r w:rsidR="00E9728E" w:rsidRPr="00F7440D">
        <w:rPr>
          <w:rFonts w:ascii="Times New Roman" w:hAnsi="Times New Roman" w:cs="Times New Roman"/>
          <w:sz w:val="28"/>
          <w:szCs w:val="28"/>
          <w:lang w:val="uk-UA"/>
        </w:rPr>
        <w:t>, 8</w:t>
      </w:r>
      <w:r w:rsidR="00607F83">
        <w:rPr>
          <w:rFonts w:ascii="Times New Roman" w:hAnsi="Times New Roman" w:cs="Times New Roman"/>
          <w:sz w:val="28"/>
          <w:szCs w:val="28"/>
          <w:lang w:val="uk-UA"/>
        </w:rPr>
        <w:t>.28</w:t>
      </w:r>
      <w:r w:rsidR="00F4461B" w:rsidRPr="00F7440D">
        <w:rPr>
          <w:rFonts w:ascii="Times New Roman" w:hAnsi="Times New Roman" w:cs="Times New Roman"/>
          <w:sz w:val="28"/>
          <w:szCs w:val="28"/>
          <w:lang w:val="uk-UA"/>
        </w:rPr>
        <w:t>.</w:t>
      </w:r>
    </w:p>
    <w:p w14:paraId="140A1D29" w14:textId="77777777" w:rsidR="00112933" w:rsidRDefault="00112933" w:rsidP="00F7440D">
      <w:pPr>
        <w:spacing w:after="0" w:line="360" w:lineRule="auto"/>
        <w:ind w:firstLine="709"/>
        <w:jc w:val="right"/>
        <w:rPr>
          <w:rFonts w:ascii="Times New Roman" w:hAnsi="Times New Roman"/>
          <w:sz w:val="28"/>
          <w:szCs w:val="28"/>
          <w:lang w:val="uk-UA"/>
        </w:rPr>
      </w:pPr>
    </w:p>
    <w:p w14:paraId="630D7BAB" w14:textId="77777777" w:rsidR="00112933" w:rsidRDefault="00112933" w:rsidP="00F7440D">
      <w:pPr>
        <w:spacing w:after="0" w:line="360" w:lineRule="auto"/>
        <w:ind w:firstLine="709"/>
        <w:jc w:val="right"/>
        <w:rPr>
          <w:rFonts w:ascii="Times New Roman" w:hAnsi="Times New Roman"/>
          <w:sz w:val="28"/>
          <w:szCs w:val="28"/>
          <w:lang w:val="uk-UA"/>
        </w:rPr>
      </w:pPr>
    </w:p>
    <w:p w14:paraId="6A077FB1" w14:textId="339DDA8B" w:rsidR="00F4461B" w:rsidRPr="00F7440D" w:rsidRDefault="00F4461B"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 xml:space="preserve">Таблиця </w:t>
      </w:r>
      <w:r w:rsidR="00E9728E" w:rsidRPr="00F7440D">
        <w:rPr>
          <w:rFonts w:ascii="Times New Roman" w:hAnsi="Times New Roman"/>
          <w:sz w:val="28"/>
          <w:szCs w:val="28"/>
          <w:lang w:val="uk-UA"/>
        </w:rPr>
        <w:t>8</w:t>
      </w:r>
      <w:r w:rsidR="00607F83">
        <w:rPr>
          <w:rFonts w:ascii="Times New Roman" w:hAnsi="Times New Roman"/>
          <w:sz w:val="28"/>
          <w:szCs w:val="28"/>
          <w:lang w:val="uk-UA"/>
        </w:rPr>
        <w:t>.26</w:t>
      </w:r>
    </w:p>
    <w:p w14:paraId="3CBA8B62" w14:textId="62ECD920"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Регресійна статистика рівню лізоциму та індексу РМА у другій групі пацієнтів</w:t>
      </w:r>
    </w:p>
    <w:tbl>
      <w:tblPr>
        <w:tblStyle w:val="TableGrid"/>
        <w:tblW w:w="0" w:type="auto"/>
        <w:tblLook w:val="04A0" w:firstRow="1" w:lastRow="0" w:firstColumn="1" w:lastColumn="0" w:noHBand="0" w:noVBand="1"/>
      </w:tblPr>
      <w:tblGrid>
        <w:gridCol w:w="5559"/>
        <w:gridCol w:w="3756"/>
      </w:tblGrid>
      <w:tr w:rsidR="00F4461B" w:rsidRPr="00F7440D" w14:paraId="2534981D" w14:textId="77777777" w:rsidTr="00585003">
        <w:trPr>
          <w:trHeight w:val="214"/>
        </w:trPr>
        <w:tc>
          <w:tcPr>
            <w:tcW w:w="9315" w:type="dxa"/>
            <w:gridSpan w:val="2"/>
            <w:noWrap/>
            <w:hideMark/>
          </w:tcPr>
          <w:p w14:paraId="5B81FF86" w14:textId="77777777" w:rsidR="00F4461B" w:rsidRPr="00F7440D" w:rsidRDefault="00F4461B" w:rsidP="00F7440D">
            <w:pPr>
              <w:spacing w:line="360" w:lineRule="auto"/>
              <w:ind w:firstLine="709"/>
              <w:rPr>
                <w:rFonts w:eastAsiaTheme="minorHAnsi"/>
                <w:i/>
                <w:iCs/>
                <w:sz w:val="28"/>
                <w:szCs w:val="28"/>
                <w:lang w:val="uk-UA"/>
              </w:rPr>
            </w:pPr>
            <w:r w:rsidRPr="00F7440D">
              <w:rPr>
                <w:rFonts w:eastAsiaTheme="minorHAnsi"/>
                <w:i/>
                <w:iCs/>
                <w:sz w:val="28"/>
                <w:szCs w:val="28"/>
                <w:lang w:val="uk-UA"/>
              </w:rPr>
              <w:t>Регресійна статистика</w:t>
            </w:r>
          </w:p>
        </w:tc>
      </w:tr>
      <w:tr w:rsidR="00F4461B" w:rsidRPr="00F7440D" w14:paraId="70BE8D1D" w14:textId="77777777" w:rsidTr="00585003">
        <w:trPr>
          <w:trHeight w:val="214"/>
        </w:trPr>
        <w:tc>
          <w:tcPr>
            <w:tcW w:w="5559" w:type="dxa"/>
            <w:noWrap/>
            <w:hideMark/>
          </w:tcPr>
          <w:p w14:paraId="6DBC619B"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Множинний </w:t>
            </w:r>
            <w:r w:rsidRPr="00F7440D">
              <w:rPr>
                <w:rFonts w:eastAsiaTheme="minorHAnsi" w:cstheme="minorBidi"/>
                <w:sz w:val="28"/>
                <w:szCs w:val="28"/>
              </w:rPr>
              <w:t>R</w:t>
            </w:r>
          </w:p>
        </w:tc>
        <w:tc>
          <w:tcPr>
            <w:tcW w:w="3756" w:type="dxa"/>
            <w:noWrap/>
            <w:vAlign w:val="bottom"/>
            <w:hideMark/>
          </w:tcPr>
          <w:p w14:paraId="6EF965AD" w14:textId="7E8D303A"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0.692919</w:t>
            </w:r>
          </w:p>
        </w:tc>
      </w:tr>
      <w:tr w:rsidR="00F4461B" w:rsidRPr="00F7440D" w14:paraId="5B01F5CA" w14:textId="77777777" w:rsidTr="00585003">
        <w:trPr>
          <w:trHeight w:val="214"/>
        </w:trPr>
        <w:tc>
          <w:tcPr>
            <w:tcW w:w="5559" w:type="dxa"/>
            <w:noWrap/>
            <w:hideMark/>
          </w:tcPr>
          <w:p w14:paraId="593887B2"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68BAA2BC" w14:textId="1210BD0C"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0.480136</w:t>
            </w:r>
          </w:p>
        </w:tc>
      </w:tr>
      <w:tr w:rsidR="00F4461B" w:rsidRPr="00F7440D" w14:paraId="2E517F09" w14:textId="77777777" w:rsidTr="00585003">
        <w:trPr>
          <w:trHeight w:val="214"/>
        </w:trPr>
        <w:tc>
          <w:tcPr>
            <w:tcW w:w="5559" w:type="dxa"/>
            <w:noWrap/>
            <w:hideMark/>
          </w:tcPr>
          <w:p w14:paraId="753F2B02" w14:textId="77777777" w:rsidR="00F4461B" w:rsidRPr="00F7440D" w:rsidRDefault="00F4461B" w:rsidP="00F7440D">
            <w:pPr>
              <w:spacing w:line="360" w:lineRule="auto"/>
              <w:ind w:firstLine="709"/>
              <w:rPr>
                <w:rFonts w:eastAsiaTheme="minorHAnsi" w:cstheme="minorBidi"/>
                <w:sz w:val="28"/>
                <w:szCs w:val="28"/>
                <w:lang w:val="uk-UA"/>
              </w:rPr>
            </w:pPr>
            <w:r w:rsidRPr="00F7440D">
              <w:rPr>
                <w:rFonts w:eastAsiaTheme="minorHAnsi" w:cstheme="minorBidi"/>
                <w:sz w:val="28"/>
                <w:szCs w:val="28"/>
                <w:lang w:val="uk-UA"/>
              </w:rPr>
              <w:t xml:space="preserve">Нормований </w:t>
            </w:r>
            <w:r w:rsidRPr="00F7440D">
              <w:rPr>
                <w:rFonts w:eastAsiaTheme="minorHAnsi" w:cstheme="minorBidi"/>
                <w:sz w:val="28"/>
                <w:szCs w:val="28"/>
              </w:rPr>
              <w:t>R</w:t>
            </w:r>
            <w:r w:rsidRPr="00F7440D">
              <w:rPr>
                <w:rFonts w:eastAsiaTheme="minorHAnsi" w:cstheme="minorBidi"/>
                <w:sz w:val="28"/>
                <w:szCs w:val="28"/>
                <w:lang w:val="uk-UA"/>
              </w:rPr>
              <w:t>-квадрат</w:t>
            </w:r>
          </w:p>
        </w:tc>
        <w:tc>
          <w:tcPr>
            <w:tcW w:w="3756" w:type="dxa"/>
            <w:noWrap/>
            <w:vAlign w:val="bottom"/>
            <w:hideMark/>
          </w:tcPr>
          <w:p w14:paraId="1361E9C2" w14:textId="24518768" w:rsidR="00F4461B" w:rsidRPr="00F7440D" w:rsidRDefault="00F4461B" w:rsidP="00F7440D">
            <w:pPr>
              <w:spacing w:line="360" w:lineRule="auto"/>
              <w:ind w:firstLine="709"/>
              <w:rPr>
                <w:rFonts w:eastAsiaTheme="minorHAnsi" w:cs="Times New Roman"/>
                <w:sz w:val="28"/>
                <w:szCs w:val="28"/>
                <w:lang w:val="uk-UA"/>
              </w:rPr>
            </w:pPr>
            <w:r w:rsidRPr="00F7440D">
              <w:rPr>
                <w:rFonts w:cs="Times New Roman"/>
                <w:sz w:val="28"/>
                <w:szCs w:val="28"/>
              </w:rPr>
              <w:t>0.467457</w:t>
            </w:r>
          </w:p>
        </w:tc>
      </w:tr>
      <w:tr w:rsidR="00F4461B" w:rsidRPr="00F7440D" w14:paraId="6452E8B5" w14:textId="77777777" w:rsidTr="00585003">
        <w:trPr>
          <w:trHeight w:val="214"/>
        </w:trPr>
        <w:tc>
          <w:tcPr>
            <w:tcW w:w="5559" w:type="dxa"/>
            <w:noWrap/>
            <w:hideMark/>
          </w:tcPr>
          <w:p w14:paraId="078341A8" w14:textId="77777777" w:rsidR="00F4461B" w:rsidRPr="00F7440D" w:rsidRDefault="00F4461B" w:rsidP="00F7440D">
            <w:pPr>
              <w:spacing w:line="360" w:lineRule="auto"/>
              <w:ind w:firstLine="709"/>
              <w:rPr>
                <w:rFonts w:eastAsiaTheme="minorHAnsi" w:cstheme="minorBidi"/>
                <w:sz w:val="28"/>
                <w:szCs w:val="28"/>
              </w:rPr>
            </w:pPr>
            <w:r w:rsidRPr="00F7440D">
              <w:rPr>
                <w:rFonts w:eastAsiaTheme="minorHAnsi" w:cstheme="minorBidi"/>
                <w:sz w:val="28"/>
                <w:szCs w:val="28"/>
              </w:rPr>
              <w:t>Стандартна помилка</w:t>
            </w:r>
          </w:p>
        </w:tc>
        <w:tc>
          <w:tcPr>
            <w:tcW w:w="3756" w:type="dxa"/>
            <w:noWrap/>
            <w:vAlign w:val="bottom"/>
            <w:hideMark/>
          </w:tcPr>
          <w:p w14:paraId="517A8526" w14:textId="18A9EE11" w:rsidR="00F4461B" w:rsidRPr="00F7440D" w:rsidRDefault="00F4461B" w:rsidP="00F7440D">
            <w:pPr>
              <w:spacing w:line="360" w:lineRule="auto"/>
              <w:ind w:firstLine="709"/>
              <w:rPr>
                <w:rFonts w:eastAsiaTheme="minorHAnsi" w:cs="Times New Roman"/>
                <w:sz w:val="28"/>
                <w:szCs w:val="28"/>
              </w:rPr>
            </w:pPr>
            <w:r w:rsidRPr="00F7440D">
              <w:rPr>
                <w:rFonts w:cs="Times New Roman"/>
                <w:sz w:val="28"/>
                <w:szCs w:val="28"/>
              </w:rPr>
              <w:t>1.863449</w:t>
            </w:r>
          </w:p>
        </w:tc>
      </w:tr>
      <w:tr w:rsidR="00F4461B" w:rsidRPr="00F7440D" w14:paraId="3329E378" w14:textId="77777777" w:rsidTr="00585003">
        <w:trPr>
          <w:trHeight w:val="226"/>
        </w:trPr>
        <w:tc>
          <w:tcPr>
            <w:tcW w:w="5559" w:type="dxa"/>
            <w:noWrap/>
            <w:hideMark/>
          </w:tcPr>
          <w:p w14:paraId="5BB642CA" w14:textId="77777777" w:rsidR="00F4461B" w:rsidRPr="00F7440D" w:rsidRDefault="00F4461B" w:rsidP="00F7440D">
            <w:pPr>
              <w:spacing w:line="360" w:lineRule="auto"/>
              <w:ind w:firstLine="709"/>
              <w:rPr>
                <w:rFonts w:eastAsiaTheme="minorHAnsi" w:cstheme="minorBidi"/>
                <w:sz w:val="28"/>
                <w:szCs w:val="28"/>
              </w:rPr>
            </w:pPr>
            <w:r w:rsidRPr="00F7440D">
              <w:rPr>
                <w:rFonts w:eastAsiaTheme="minorHAnsi" w:cstheme="minorBidi"/>
                <w:sz w:val="28"/>
                <w:szCs w:val="28"/>
              </w:rPr>
              <w:t>Спостереження</w:t>
            </w:r>
          </w:p>
        </w:tc>
        <w:tc>
          <w:tcPr>
            <w:tcW w:w="3756" w:type="dxa"/>
            <w:noWrap/>
            <w:vAlign w:val="bottom"/>
            <w:hideMark/>
          </w:tcPr>
          <w:p w14:paraId="7A2D33D1" w14:textId="05F1D09E" w:rsidR="00F4461B" w:rsidRPr="00F7440D" w:rsidRDefault="00421115" w:rsidP="00F7440D">
            <w:pPr>
              <w:spacing w:line="360" w:lineRule="auto"/>
              <w:ind w:firstLine="709"/>
              <w:rPr>
                <w:rFonts w:eastAsiaTheme="minorHAnsi" w:cs="Times New Roman"/>
                <w:sz w:val="28"/>
                <w:szCs w:val="28"/>
              </w:rPr>
            </w:pPr>
            <w:r w:rsidRPr="00F7440D">
              <w:rPr>
                <w:rFonts w:cs="Times New Roman"/>
                <w:sz w:val="28"/>
                <w:szCs w:val="28"/>
              </w:rPr>
              <w:t>50</w:t>
            </w:r>
          </w:p>
        </w:tc>
      </w:tr>
    </w:tbl>
    <w:p w14:paraId="690846E3" w14:textId="77777777" w:rsidR="00F4461B" w:rsidRPr="00F7440D" w:rsidRDefault="00F4461B" w:rsidP="00F7440D">
      <w:pPr>
        <w:spacing w:after="0" w:line="360" w:lineRule="auto"/>
        <w:ind w:firstLine="709"/>
        <w:rPr>
          <w:rFonts w:ascii="Times New Roman" w:hAnsi="Times New Roman"/>
          <w:sz w:val="28"/>
          <w:szCs w:val="28"/>
          <w:lang w:val="ru-RU"/>
        </w:rPr>
      </w:pPr>
    </w:p>
    <w:p w14:paraId="7D945990" w14:textId="75410F2D" w:rsidR="00F4461B" w:rsidRPr="00F7440D" w:rsidRDefault="00F4461B"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Проведенння регресійного аналізу дозволило визначити коефіцієнт де</w:t>
      </w:r>
      <w:r w:rsidR="00421115" w:rsidRPr="00F7440D">
        <w:rPr>
          <w:rFonts w:ascii="Times New Roman" w:hAnsi="Times New Roman" w:cs="Times New Roman"/>
          <w:sz w:val="28"/>
          <w:szCs w:val="28"/>
          <w:lang w:val="uk-UA"/>
        </w:rPr>
        <w:t>термінації, який дорівнював 0.48</w:t>
      </w:r>
      <w:r w:rsidRPr="00F7440D">
        <w:rPr>
          <w:rFonts w:ascii="Times New Roman" w:hAnsi="Times New Roman" w:cs="Times New Roman"/>
          <w:sz w:val="28"/>
          <w:szCs w:val="28"/>
          <w:lang w:val="uk-UA"/>
        </w:rPr>
        <w:t xml:space="preserve">, </w:t>
      </w:r>
      <w:r w:rsidR="00687EB8" w:rsidRPr="00F7440D">
        <w:rPr>
          <w:rFonts w:ascii="Times New Roman" w:hAnsi="Times New Roman" w:cs="Times New Roman"/>
          <w:sz w:val="28"/>
          <w:szCs w:val="28"/>
          <w:lang w:val="uk-UA"/>
        </w:rPr>
        <w:t>що представляє слабку вираженість залежності між рівнем лізоциму та індексом РМА, а отже ступенем запалення тканин пародонту</w:t>
      </w:r>
      <w:r w:rsidRPr="00F7440D">
        <w:rPr>
          <w:rFonts w:ascii="Times New Roman" w:hAnsi="Times New Roman" w:cs="Times New Roman"/>
          <w:sz w:val="28"/>
          <w:szCs w:val="28"/>
          <w:lang w:val="uk-UA"/>
        </w:rPr>
        <w:t xml:space="preserve">. </w:t>
      </w:r>
    </w:p>
    <w:p w14:paraId="3F3CE71E" w14:textId="2B880660" w:rsidR="00F4461B"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607F83">
        <w:rPr>
          <w:rFonts w:ascii="Times New Roman" w:hAnsi="Times New Roman"/>
          <w:sz w:val="28"/>
          <w:szCs w:val="28"/>
          <w:lang w:val="uk-UA"/>
        </w:rPr>
        <w:t>.27</w:t>
      </w:r>
      <w:r w:rsidR="00F4461B" w:rsidRPr="00F7440D">
        <w:rPr>
          <w:rFonts w:ascii="Times New Roman" w:hAnsi="Times New Roman"/>
          <w:sz w:val="28"/>
          <w:szCs w:val="28"/>
          <w:lang w:val="uk-UA"/>
        </w:rPr>
        <w:t xml:space="preserve"> </w:t>
      </w:r>
    </w:p>
    <w:p w14:paraId="1E7B42D7" w14:textId="356636D1"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Дисперсійний аналіз регресійної статистики рівню лізоциму та індексу РМА у другій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F4461B" w:rsidRPr="00F7440D" w14:paraId="0958CB35" w14:textId="77777777" w:rsidTr="00585003">
        <w:trPr>
          <w:trHeight w:val="269"/>
        </w:trPr>
        <w:tc>
          <w:tcPr>
            <w:tcW w:w="1668" w:type="dxa"/>
            <w:noWrap/>
            <w:hideMark/>
          </w:tcPr>
          <w:p w14:paraId="79BFFCE1"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55554E94"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44B473EF"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59D06E71"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2C29BDFE"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586A840D" w14:textId="77777777" w:rsidR="00F4461B" w:rsidRPr="00F7440D" w:rsidRDefault="00F4461B"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F4461B" w:rsidRPr="00F7440D" w14:paraId="7C56544C" w14:textId="77777777" w:rsidTr="00585003">
        <w:trPr>
          <w:trHeight w:val="269"/>
        </w:trPr>
        <w:tc>
          <w:tcPr>
            <w:tcW w:w="1668" w:type="dxa"/>
            <w:noWrap/>
            <w:hideMark/>
          </w:tcPr>
          <w:p w14:paraId="2E78539F"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592CCA69" w14:textId="0D605B0D"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265DFB35" w14:textId="22D60EBD"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131.4904</w:t>
            </w:r>
          </w:p>
        </w:tc>
        <w:tc>
          <w:tcPr>
            <w:tcW w:w="1505" w:type="dxa"/>
            <w:noWrap/>
            <w:vAlign w:val="bottom"/>
            <w:hideMark/>
          </w:tcPr>
          <w:p w14:paraId="7E7AEAA7" w14:textId="675D98B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131.4904</w:t>
            </w:r>
          </w:p>
        </w:tc>
        <w:tc>
          <w:tcPr>
            <w:tcW w:w="1505" w:type="dxa"/>
            <w:noWrap/>
            <w:vAlign w:val="bottom"/>
            <w:hideMark/>
          </w:tcPr>
          <w:p w14:paraId="4C891708" w14:textId="7C48983E"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37.86684</w:t>
            </w:r>
          </w:p>
        </w:tc>
        <w:tc>
          <w:tcPr>
            <w:tcW w:w="1997" w:type="dxa"/>
            <w:noWrap/>
            <w:vAlign w:val="bottom"/>
            <w:hideMark/>
          </w:tcPr>
          <w:p w14:paraId="42456C3E" w14:textId="5829D7A9"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2.62E-07</w:t>
            </w:r>
          </w:p>
        </w:tc>
      </w:tr>
      <w:tr w:rsidR="00F4461B" w:rsidRPr="00F7440D" w14:paraId="4A13B45D" w14:textId="77777777" w:rsidTr="00585003">
        <w:trPr>
          <w:trHeight w:val="269"/>
        </w:trPr>
        <w:tc>
          <w:tcPr>
            <w:tcW w:w="1668" w:type="dxa"/>
            <w:noWrap/>
            <w:hideMark/>
          </w:tcPr>
          <w:p w14:paraId="16ECD648"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16E54693" w14:textId="7353EDF7"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48</w:t>
            </w:r>
          </w:p>
        </w:tc>
        <w:tc>
          <w:tcPr>
            <w:tcW w:w="1505" w:type="dxa"/>
            <w:noWrap/>
            <w:vAlign w:val="bottom"/>
            <w:hideMark/>
          </w:tcPr>
          <w:p w14:paraId="74D134A4" w14:textId="6E3B2458"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142.3701</w:t>
            </w:r>
          </w:p>
        </w:tc>
        <w:tc>
          <w:tcPr>
            <w:tcW w:w="1505" w:type="dxa"/>
            <w:noWrap/>
            <w:vAlign w:val="bottom"/>
            <w:hideMark/>
          </w:tcPr>
          <w:p w14:paraId="18DD5D1C" w14:textId="69219913"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3.472441</w:t>
            </w:r>
          </w:p>
        </w:tc>
        <w:tc>
          <w:tcPr>
            <w:tcW w:w="1505" w:type="dxa"/>
            <w:noWrap/>
            <w:vAlign w:val="bottom"/>
            <w:hideMark/>
          </w:tcPr>
          <w:p w14:paraId="7F49B371" w14:textId="77777777" w:rsidR="00F4461B" w:rsidRPr="00F7440D" w:rsidRDefault="00F4461B" w:rsidP="00F7440D">
            <w:pPr>
              <w:spacing w:line="360" w:lineRule="auto"/>
              <w:jc w:val="right"/>
              <w:rPr>
                <w:rFonts w:eastAsia="Times New Roman" w:cs="Times New Roman"/>
                <w:sz w:val="28"/>
                <w:szCs w:val="28"/>
              </w:rPr>
            </w:pPr>
          </w:p>
        </w:tc>
        <w:tc>
          <w:tcPr>
            <w:tcW w:w="1997" w:type="dxa"/>
            <w:noWrap/>
            <w:vAlign w:val="bottom"/>
            <w:hideMark/>
          </w:tcPr>
          <w:p w14:paraId="4975DFB3" w14:textId="77777777" w:rsidR="00F4461B" w:rsidRPr="00F7440D" w:rsidRDefault="00F4461B" w:rsidP="00F7440D">
            <w:pPr>
              <w:spacing w:line="360" w:lineRule="auto"/>
              <w:rPr>
                <w:rFonts w:eastAsia="Times New Roman" w:cs="Times New Roman"/>
                <w:sz w:val="28"/>
                <w:szCs w:val="28"/>
              </w:rPr>
            </w:pPr>
          </w:p>
        </w:tc>
      </w:tr>
      <w:tr w:rsidR="00F4461B" w:rsidRPr="00F7440D" w14:paraId="1F6CCB94" w14:textId="77777777" w:rsidTr="00585003">
        <w:trPr>
          <w:trHeight w:val="284"/>
        </w:trPr>
        <w:tc>
          <w:tcPr>
            <w:tcW w:w="1668" w:type="dxa"/>
            <w:noWrap/>
            <w:hideMark/>
          </w:tcPr>
          <w:p w14:paraId="70FB218F" w14:textId="77777777" w:rsidR="00F4461B" w:rsidRPr="00F7440D" w:rsidRDefault="00F4461B"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6D43599E" w14:textId="21B4A3A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49</w:t>
            </w:r>
          </w:p>
        </w:tc>
        <w:tc>
          <w:tcPr>
            <w:tcW w:w="1505" w:type="dxa"/>
            <w:noWrap/>
            <w:vAlign w:val="bottom"/>
            <w:hideMark/>
          </w:tcPr>
          <w:p w14:paraId="4BD1E72D" w14:textId="5737F1F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273.8605</w:t>
            </w:r>
          </w:p>
        </w:tc>
        <w:tc>
          <w:tcPr>
            <w:tcW w:w="1505" w:type="dxa"/>
            <w:noWrap/>
            <w:vAlign w:val="bottom"/>
            <w:hideMark/>
          </w:tcPr>
          <w:p w14:paraId="4E9E8F06" w14:textId="5934AD4E"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33E1C5AD" w14:textId="1D291200"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77695848" w14:textId="7686C69C"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r>
    </w:tbl>
    <w:p w14:paraId="1835B367" w14:textId="104181E9" w:rsidR="00F4461B" w:rsidRPr="00F7440D" w:rsidRDefault="00E9728E" w:rsidP="00664BE9">
      <w:pPr>
        <w:spacing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rPr>
        <w:t>28</w:t>
      </w:r>
      <w:r w:rsidR="00F4461B" w:rsidRPr="00F7440D">
        <w:rPr>
          <w:rFonts w:ascii="Times New Roman" w:hAnsi="Times New Roman"/>
          <w:sz w:val="28"/>
          <w:szCs w:val="28"/>
          <w:lang w:val="uk-UA"/>
        </w:rPr>
        <w:t xml:space="preserve"> </w:t>
      </w:r>
    </w:p>
    <w:p w14:paraId="5F30441E" w14:textId="77777777" w:rsidR="00F4461B" w:rsidRPr="00F7440D" w:rsidRDefault="00F4461B" w:rsidP="00F7440D">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TableGrid"/>
        <w:tblW w:w="9520" w:type="dxa"/>
        <w:tblLook w:val="04A0" w:firstRow="1" w:lastRow="0" w:firstColumn="1" w:lastColumn="0" w:noHBand="0" w:noVBand="1"/>
      </w:tblPr>
      <w:tblGrid>
        <w:gridCol w:w="2021"/>
        <w:gridCol w:w="2254"/>
        <w:gridCol w:w="2021"/>
        <w:gridCol w:w="1859"/>
        <w:gridCol w:w="1365"/>
      </w:tblGrid>
      <w:tr w:rsidR="00F4461B" w:rsidRPr="00F7440D" w14:paraId="1FE8E5AC" w14:textId="77777777" w:rsidTr="00585003">
        <w:trPr>
          <w:trHeight w:val="249"/>
        </w:trPr>
        <w:tc>
          <w:tcPr>
            <w:tcW w:w="2021" w:type="dxa"/>
            <w:noWrap/>
            <w:hideMark/>
          </w:tcPr>
          <w:p w14:paraId="59B21A99" w14:textId="77777777" w:rsidR="00F4461B" w:rsidRPr="00F7440D" w:rsidRDefault="00F4461B" w:rsidP="00F7440D">
            <w:pPr>
              <w:jc w:val="center"/>
              <w:rPr>
                <w:rFonts w:eastAsia="Times New Roman"/>
                <w:i/>
                <w:iCs/>
                <w:sz w:val="28"/>
                <w:szCs w:val="28"/>
              </w:rPr>
            </w:pPr>
            <w:r w:rsidRPr="00F7440D">
              <w:rPr>
                <w:rFonts w:eastAsia="Times New Roman"/>
                <w:i/>
                <w:iCs/>
                <w:sz w:val="28"/>
                <w:szCs w:val="28"/>
              </w:rPr>
              <w:t> </w:t>
            </w:r>
          </w:p>
        </w:tc>
        <w:tc>
          <w:tcPr>
            <w:tcW w:w="2254" w:type="dxa"/>
            <w:noWrap/>
            <w:hideMark/>
          </w:tcPr>
          <w:p w14:paraId="20B34869" w14:textId="77777777" w:rsidR="00F4461B" w:rsidRPr="00F7440D" w:rsidRDefault="00F4461B"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021" w:type="dxa"/>
            <w:noWrap/>
            <w:hideMark/>
          </w:tcPr>
          <w:p w14:paraId="18ED9C0B" w14:textId="77777777" w:rsidR="00F4461B" w:rsidRPr="00F7440D" w:rsidRDefault="00F4461B" w:rsidP="00F7440D">
            <w:pPr>
              <w:spacing w:line="360"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6E8818CD" w14:textId="77777777" w:rsidR="00F4461B" w:rsidRPr="00F7440D" w:rsidRDefault="00F4461B" w:rsidP="00F7440D">
            <w:pPr>
              <w:spacing w:line="360"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762C6343" w14:textId="77777777" w:rsidR="00F4461B" w:rsidRPr="00F7440D" w:rsidRDefault="00F4461B" w:rsidP="00F7440D">
            <w:pPr>
              <w:spacing w:line="360"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F4461B" w:rsidRPr="00F7440D" w14:paraId="1A4B2845" w14:textId="77777777" w:rsidTr="00585003">
        <w:trPr>
          <w:trHeight w:val="249"/>
        </w:trPr>
        <w:tc>
          <w:tcPr>
            <w:tcW w:w="2021" w:type="dxa"/>
            <w:noWrap/>
            <w:hideMark/>
          </w:tcPr>
          <w:p w14:paraId="44BFB35A"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Y-пересічення</w:t>
            </w:r>
          </w:p>
        </w:tc>
        <w:tc>
          <w:tcPr>
            <w:tcW w:w="2254" w:type="dxa"/>
            <w:noWrap/>
            <w:vAlign w:val="bottom"/>
            <w:hideMark/>
          </w:tcPr>
          <w:p w14:paraId="0950628F" w14:textId="5CA7D0F5" w:rsidR="00F4461B" w:rsidRPr="00F7440D" w:rsidRDefault="00F4461B" w:rsidP="00F7440D">
            <w:pPr>
              <w:rPr>
                <w:rFonts w:eastAsia="Times New Roman" w:cs="Times New Roman"/>
                <w:sz w:val="28"/>
                <w:szCs w:val="28"/>
              </w:rPr>
            </w:pPr>
            <w:r w:rsidRPr="00F7440D">
              <w:rPr>
                <w:rFonts w:cs="Times New Roman"/>
                <w:sz w:val="28"/>
                <w:szCs w:val="28"/>
              </w:rPr>
              <w:t>42.41801</w:t>
            </w:r>
          </w:p>
        </w:tc>
        <w:tc>
          <w:tcPr>
            <w:tcW w:w="2021" w:type="dxa"/>
            <w:noWrap/>
            <w:vAlign w:val="bottom"/>
            <w:hideMark/>
          </w:tcPr>
          <w:p w14:paraId="6BE1B9C6" w14:textId="2DBB1ACE" w:rsidR="00F4461B" w:rsidRPr="00F7440D" w:rsidRDefault="00F4461B" w:rsidP="00F7440D">
            <w:pPr>
              <w:rPr>
                <w:rFonts w:eastAsia="Times New Roman" w:cs="Times New Roman"/>
                <w:sz w:val="28"/>
                <w:szCs w:val="28"/>
              </w:rPr>
            </w:pPr>
            <w:r w:rsidRPr="00F7440D">
              <w:rPr>
                <w:rFonts w:cs="Times New Roman"/>
                <w:sz w:val="28"/>
                <w:szCs w:val="28"/>
              </w:rPr>
              <w:t>1.371294</w:t>
            </w:r>
          </w:p>
        </w:tc>
        <w:tc>
          <w:tcPr>
            <w:tcW w:w="1859" w:type="dxa"/>
            <w:noWrap/>
            <w:vAlign w:val="bottom"/>
            <w:hideMark/>
          </w:tcPr>
          <w:p w14:paraId="4DA0D91D" w14:textId="63365146" w:rsidR="00F4461B" w:rsidRPr="00F7440D" w:rsidRDefault="00F4461B" w:rsidP="00F7440D">
            <w:pPr>
              <w:rPr>
                <w:rFonts w:eastAsia="Times New Roman" w:cs="Times New Roman"/>
                <w:sz w:val="28"/>
                <w:szCs w:val="28"/>
              </w:rPr>
            </w:pPr>
            <w:r w:rsidRPr="00F7440D">
              <w:rPr>
                <w:rFonts w:cs="Times New Roman"/>
                <w:sz w:val="28"/>
                <w:szCs w:val="28"/>
              </w:rPr>
              <w:t>30.93284</w:t>
            </w:r>
          </w:p>
        </w:tc>
        <w:tc>
          <w:tcPr>
            <w:tcW w:w="1365" w:type="dxa"/>
            <w:noWrap/>
            <w:vAlign w:val="bottom"/>
            <w:hideMark/>
          </w:tcPr>
          <w:p w14:paraId="2EB614DD" w14:textId="5ABCFC68" w:rsidR="00F4461B" w:rsidRPr="00F7440D" w:rsidRDefault="00F4461B" w:rsidP="00F7440D">
            <w:pPr>
              <w:jc w:val="right"/>
              <w:rPr>
                <w:rFonts w:eastAsia="Times New Roman" w:cs="Times New Roman"/>
                <w:sz w:val="28"/>
                <w:szCs w:val="28"/>
              </w:rPr>
            </w:pPr>
            <w:r w:rsidRPr="00F7440D">
              <w:rPr>
                <w:rFonts w:cs="Times New Roman"/>
                <w:sz w:val="28"/>
                <w:szCs w:val="28"/>
              </w:rPr>
              <w:t>4.82E-30</w:t>
            </w:r>
          </w:p>
        </w:tc>
      </w:tr>
      <w:tr w:rsidR="00F4461B" w:rsidRPr="00F7440D" w14:paraId="322AFE71" w14:textId="77777777" w:rsidTr="00585003">
        <w:trPr>
          <w:trHeight w:val="264"/>
        </w:trPr>
        <w:tc>
          <w:tcPr>
            <w:tcW w:w="2021" w:type="dxa"/>
            <w:noWrap/>
            <w:hideMark/>
          </w:tcPr>
          <w:p w14:paraId="5054AB91"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2254" w:type="dxa"/>
            <w:noWrap/>
            <w:vAlign w:val="bottom"/>
            <w:hideMark/>
          </w:tcPr>
          <w:p w14:paraId="5B46C4F9" w14:textId="76244BA3" w:rsidR="00F4461B" w:rsidRPr="00F7440D" w:rsidRDefault="00F4461B" w:rsidP="00F7440D">
            <w:pPr>
              <w:rPr>
                <w:rFonts w:eastAsia="Times New Roman" w:cs="Times New Roman"/>
                <w:sz w:val="28"/>
                <w:szCs w:val="28"/>
              </w:rPr>
            </w:pPr>
            <w:r w:rsidRPr="00F7440D">
              <w:rPr>
                <w:rFonts w:cs="Times New Roman"/>
                <w:sz w:val="28"/>
                <w:szCs w:val="28"/>
              </w:rPr>
              <w:t>-0.79191</w:t>
            </w:r>
          </w:p>
        </w:tc>
        <w:tc>
          <w:tcPr>
            <w:tcW w:w="2021" w:type="dxa"/>
            <w:noWrap/>
            <w:vAlign w:val="bottom"/>
            <w:hideMark/>
          </w:tcPr>
          <w:p w14:paraId="44FF627E" w14:textId="06EFAB93" w:rsidR="00F4461B" w:rsidRPr="00F7440D" w:rsidRDefault="00F4461B" w:rsidP="00F7440D">
            <w:pPr>
              <w:rPr>
                <w:rFonts w:eastAsia="Times New Roman" w:cs="Times New Roman"/>
                <w:sz w:val="28"/>
                <w:szCs w:val="28"/>
              </w:rPr>
            </w:pPr>
            <w:r w:rsidRPr="00F7440D">
              <w:rPr>
                <w:rFonts w:cs="Times New Roman"/>
                <w:sz w:val="28"/>
                <w:szCs w:val="28"/>
              </w:rPr>
              <w:t>0.12869</w:t>
            </w:r>
          </w:p>
        </w:tc>
        <w:tc>
          <w:tcPr>
            <w:tcW w:w="1859" w:type="dxa"/>
            <w:noWrap/>
            <w:vAlign w:val="bottom"/>
            <w:hideMark/>
          </w:tcPr>
          <w:p w14:paraId="1472540B" w14:textId="145EDABC" w:rsidR="00F4461B" w:rsidRPr="00F7440D" w:rsidRDefault="00F4461B" w:rsidP="00F7440D">
            <w:pPr>
              <w:rPr>
                <w:rFonts w:eastAsia="Times New Roman" w:cs="Times New Roman"/>
                <w:sz w:val="28"/>
                <w:szCs w:val="28"/>
              </w:rPr>
            </w:pPr>
            <w:r w:rsidRPr="00F7440D">
              <w:rPr>
                <w:rFonts w:cs="Times New Roman"/>
                <w:sz w:val="28"/>
                <w:szCs w:val="28"/>
              </w:rPr>
              <w:t>-6.1536</w:t>
            </w:r>
          </w:p>
        </w:tc>
        <w:tc>
          <w:tcPr>
            <w:tcW w:w="1365" w:type="dxa"/>
            <w:noWrap/>
            <w:vAlign w:val="bottom"/>
            <w:hideMark/>
          </w:tcPr>
          <w:p w14:paraId="010EDC6D" w14:textId="387CA897" w:rsidR="00F4461B" w:rsidRPr="00F7440D" w:rsidRDefault="00F4461B" w:rsidP="00F7440D">
            <w:pPr>
              <w:jc w:val="right"/>
              <w:rPr>
                <w:rFonts w:eastAsia="Times New Roman" w:cs="Times New Roman"/>
                <w:sz w:val="28"/>
                <w:szCs w:val="28"/>
              </w:rPr>
            </w:pPr>
            <w:r w:rsidRPr="00F7440D">
              <w:rPr>
                <w:rFonts w:cs="Times New Roman"/>
                <w:sz w:val="28"/>
                <w:szCs w:val="28"/>
              </w:rPr>
              <w:t>2.62E-07</w:t>
            </w:r>
          </w:p>
        </w:tc>
      </w:tr>
    </w:tbl>
    <w:p w14:paraId="00273A0B" w14:textId="77DEE641" w:rsidR="00F4461B" w:rsidRPr="00F7440D" w:rsidRDefault="00687EB8" w:rsidP="0006310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Аналіз приведених параметрів, включно з </w:t>
      </w:r>
      <w:r w:rsidRPr="00F7440D">
        <w:rPr>
          <w:rFonts w:ascii="Times New Roman" w:hAnsi="Times New Roman" w:cs="Times New Roman"/>
          <w:sz w:val="28"/>
          <w:szCs w:val="28"/>
        </w:rPr>
        <w:t>F</w:t>
      </w:r>
      <w:r w:rsidRPr="00F7440D">
        <w:rPr>
          <w:rFonts w:ascii="Times New Roman" w:hAnsi="Times New Roman" w:cs="Times New Roman"/>
          <w:sz w:val="28"/>
          <w:szCs w:val="28"/>
          <w:lang w:val="ru-RU"/>
        </w:rPr>
        <w:t>-</w:t>
      </w:r>
      <w:r w:rsidRPr="00F7440D">
        <w:rPr>
          <w:rFonts w:ascii="Times New Roman" w:hAnsi="Times New Roman" w:cs="Times New Roman"/>
          <w:sz w:val="28"/>
          <w:szCs w:val="28"/>
          <w:lang w:val="uk-UA"/>
        </w:rPr>
        <w:t>значимістю та Р-значенням доводить низьку інформативність значень лізоциму як діагностичного та прогностичного інструменту запалень тканин пародонту. Безумовно згідно з отриманими даними зниження рівня лізоциму свідчить про зниження імунітету, як місцевого, так і мукозального, проте використання його абсолютних значень для прогнозу запальних захворювань пародонту є небажаним.</w:t>
      </w:r>
    </w:p>
    <w:p w14:paraId="43DD723E" w14:textId="55692DDA" w:rsidR="00EA2B01" w:rsidRPr="00F7440D" w:rsidRDefault="00EA2B01"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Таким чином, завдяки методу регресійного аналізу нами були проаналізовані масиви отриманих у ході клінічного дослідження даних, які характеризували імунну компетентність організму обстеженого контингенту дітей з атопічними захворюваннями та соматично здорових дітей, з вираженими клінічними ознаками гінгівіту та без таких. Внаслідок здійснення регресійного аналізу </w:t>
      </w:r>
      <w:r w:rsidR="00530249" w:rsidRPr="00F7440D">
        <w:rPr>
          <w:rFonts w:ascii="Times New Roman" w:hAnsi="Times New Roman" w:cs="Times New Roman"/>
          <w:sz w:val="28"/>
          <w:szCs w:val="28"/>
          <w:lang w:val="uk-UA"/>
        </w:rPr>
        <w:t>були побудовані рівняння лінійної регресії та визначені їх коефіцієнти, визначені коефіцієнти детермінації, які математично визначали ступінь залежності зміну одного показника від іншого.</w:t>
      </w:r>
    </w:p>
    <w:p w14:paraId="6077F0E9" w14:textId="1E0E8FA2" w:rsidR="005C02B2" w:rsidRPr="00F7440D" w:rsidRDefault="00530249"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За результатами проведеного дослідження та аналізу даних були визначені найбільш прогностично значимі біомаркери, які можуть бути  ефективно використані як для діагностики, так і для прогнозу захворювань пародонту у дітей на тлі атопічних захворювань. Згідно з отриманими результатами, найбільшу цінність як на етапі діагностики, так і під час диспансерного нагляду, мають імуноглобуліни А та </w:t>
      </w:r>
      <w:r w:rsidRPr="00F7440D">
        <w:rPr>
          <w:rFonts w:ascii="Times New Roman" w:hAnsi="Times New Roman" w:cs="Times New Roman"/>
          <w:sz w:val="28"/>
          <w:szCs w:val="28"/>
        </w:rPr>
        <w:t>G</w:t>
      </w:r>
      <w:r w:rsidRPr="00F7440D">
        <w:rPr>
          <w:rFonts w:ascii="Times New Roman" w:hAnsi="Times New Roman" w:cs="Times New Roman"/>
          <w:sz w:val="28"/>
          <w:szCs w:val="28"/>
          <w:lang w:val="uk-UA"/>
        </w:rPr>
        <w:t>, які показали найвищий коефіцієнт детермінації. Для даних імуноглобулінів були побудовані рівняння лінійної регресії та визначені його коефіцієнти, що можливо використовувати з метою прогнозу запальних захворювань пародонту у дітей на тлі атопічних захворювань.</w:t>
      </w:r>
    </w:p>
    <w:p w14:paraId="0033FC9E" w14:textId="656EE980" w:rsidR="004A1758" w:rsidRDefault="004A1758" w:rsidP="00F7440D">
      <w:pPr>
        <w:spacing w:after="0" w:line="360" w:lineRule="auto"/>
        <w:ind w:firstLine="709"/>
        <w:jc w:val="both"/>
        <w:rPr>
          <w:rFonts w:ascii="Times New Roman" w:hAnsi="Times New Roman"/>
          <w:sz w:val="28"/>
          <w:szCs w:val="28"/>
          <w:lang w:val="uk-UA"/>
        </w:rPr>
      </w:pPr>
      <w:r w:rsidRPr="00F7440D">
        <w:rPr>
          <w:rFonts w:ascii="Times New Roman" w:hAnsi="Times New Roman"/>
          <w:sz w:val="28"/>
          <w:szCs w:val="28"/>
          <w:lang w:val="uk-UA"/>
        </w:rPr>
        <w:t>З метою виявлення біомаркерів запалення, які могли би бути інформативними для ранньої діагностики запальних захворювань пародонту, нами був проведений регресійний анал</w:t>
      </w:r>
      <w:r>
        <w:rPr>
          <w:rFonts w:ascii="Times New Roman" w:hAnsi="Times New Roman"/>
          <w:sz w:val="28"/>
          <w:szCs w:val="28"/>
          <w:lang w:val="uk-UA"/>
        </w:rPr>
        <w:t xml:space="preserve">із клінічних даних та даних, що характеризують антиоксидантний статус дітей, хворих на атопічні захворювання та соматично здорових дітей. </w:t>
      </w:r>
    </w:p>
    <w:p w14:paraId="5A95FF3E" w14:textId="2142048B" w:rsidR="00C67A7E" w:rsidRPr="002804DE" w:rsidRDefault="00EA406E" w:rsidP="00C67A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аналізі пародонтального статусу за рівнем індексу </w:t>
      </w:r>
      <w:r>
        <w:rPr>
          <w:rFonts w:ascii="Times New Roman" w:hAnsi="Times New Roman"/>
          <w:sz w:val="28"/>
          <w:szCs w:val="28"/>
        </w:rPr>
        <w:t>SBI</w:t>
      </w:r>
      <w:r w:rsidRPr="00EA406E">
        <w:rPr>
          <w:rFonts w:ascii="Times New Roman" w:hAnsi="Times New Roman"/>
          <w:sz w:val="28"/>
          <w:szCs w:val="28"/>
          <w:lang w:val="uk-UA"/>
        </w:rPr>
        <w:t xml:space="preserve"> </w:t>
      </w:r>
      <w:r>
        <w:rPr>
          <w:rFonts w:ascii="Times New Roman" w:hAnsi="Times New Roman"/>
          <w:sz w:val="28"/>
          <w:szCs w:val="28"/>
          <w:lang w:val="uk-UA"/>
        </w:rPr>
        <w:t>в</w:t>
      </w:r>
      <w:r w:rsidR="00C67A7E" w:rsidRPr="002804DE">
        <w:rPr>
          <w:rFonts w:ascii="Times New Roman" w:hAnsi="Times New Roman"/>
          <w:sz w:val="28"/>
          <w:szCs w:val="28"/>
          <w:lang w:val="uk-UA"/>
        </w:rPr>
        <w:t xml:space="preserve">арто відмітити, що стан тканин пародонту у пацієнтів </w:t>
      </w:r>
      <w:r w:rsidR="004A1758">
        <w:rPr>
          <w:rFonts w:ascii="Times New Roman" w:hAnsi="Times New Roman"/>
          <w:sz w:val="28"/>
          <w:szCs w:val="28"/>
          <w:lang w:val="uk-UA"/>
        </w:rPr>
        <w:t>першо</w:t>
      </w:r>
      <w:r w:rsidR="00C67A7E" w:rsidRPr="002804DE">
        <w:rPr>
          <w:rFonts w:ascii="Times New Roman" w:hAnsi="Times New Roman"/>
          <w:sz w:val="28"/>
          <w:szCs w:val="28"/>
          <w:lang w:val="uk-UA"/>
        </w:rPr>
        <w:t xml:space="preserve">ї групи за індексом кровоточивості дорівнював </w:t>
      </w:r>
      <w:r w:rsidR="00963B98" w:rsidRPr="00963B98">
        <w:rPr>
          <w:rFonts w:ascii="Times New Roman" w:hAnsi="Times New Roman" w:cs="Times New Roman"/>
          <w:sz w:val="28"/>
          <w:szCs w:val="28"/>
          <w:lang w:val="uk-UA"/>
        </w:rPr>
        <w:t>3.42</w:t>
      </w:r>
      <w:r w:rsidR="00495E0B">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0.42</w:t>
      </w:r>
      <w:r w:rsidR="00963B98">
        <w:rPr>
          <w:rFonts w:ascii="Times New Roman" w:hAnsi="Times New Roman" w:cs="Times New Roman"/>
          <w:sz w:val="28"/>
          <w:szCs w:val="28"/>
          <w:lang w:val="uk-UA"/>
        </w:rPr>
        <w:t xml:space="preserve"> </w:t>
      </w:r>
      <w:r w:rsidR="00963B98">
        <w:rPr>
          <w:rFonts w:ascii="Times New Roman" w:hAnsi="Times New Roman"/>
          <w:sz w:val="28"/>
          <w:szCs w:val="28"/>
          <w:lang w:val="uk-UA"/>
        </w:rPr>
        <w:t xml:space="preserve">%, </w:t>
      </w:r>
      <w:r>
        <w:rPr>
          <w:rFonts w:ascii="Times New Roman" w:hAnsi="Times New Roman"/>
          <w:sz w:val="28"/>
          <w:szCs w:val="28"/>
          <w:lang w:val="uk-UA"/>
        </w:rPr>
        <w:t xml:space="preserve">у пацієнтів </w:t>
      </w:r>
      <w:r w:rsidR="004A1758">
        <w:rPr>
          <w:rFonts w:ascii="Times New Roman" w:hAnsi="Times New Roman"/>
          <w:sz w:val="28"/>
          <w:szCs w:val="28"/>
          <w:lang w:val="uk-UA"/>
        </w:rPr>
        <w:t xml:space="preserve">другої групи </w:t>
      </w:r>
      <w:r>
        <w:rPr>
          <w:rFonts w:ascii="Times New Roman" w:hAnsi="Times New Roman"/>
          <w:sz w:val="28"/>
          <w:szCs w:val="28"/>
          <w:lang w:val="uk-UA"/>
        </w:rPr>
        <w:t xml:space="preserve">з атопічними захворюваннями без проявів гінгівіту </w:t>
      </w:r>
      <w:r w:rsidR="004A1758">
        <w:rPr>
          <w:rFonts w:ascii="Times New Roman" w:hAnsi="Times New Roman" w:cs="Times New Roman"/>
          <w:sz w:val="28"/>
          <w:szCs w:val="28"/>
          <w:lang w:val="uk-UA"/>
        </w:rPr>
        <w:t>0.</w:t>
      </w:r>
      <w:r w:rsidR="004A1758" w:rsidRPr="004A1758">
        <w:rPr>
          <w:rFonts w:ascii="Times New Roman" w:hAnsi="Times New Roman" w:cs="Times New Roman"/>
          <w:sz w:val="28"/>
          <w:szCs w:val="28"/>
          <w:lang w:val="uk-UA"/>
        </w:rPr>
        <w:t>49</w:t>
      </w:r>
      <w:r w:rsidR="00495E0B">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0.2</w:t>
      </w:r>
      <w:r w:rsidRPr="00EA406E">
        <w:rPr>
          <w:rFonts w:ascii="Times New Roman" w:hAnsi="Times New Roman" w:cs="Times New Roman"/>
          <w:sz w:val="28"/>
          <w:szCs w:val="28"/>
          <w:lang w:val="uk-UA"/>
        </w:rPr>
        <w:t>2</w:t>
      </w:r>
      <w:r>
        <w:rPr>
          <w:rFonts w:ascii="Times New Roman" w:hAnsi="Times New Roman" w:cs="Times New Roman"/>
          <w:sz w:val="28"/>
          <w:szCs w:val="28"/>
          <w:lang w:val="uk-UA"/>
        </w:rPr>
        <w:t>%,</w:t>
      </w:r>
      <w:r w:rsidR="00963B98">
        <w:rPr>
          <w:rFonts w:ascii="Times New Roman" w:hAnsi="Times New Roman"/>
          <w:sz w:val="28"/>
          <w:szCs w:val="28"/>
          <w:lang w:val="uk-UA"/>
        </w:rPr>
        <w:t xml:space="preserve"> </w:t>
      </w:r>
      <w:r>
        <w:rPr>
          <w:rFonts w:ascii="Times New Roman" w:hAnsi="Times New Roman"/>
          <w:sz w:val="28"/>
          <w:szCs w:val="28"/>
          <w:lang w:val="uk-UA"/>
        </w:rPr>
        <w:t xml:space="preserve">серед пацієнтів </w:t>
      </w:r>
      <w:r w:rsidR="004A1758">
        <w:rPr>
          <w:rFonts w:ascii="Times New Roman" w:hAnsi="Times New Roman"/>
          <w:sz w:val="28"/>
          <w:szCs w:val="28"/>
          <w:lang w:val="uk-UA"/>
        </w:rPr>
        <w:t>контрольної групи - 0,48</w:t>
      </w:r>
      <w:r w:rsidR="00495E0B">
        <w:rPr>
          <w:rFonts w:ascii="Times New Roman" w:hAnsi="Times New Roman"/>
          <w:sz w:val="28"/>
          <w:szCs w:val="28"/>
          <w:lang w:val="uk-UA"/>
        </w:rPr>
        <w:t xml:space="preserve"> </w:t>
      </w:r>
      <w:r w:rsidR="00963B98">
        <w:rPr>
          <w:rFonts w:ascii="Times New Roman" w:hAnsi="Times New Roman"/>
          <w:sz w:val="28"/>
          <w:szCs w:val="28"/>
          <w:lang w:val="uk-UA"/>
        </w:rPr>
        <w:t>±</w:t>
      </w:r>
      <w:r w:rsidR="00495E0B">
        <w:rPr>
          <w:rFonts w:ascii="Times New Roman" w:hAnsi="Times New Roman"/>
          <w:sz w:val="28"/>
          <w:szCs w:val="28"/>
          <w:lang w:val="uk-UA"/>
        </w:rPr>
        <w:t xml:space="preserve"> </w:t>
      </w:r>
      <w:r w:rsidR="004A1758">
        <w:rPr>
          <w:rFonts w:ascii="Times New Roman" w:hAnsi="Times New Roman"/>
          <w:sz w:val="28"/>
          <w:szCs w:val="28"/>
          <w:lang w:val="uk-UA"/>
        </w:rPr>
        <w:t>0,21</w:t>
      </w:r>
      <w:r w:rsidR="00C67A7E" w:rsidRPr="002804DE">
        <w:rPr>
          <w:rFonts w:ascii="Times New Roman" w:hAnsi="Times New Roman"/>
          <w:sz w:val="28"/>
          <w:szCs w:val="28"/>
          <w:lang w:val="uk-UA"/>
        </w:rPr>
        <w:t xml:space="preserve">%. </w:t>
      </w:r>
    </w:p>
    <w:p w14:paraId="0CBC7D39" w14:textId="54B87BCB" w:rsidR="000728CB" w:rsidRDefault="00963B98" w:rsidP="00DC500B">
      <w:pPr>
        <w:spacing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Середній</w:t>
      </w:r>
      <w:r w:rsidR="00022B2F">
        <w:rPr>
          <w:rFonts w:ascii="Times New Roman" w:hAnsi="Times New Roman" w:cs="Times New Roman"/>
          <w:sz w:val="28"/>
          <w:szCs w:val="28"/>
          <w:lang w:val="uk-UA"/>
        </w:rPr>
        <w:t xml:space="preserve"> рівень МДА ротової рідини</w:t>
      </w:r>
      <w:r w:rsidRPr="00963B98">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групи контролю становив 3,83</w:t>
      </w:r>
      <w:r w:rsidRPr="00963B98">
        <w:rPr>
          <w:rFonts w:ascii="Times New Roman" w:hAnsi="Times New Roman" w:cs="Times New Roman"/>
          <w:sz w:val="28"/>
          <w:szCs w:val="28"/>
          <w:lang w:val="uk-UA"/>
        </w:rPr>
        <w:t xml:space="preserve"> ± 0,83 мкм / л. Середій рівень у </w:t>
      </w:r>
      <w:r w:rsidR="004A1758">
        <w:rPr>
          <w:rFonts w:ascii="Times New Roman" w:hAnsi="Times New Roman" w:cs="Times New Roman"/>
          <w:sz w:val="28"/>
          <w:szCs w:val="28"/>
          <w:lang w:val="uk-UA"/>
        </w:rPr>
        <w:t xml:space="preserve">першій </w:t>
      </w:r>
      <w:r w:rsidRPr="00963B98">
        <w:rPr>
          <w:rFonts w:ascii="Times New Roman" w:hAnsi="Times New Roman" w:cs="Times New Roman"/>
          <w:sz w:val="28"/>
          <w:szCs w:val="28"/>
          <w:lang w:val="uk-UA"/>
        </w:rPr>
        <w:t xml:space="preserve">групі був 6,87 ± 0,91 мкм / л, а у </w:t>
      </w:r>
      <w:r w:rsidR="004A1758">
        <w:rPr>
          <w:rFonts w:ascii="Times New Roman" w:hAnsi="Times New Roman" w:cs="Times New Roman"/>
          <w:sz w:val="28"/>
          <w:szCs w:val="28"/>
          <w:lang w:val="uk-UA"/>
        </w:rPr>
        <w:t xml:space="preserve">другій </w:t>
      </w:r>
      <w:r w:rsidRPr="00963B98">
        <w:rPr>
          <w:rFonts w:ascii="Times New Roman" w:hAnsi="Times New Roman" w:cs="Times New Roman"/>
          <w:sz w:val="28"/>
          <w:szCs w:val="28"/>
          <w:lang w:val="uk-UA"/>
        </w:rPr>
        <w:t xml:space="preserve">групі склав 5,96 ± 0,79 мкм / л. Середній рівень МДА групи </w:t>
      </w:r>
      <w:r w:rsidR="004A1758">
        <w:rPr>
          <w:rFonts w:ascii="Times New Roman" w:hAnsi="Times New Roman" w:cs="Times New Roman"/>
          <w:sz w:val="28"/>
          <w:szCs w:val="28"/>
          <w:lang w:val="uk-UA"/>
        </w:rPr>
        <w:t>контролю</w:t>
      </w:r>
      <w:r w:rsidRPr="00963B98">
        <w:rPr>
          <w:rFonts w:ascii="Times New Roman" w:hAnsi="Times New Roman" w:cs="Times New Roman"/>
          <w:sz w:val="28"/>
          <w:szCs w:val="28"/>
          <w:lang w:val="uk-UA"/>
        </w:rPr>
        <w:t xml:space="preserve"> був </w:t>
      </w:r>
      <w:r w:rsidR="004A1758">
        <w:rPr>
          <w:rFonts w:ascii="Times New Roman" w:hAnsi="Times New Roman" w:cs="Times New Roman"/>
          <w:sz w:val="28"/>
          <w:szCs w:val="28"/>
          <w:lang w:val="uk-UA"/>
        </w:rPr>
        <w:t>значно нижчим порівняно з групами</w:t>
      </w:r>
      <w:r w:rsidRPr="00963B98">
        <w:rPr>
          <w:rFonts w:ascii="Times New Roman" w:hAnsi="Times New Roman" w:cs="Times New Roman"/>
          <w:sz w:val="28"/>
          <w:szCs w:val="28"/>
          <w:lang w:val="uk-UA"/>
        </w:rPr>
        <w:t xml:space="preserve"> </w:t>
      </w:r>
      <w:r w:rsidR="004A1758">
        <w:rPr>
          <w:rFonts w:ascii="Times New Roman" w:hAnsi="Times New Roman" w:cs="Times New Roman"/>
          <w:sz w:val="28"/>
          <w:szCs w:val="28"/>
          <w:lang w:val="uk-UA"/>
        </w:rPr>
        <w:t>дітей, хворих на атопічні захворювання, з вираженими клінічними проявами гінгівіту та без таких</w:t>
      </w:r>
      <w:r w:rsidRPr="00963B98">
        <w:rPr>
          <w:rFonts w:ascii="Times New Roman" w:hAnsi="Times New Roman" w:cs="Times New Roman"/>
          <w:sz w:val="28"/>
          <w:szCs w:val="28"/>
          <w:lang w:val="uk-UA"/>
        </w:rPr>
        <w:t xml:space="preserve"> (P &lt;0,05). У середньому рівні MДА </w:t>
      </w:r>
      <w:r w:rsidR="004A1758">
        <w:rPr>
          <w:rFonts w:ascii="Times New Roman" w:hAnsi="Times New Roman" w:cs="Times New Roman"/>
          <w:sz w:val="28"/>
          <w:szCs w:val="28"/>
          <w:lang w:val="uk-UA"/>
        </w:rPr>
        <w:t>першої та другої групи</w:t>
      </w:r>
      <w:r w:rsidRPr="00963B98">
        <w:rPr>
          <w:rFonts w:ascii="Times New Roman" w:hAnsi="Times New Roman" w:cs="Times New Roman"/>
          <w:sz w:val="28"/>
          <w:szCs w:val="28"/>
          <w:lang w:val="uk-UA"/>
        </w:rPr>
        <w:t xml:space="preserve"> не мали суттєвих змін</w:t>
      </w:r>
      <w:r w:rsidR="004A1758">
        <w:rPr>
          <w:rFonts w:ascii="Times New Roman" w:hAnsi="Times New Roman" w:cs="Times New Roman"/>
          <w:sz w:val="28"/>
          <w:szCs w:val="28"/>
          <w:lang w:val="uk-UA"/>
        </w:rPr>
        <w:t>, порівняльна характ</w:t>
      </w:r>
      <w:r w:rsidR="00E9728E">
        <w:rPr>
          <w:rFonts w:ascii="Times New Roman" w:hAnsi="Times New Roman" w:cs="Times New Roman"/>
          <w:sz w:val="28"/>
          <w:szCs w:val="28"/>
          <w:lang w:val="uk-UA"/>
        </w:rPr>
        <w:t>еристика наведена у таблиці 8</w:t>
      </w:r>
      <w:r w:rsidR="00607F83">
        <w:rPr>
          <w:rFonts w:ascii="Times New Roman" w:hAnsi="Times New Roman" w:cs="Times New Roman"/>
          <w:sz w:val="28"/>
          <w:szCs w:val="28"/>
          <w:lang w:val="uk-UA"/>
        </w:rPr>
        <w:t>.29</w:t>
      </w:r>
      <w:r w:rsidR="00245372" w:rsidRPr="00245372">
        <w:rPr>
          <w:rFonts w:ascii="Times New Roman" w:hAnsi="Times New Roman" w:cs="Times New Roman"/>
          <w:sz w:val="28"/>
          <w:szCs w:val="28"/>
          <w:lang w:val="ru-RU"/>
        </w:rPr>
        <w:t xml:space="preserve"> [311]</w:t>
      </w:r>
      <w:r w:rsidRPr="00963B98">
        <w:rPr>
          <w:rFonts w:ascii="Times New Roman" w:hAnsi="Times New Roman" w:cs="Times New Roman"/>
          <w:sz w:val="28"/>
          <w:szCs w:val="28"/>
          <w:lang w:val="uk-UA"/>
        </w:rPr>
        <w:t>.</w:t>
      </w:r>
    </w:p>
    <w:p w14:paraId="3FD1E49D" w14:textId="6A236BA7" w:rsidR="00022B2F" w:rsidRPr="00664BE9" w:rsidRDefault="00022B2F" w:rsidP="00664BE9">
      <w:pPr>
        <w:spacing w:after="0" w:line="360" w:lineRule="auto"/>
        <w:ind w:firstLine="709"/>
        <w:jc w:val="both"/>
        <w:rPr>
          <w:rFonts w:ascii="Times New Roman" w:hAnsi="Times New Roman" w:cs="Times New Roman"/>
          <w:sz w:val="28"/>
          <w:szCs w:val="28"/>
          <w:lang w:val="uk-UA"/>
        </w:rPr>
      </w:pPr>
      <w:r w:rsidRPr="00022B2F">
        <w:rPr>
          <w:rFonts w:ascii="Times New Roman" w:hAnsi="Times New Roman" w:cs="Times New Roman"/>
          <w:sz w:val="28"/>
          <w:szCs w:val="28"/>
          <w:lang w:val="uk-UA"/>
        </w:rPr>
        <w:t xml:space="preserve">Як вже було зазначено у попередньому розділі, підвищення рівню малонового диальдегіду було характерним для усіх груп пацієнтів з атопією, що свідчить про наявність системних порушенью Аналіз показників пародонтального статусу (індекси </w:t>
      </w:r>
      <w:r>
        <w:rPr>
          <w:rFonts w:ascii="Times New Roman" w:hAnsi="Times New Roman" w:cs="Times New Roman"/>
          <w:sz w:val="28"/>
          <w:szCs w:val="28"/>
        </w:rPr>
        <w:t>SBI</w:t>
      </w:r>
      <w:r>
        <w:rPr>
          <w:rFonts w:ascii="Times New Roman" w:hAnsi="Times New Roman" w:cs="Times New Roman"/>
          <w:sz w:val="28"/>
          <w:szCs w:val="28"/>
          <w:lang w:val="uk-UA"/>
        </w:rPr>
        <w:t>, РМА</w:t>
      </w:r>
      <w:r w:rsidRPr="00022B2F">
        <w:rPr>
          <w:rFonts w:ascii="Times New Roman" w:hAnsi="Times New Roman" w:cs="Times New Roman"/>
          <w:sz w:val="28"/>
          <w:szCs w:val="28"/>
          <w:lang w:val="uk-UA"/>
        </w:rPr>
        <w:t>) свідчили про те, що через шість та дванадцять місяців стан передхвороби реалізується у хворобу за відсутністю адекватних профілактичних заходів.</w:t>
      </w:r>
    </w:p>
    <w:p w14:paraId="3707419A" w14:textId="3695EE45" w:rsidR="004A1758" w:rsidRPr="004A1758" w:rsidRDefault="00E9728E" w:rsidP="00664BE9">
      <w:pPr>
        <w:spacing w:after="0" w:line="360" w:lineRule="auto"/>
        <w:ind w:firstLine="709"/>
        <w:jc w:val="right"/>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Таблиця 8</w:t>
      </w:r>
      <w:r w:rsidR="00607F83">
        <w:rPr>
          <w:rFonts w:ascii="Times New Roman" w:hAnsi="Times New Roman" w:cs="Times New Roman"/>
          <w:color w:val="222222"/>
          <w:sz w:val="28"/>
          <w:szCs w:val="28"/>
          <w:lang w:val="uk-UA"/>
        </w:rPr>
        <w:t>.29</w:t>
      </w:r>
    </w:p>
    <w:p w14:paraId="012DC5FC" w14:textId="4ED9FC58" w:rsidR="00963B98" w:rsidRPr="004A1758" w:rsidRDefault="00963B98" w:rsidP="00063103">
      <w:pPr>
        <w:spacing w:after="0" w:line="360" w:lineRule="auto"/>
        <w:jc w:val="center"/>
        <w:rPr>
          <w:rFonts w:ascii="Times New Roman" w:hAnsi="Times New Roman" w:cs="Times New Roman"/>
          <w:sz w:val="28"/>
          <w:szCs w:val="28"/>
          <w:lang w:val="uk-UA"/>
        </w:rPr>
      </w:pPr>
      <w:r w:rsidRPr="004A1758">
        <w:rPr>
          <w:rFonts w:ascii="Times New Roman" w:hAnsi="Times New Roman" w:cs="Times New Roman"/>
          <w:color w:val="222222"/>
          <w:sz w:val="28"/>
          <w:szCs w:val="28"/>
          <w:lang w:val="uk-UA"/>
        </w:rPr>
        <w:t xml:space="preserve">Оцінка та порівняння середніх значень МДА та СОД у </w:t>
      </w:r>
      <w:r w:rsidR="00495E0B">
        <w:rPr>
          <w:rFonts w:ascii="Times New Roman" w:hAnsi="Times New Roman" w:cs="Times New Roman"/>
          <w:color w:val="222222"/>
          <w:sz w:val="28"/>
          <w:szCs w:val="28"/>
          <w:lang w:val="uk-UA"/>
        </w:rPr>
        <w:t>групах</w:t>
      </w:r>
      <w:r w:rsidR="00063103">
        <w:rPr>
          <w:rFonts w:ascii="Times New Roman" w:hAnsi="Times New Roman" w:cs="Times New Roman"/>
          <w:color w:val="222222"/>
          <w:sz w:val="28"/>
          <w:szCs w:val="28"/>
          <w:lang w:val="uk-UA"/>
        </w:rPr>
        <w:t xml:space="preserve">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8"/>
        <w:gridCol w:w="2936"/>
        <w:gridCol w:w="2977"/>
      </w:tblGrid>
      <w:tr w:rsidR="00963B98" w:rsidRPr="00063103" w14:paraId="6DD33A2A" w14:textId="77777777" w:rsidTr="00063103">
        <w:trPr>
          <w:trHeight w:val="463"/>
        </w:trPr>
        <w:tc>
          <w:tcPr>
            <w:tcW w:w="3438" w:type="dxa"/>
            <w:shd w:val="clear" w:color="auto" w:fill="auto"/>
          </w:tcPr>
          <w:p w14:paraId="5410F78A" w14:textId="77777777"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uk-UA"/>
              </w:rPr>
            </w:pPr>
            <w:r w:rsidRPr="00963B98">
              <w:rPr>
                <w:rFonts w:ascii="Times New Roman" w:eastAsia="Times New Roman" w:hAnsi="Times New Roman" w:cs="Times New Roman"/>
                <w:sz w:val="28"/>
                <w:szCs w:val="28"/>
                <w:lang w:val="uk-UA"/>
              </w:rPr>
              <w:t>Групи пацієнтів</w:t>
            </w:r>
          </w:p>
        </w:tc>
        <w:tc>
          <w:tcPr>
            <w:tcW w:w="2936" w:type="dxa"/>
            <w:shd w:val="clear" w:color="auto" w:fill="auto"/>
          </w:tcPr>
          <w:p w14:paraId="4017531A" w14:textId="25329E3C" w:rsidR="00963B98" w:rsidRPr="00063103" w:rsidRDefault="00063103" w:rsidP="0006310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МДА (</w:t>
            </w:r>
            <w:r w:rsidR="00963B98" w:rsidRPr="00963B98">
              <w:rPr>
                <w:rFonts w:ascii="Times New Roman" w:hAnsi="Times New Roman" w:cs="Times New Roman"/>
                <w:sz w:val="28"/>
                <w:szCs w:val="28"/>
                <w:lang w:val="uk-UA"/>
              </w:rPr>
              <w:t>мкм / л</w:t>
            </w:r>
            <w:r>
              <w:rPr>
                <w:rFonts w:ascii="Times New Roman" w:hAnsi="Times New Roman" w:cs="Times New Roman"/>
                <w:sz w:val="28"/>
                <w:szCs w:val="28"/>
                <w:lang w:val="uk-UA"/>
              </w:rPr>
              <w:t>)</w:t>
            </w:r>
          </w:p>
        </w:tc>
        <w:tc>
          <w:tcPr>
            <w:tcW w:w="2977" w:type="dxa"/>
            <w:shd w:val="clear" w:color="auto" w:fill="auto"/>
          </w:tcPr>
          <w:p w14:paraId="661279B0" w14:textId="089C2CFA" w:rsidR="00963B98" w:rsidRPr="00063103" w:rsidRDefault="00063103" w:rsidP="0006310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СОД (</w:t>
            </w:r>
            <w:r w:rsidR="00963B98" w:rsidRPr="00963B98">
              <w:rPr>
                <w:rFonts w:ascii="Times New Roman" w:eastAsia="Times New Roman" w:hAnsi="Times New Roman" w:cs="Times New Roman"/>
                <w:sz w:val="28"/>
                <w:szCs w:val="28"/>
                <w:lang w:val="ru-RU"/>
              </w:rPr>
              <w:t>у.о. /</w:t>
            </w:r>
            <w:r w:rsidR="00963B98" w:rsidRPr="00063103">
              <w:rPr>
                <w:rFonts w:ascii="Times New Roman" w:eastAsia="Times New Roman" w:hAnsi="Times New Roman" w:cs="Times New Roman"/>
                <w:sz w:val="28"/>
                <w:szCs w:val="28"/>
                <w:lang w:val="ru-RU"/>
              </w:rPr>
              <w:t xml:space="preserve"> л</w:t>
            </w:r>
            <w:r>
              <w:rPr>
                <w:rFonts w:ascii="Times New Roman" w:eastAsia="Times New Roman" w:hAnsi="Times New Roman" w:cs="Times New Roman"/>
                <w:sz w:val="28"/>
                <w:szCs w:val="28"/>
                <w:lang w:val="ru-RU"/>
              </w:rPr>
              <w:t>)</w:t>
            </w:r>
          </w:p>
        </w:tc>
      </w:tr>
      <w:tr w:rsidR="00963B98" w:rsidRPr="00063103" w14:paraId="71FC4407" w14:textId="77777777" w:rsidTr="00063103">
        <w:trPr>
          <w:trHeight w:val="488"/>
        </w:trPr>
        <w:tc>
          <w:tcPr>
            <w:tcW w:w="3438" w:type="dxa"/>
            <w:shd w:val="clear" w:color="auto" w:fill="auto"/>
          </w:tcPr>
          <w:p w14:paraId="5B6B464E" w14:textId="11E4CEFB" w:rsidR="00963B98" w:rsidRPr="00963B98" w:rsidRDefault="004A1758" w:rsidP="00664BE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Перша група</w:t>
            </w:r>
          </w:p>
        </w:tc>
        <w:tc>
          <w:tcPr>
            <w:tcW w:w="2936" w:type="dxa"/>
            <w:shd w:val="clear" w:color="auto" w:fill="auto"/>
          </w:tcPr>
          <w:p w14:paraId="3D7511A7" w14:textId="48B3F0B4"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6.87</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0.91</w:t>
            </w:r>
            <w:r w:rsidR="00495E0B">
              <w:rPr>
                <w:rFonts w:ascii="Times New Roman" w:eastAsia="Times New Roman" w:hAnsi="Times New Roman" w:cs="Times New Roman"/>
                <w:sz w:val="28"/>
                <w:szCs w:val="28"/>
                <w:lang w:val="ru-RU"/>
              </w:rPr>
              <w:t>*</w:t>
            </w:r>
          </w:p>
        </w:tc>
        <w:tc>
          <w:tcPr>
            <w:tcW w:w="2977" w:type="dxa"/>
            <w:shd w:val="clear" w:color="auto" w:fill="auto"/>
          </w:tcPr>
          <w:p w14:paraId="4F32FC0C" w14:textId="4816ACA1"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3.3</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0.41</w:t>
            </w:r>
            <w:r w:rsidR="00495E0B">
              <w:rPr>
                <w:rFonts w:ascii="Times New Roman" w:eastAsia="Times New Roman" w:hAnsi="Times New Roman" w:cs="Times New Roman"/>
                <w:sz w:val="28"/>
                <w:szCs w:val="28"/>
                <w:lang w:val="ru-RU"/>
              </w:rPr>
              <w:t>*</w:t>
            </w:r>
          </w:p>
        </w:tc>
      </w:tr>
      <w:tr w:rsidR="00963B98" w:rsidRPr="00063103" w14:paraId="78D6E919" w14:textId="77777777" w:rsidTr="00063103">
        <w:trPr>
          <w:trHeight w:val="488"/>
        </w:trPr>
        <w:tc>
          <w:tcPr>
            <w:tcW w:w="3438" w:type="dxa"/>
            <w:shd w:val="clear" w:color="auto" w:fill="auto"/>
          </w:tcPr>
          <w:p w14:paraId="75CAC16B" w14:textId="22954A34" w:rsidR="00963B98" w:rsidRPr="004A1758" w:rsidRDefault="004A1758" w:rsidP="00664BE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Друга група</w:t>
            </w:r>
          </w:p>
        </w:tc>
        <w:tc>
          <w:tcPr>
            <w:tcW w:w="2936" w:type="dxa"/>
            <w:shd w:val="clear" w:color="auto" w:fill="auto"/>
          </w:tcPr>
          <w:p w14:paraId="7E6B0FE4" w14:textId="5E9908A4"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5.96</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0.79</w:t>
            </w:r>
            <w:r w:rsidR="00495E0B">
              <w:rPr>
                <w:rFonts w:ascii="Times New Roman" w:eastAsia="Times New Roman" w:hAnsi="Times New Roman" w:cs="Times New Roman"/>
                <w:sz w:val="28"/>
                <w:szCs w:val="28"/>
                <w:lang w:val="ru-RU"/>
              </w:rPr>
              <w:t>*</w:t>
            </w:r>
          </w:p>
        </w:tc>
        <w:tc>
          <w:tcPr>
            <w:tcW w:w="2977" w:type="dxa"/>
            <w:shd w:val="clear" w:color="auto" w:fill="auto"/>
          </w:tcPr>
          <w:p w14:paraId="6C4D9EED" w14:textId="0F3C55E0"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3.27</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0</w:t>
            </w:r>
            <w:r w:rsidRPr="00963B98">
              <w:rPr>
                <w:rFonts w:ascii="Times New Roman" w:eastAsia="Times New Roman" w:hAnsi="Times New Roman" w:cs="Times New Roman"/>
                <w:sz w:val="28"/>
                <w:szCs w:val="28"/>
                <w:lang w:val="ru-RU"/>
              </w:rPr>
              <w:t>.4</w:t>
            </w:r>
            <w:r w:rsidR="00495E0B">
              <w:rPr>
                <w:rFonts w:ascii="Times New Roman" w:eastAsia="Times New Roman" w:hAnsi="Times New Roman" w:cs="Times New Roman"/>
                <w:sz w:val="28"/>
                <w:szCs w:val="28"/>
                <w:lang w:val="ru-RU"/>
              </w:rPr>
              <w:t>*</w:t>
            </w:r>
          </w:p>
        </w:tc>
      </w:tr>
      <w:tr w:rsidR="00963B98" w:rsidRPr="00963B98" w14:paraId="6FB3D6BF" w14:textId="77777777" w:rsidTr="00063103">
        <w:trPr>
          <w:trHeight w:val="473"/>
        </w:trPr>
        <w:tc>
          <w:tcPr>
            <w:tcW w:w="3438" w:type="dxa"/>
            <w:shd w:val="clear" w:color="auto" w:fill="auto"/>
          </w:tcPr>
          <w:p w14:paraId="67B95FC9" w14:textId="115904FA" w:rsidR="00963B98" w:rsidRPr="00963B98" w:rsidRDefault="004A1758" w:rsidP="00664B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Група контролю</w:t>
            </w:r>
          </w:p>
        </w:tc>
        <w:tc>
          <w:tcPr>
            <w:tcW w:w="2936" w:type="dxa"/>
            <w:shd w:val="clear" w:color="auto" w:fill="auto"/>
          </w:tcPr>
          <w:p w14:paraId="4D9C9E06" w14:textId="3F65B65F" w:rsidR="00963B98" w:rsidRPr="00963B98" w:rsidRDefault="00495E0B" w:rsidP="00664BE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3.83 </w:t>
            </w:r>
            <w:r w:rsidR="00963B98" w:rsidRPr="00963B98">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sidR="00963B98" w:rsidRPr="00963B98">
              <w:rPr>
                <w:rFonts w:ascii="Times New Roman" w:eastAsia="Times New Roman" w:hAnsi="Times New Roman" w:cs="Times New Roman"/>
                <w:sz w:val="28"/>
                <w:szCs w:val="28"/>
                <w:lang w:val="ru-RU"/>
              </w:rPr>
              <w:t>0.83</w:t>
            </w:r>
          </w:p>
        </w:tc>
        <w:tc>
          <w:tcPr>
            <w:tcW w:w="2977" w:type="dxa"/>
            <w:shd w:val="clear" w:color="auto" w:fill="auto"/>
          </w:tcPr>
          <w:p w14:paraId="0C673DA0" w14:textId="1FA906CE" w:rsidR="00963B98" w:rsidRPr="00963B98" w:rsidRDefault="00963B98" w:rsidP="00664BE9">
            <w:pPr>
              <w:spacing w:after="0" w:line="360" w:lineRule="auto"/>
              <w:ind w:firstLine="709"/>
              <w:jc w:val="both"/>
              <w:rPr>
                <w:rFonts w:ascii="Times New Roman" w:eastAsia="Times New Roman" w:hAnsi="Times New Roman" w:cs="Times New Roman"/>
                <w:sz w:val="28"/>
                <w:szCs w:val="28"/>
                <w:lang w:val="ru-RU"/>
              </w:rPr>
            </w:pPr>
            <w:r w:rsidRPr="00963B98">
              <w:rPr>
                <w:rFonts w:ascii="Times New Roman" w:eastAsia="Times New Roman" w:hAnsi="Times New Roman" w:cs="Times New Roman"/>
                <w:sz w:val="28"/>
                <w:szCs w:val="28"/>
                <w:lang w:val="ru-RU"/>
              </w:rPr>
              <w:t>5.26</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w:t>
            </w:r>
            <w:r w:rsidR="00495E0B">
              <w:rPr>
                <w:rFonts w:ascii="Times New Roman" w:eastAsia="Times New Roman" w:hAnsi="Times New Roman" w:cs="Times New Roman"/>
                <w:sz w:val="28"/>
                <w:szCs w:val="28"/>
                <w:lang w:val="ru-RU"/>
              </w:rPr>
              <w:t xml:space="preserve"> </w:t>
            </w:r>
            <w:r w:rsidRPr="00963B98">
              <w:rPr>
                <w:rFonts w:ascii="Times New Roman" w:eastAsia="Times New Roman" w:hAnsi="Times New Roman" w:cs="Times New Roman"/>
                <w:sz w:val="28"/>
                <w:szCs w:val="28"/>
                <w:lang w:val="ru-RU"/>
              </w:rPr>
              <w:t>0.57</w:t>
            </w:r>
          </w:p>
        </w:tc>
      </w:tr>
    </w:tbl>
    <w:p w14:paraId="6142635B" w14:textId="101728BF" w:rsidR="00963B98" w:rsidRPr="00495E0B" w:rsidRDefault="00495E0B" w:rsidP="00664BE9">
      <w:pPr>
        <w:spacing w:after="0" w:line="360" w:lineRule="auto"/>
        <w:jc w:val="both"/>
        <w:rPr>
          <w:rFonts w:ascii="Times New Roman" w:hAnsi="Times New Roman" w:cs="Times New Roman"/>
          <w:sz w:val="28"/>
          <w:szCs w:val="28"/>
          <w:lang w:val="uk-UA"/>
        </w:rPr>
      </w:pPr>
      <w:r w:rsidRPr="00495E0B">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495E0B">
        <w:rPr>
          <w:rFonts w:ascii="Times New Roman" w:hAnsi="Times New Roman" w:cs="Times New Roman"/>
          <w:sz w:val="28"/>
          <w:szCs w:val="28"/>
          <w:lang w:val="uk-UA"/>
        </w:rPr>
        <w:t>P &lt; 0.05, різниця статистично значима у порівнянні з групою контролю</w:t>
      </w:r>
    </w:p>
    <w:p w14:paraId="4AEA9192" w14:textId="1BA8B977" w:rsidR="00963B98" w:rsidRPr="00963B98"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Активність СОД була значно нижчою у </w:t>
      </w:r>
      <w:r w:rsidR="00495E0B">
        <w:rPr>
          <w:rFonts w:ascii="Times New Roman" w:hAnsi="Times New Roman" w:cs="Times New Roman"/>
          <w:sz w:val="28"/>
          <w:szCs w:val="28"/>
          <w:lang w:val="uk-UA"/>
        </w:rPr>
        <w:t xml:space="preserve">першій та другій </w:t>
      </w:r>
      <w:r w:rsidRPr="00963B98">
        <w:rPr>
          <w:rFonts w:ascii="Times New Roman" w:hAnsi="Times New Roman" w:cs="Times New Roman"/>
          <w:sz w:val="28"/>
          <w:szCs w:val="28"/>
          <w:lang w:val="uk-UA"/>
        </w:rPr>
        <w:t xml:space="preserve">групах </w:t>
      </w:r>
      <w:r w:rsidR="00495E0B">
        <w:rPr>
          <w:rFonts w:ascii="Times New Roman" w:hAnsi="Times New Roman" w:cs="Times New Roman"/>
          <w:sz w:val="28"/>
          <w:szCs w:val="28"/>
          <w:lang w:val="uk-UA"/>
        </w:rPr>
        <w:t>пацієнтів</w:t>
      </w:r>
      <w:r w:rsidRPr="00963B98">
        <w:rPr>
          <w:rFonts w:ascii="Times New Roman" w:hAnsi="Times New Roman" w:cs="Times New Roman"/>
          <w:sz w:val="28"/>
          <w:szCs w:val="28"/>
          <w:lang w:val="uk-UA"/>
        </w:rPr>
        <w:t>, у порівнянні з</w:t>
      </w:r>
      <w:r w:rsidR="00495E0B">
        <w:rPr>
          <w:rFonts w:ascii="Times New Roman" w:hAnsi="Times New Roman" w:cs="Times New Roman"/>
          <w:sz w:val="28"/>
          <w:szCs w:val="28"/>
          <w:lang w:val="uk-UA"/>
        </w:rPr>
        <w:t xml:space="preserve"> соматично</w:t>
      </w:r>
      <w:r w:rsidRPr="00963B98">
        <w:rPr>
          <w:rFonts w:ascii="Times New Roman" w:hAnsi="Times New Roman" w:cs="Times New Roman"/>
          <w:sz w:val="28"/>
          <w:szCs w:val="28"/>
          <w:lang w:val="uk-UA"/>
        </w:rPr>
        <w:t xml:space="preserve"> здоровими дітьми. У ротовій рідині </w:t>
      </w:r>
      <w:r w:rsidR="0016031F">
        <w:rPr>
          <w:rFonts w:ascii="Times New Roman" w:hAnsi="Times New Roman" w:cs="Times New Roman"/>
          <w:sz w:val="28"/>
          <w:szCs w:val="28"/>
          <w:lang w:val="uk-UA"/>
        </w:rPr>
        <w:t>концентрація супероксиддисмутази</w:t>
      </w:r>
      <w:r w:rsidRPr="00963B98">
        <w:rPr>
          <w:rFonts w:ascii="Times New Roman" w:hAnsi="Times New Roman" w:cs="Times New Roman"/>
          <w:sz w:val="28"/>
          <w:szCs w:val="28"/>
          <w:lang w:val="uk-UA"/>
        </w:rPr>
        <w:t xml:space="preserve"> дорівнювала 3,3 ± 0,41 у.о. / л у групі дітей на тлі ато</w:t>
      </w:r>
      <w:r w:rsidR="00495E0B">
        <w:rPr>
          <w:rFonts w:ascii="Times New Roman" w:hAnsi="Times New Roman" w:cs="Times New Roman"/>
          <w:sz w:val="28"/>
          <w:szCs w:val="28"/>
          <w:lang w:val="uk-UA"/>
        </w:rPr>
        <w:t>пії та гінгівіту та 3,27 ± 0,4 у.о. / л</w:t>
      </w:r>
      <w:r w:rsidRPr="00963B98">
        <w:rPr>
          <w:rFonts w:ascii="Times New Roman" w:hAnsi="Times New Roman" w:cs="Times New Roman"/>
          <w:sz w:val="28"/>
          <w:szCs w:val="28"/>
          <w:lang w:val="uk-UA"/>
        </w:rPr>
        <w:t xml:space="preserve"> в групі дітей з атопією. Не було суттєвої різниці в концентрації супероксидд</w:t>
      </w:r>
      <w:r w:rsidR="00495E0B">
        <w:rPr>
          <w:rFonts w:ascii="Times New Roman" w:hAnsi="Times New Roman" w:cs="Times New Roman"/>
          <w:sz w:val="28"/>
          <w:szCs w:val="28"/>
          <w:lang w:val="uk-UA"/>
        </w:rPr>
        <w:t>исмутази між цими двома групами, проте достовірна різниця спостерігалася у порівнянні з контрольною групою.</w:t>
      </w:r>
    </w:p>
    <w:p w14:paraId="0343D364" w14:textId="013B4EB1" w:rsidR="000728CB"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Середній індекс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у групі </w:t>
      </w:r>
      <w:r w:rsidR="00495E0B">
        <w:rPr>
          <w:rFonts w:ascii="Times New Roman" w:hAnsi="Times New Roman" w:cs="Times New Roman"/>
          <w:sz w:val="28"/>
          <w:szCs w:val="28"/>
          <w:lang w:val="uk-UA"/>
        </w:rPr>
        <w:t xml:space="preserve">дітей з хронічним гінгівітом на тлі атопічних захворювань </w:t>
      </w:r>
      <w:r w:rsidRPr="00963B98">
        <w:rPr>
          <w:rFonts w:ascii="Times New Roman" w:hAnsi="Times New Roman" w:cs="Times New Roman"/>
          <w:sz w:val="28"/>
          <w:szCs w:val="28"/>
          <w:lang w:val="uk-UA"/>
        </w:rPr>
        <w:t xml:space="preserve">становив 3,42 ± 0,42. Середній рівень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у групі </w:t>
      </w:r>
      <w:r w:rsidR="00495E0B">
        <w:rPr>
          <w:rFonts w:ascii="Times New Roman" w:hAnsi="Times New Roman" w:cs="Times New Roman"/>
          <w:sz w:val="28"/>
          <w:szCs w:val="28"/>
          <w:lang w:val="uk-UA"/>
        </w:rPr>
        <w:t>дітей без клінічних ознак гінгівіту на тлі атопічних захворювань</w:t>
      </w:r>
      <w:r w:rsidRPr="00963B98">
        <w:rPr>
          <w:rFonts w:ascii="Times New Roman" w:hAnsi="Times New Roman" w:cs="Times New Roman"/>
          <w:sz w:val="28"/>
          <w:szCs w:val="28"/>
          <w:lang w:val="uk-UA"/>
        </w:rPr>
        <w:t xml:space="preserve"> дорівнював </w:t>
      </w:r>
      <w:r w:rsidR="00495E0B">
        <w:rPr>
          <w:rFonts w:ascii="Times New Roman" w:hAnsi="Times New Roman" w:cs="Times New Roman"/>
          <w:sz w:val="28"/>
          <w:szCs w:val="28"/>
          <w:lang w:val="uk-UA"/>
        </w:rPr>
        <w:t>0,49 ± 0,2</w:t>
      </w:r>
      <w:r w:rsidRPr="00963B98">
        <w:rPr>
          <w:rFonts w:ascii="Times New Roman" w:hAnsi="Times New Roman" w:cs="Times New Roman"/>
          <w:sz w:val="28"/>
          <w:szCs w:val="28"/>
          <w:lang w:val="uk-UA"/>
        </w:rPr>
        <w:t xml:space="preserve">2. Рівень групи </w:t>
      </w:r>
      <w:r w:rsidR="00495E0B">
        <w:rPr>
          <w:rFonts w:ascii="Times New Roman" w:hAnsi="Times New Roman" w:cs="Times New Roman"/>
          <w:sz w:val="28"/>
          <w:szCs w:val="28"/>
          <w:lang w:val="uk-UA"/>
        </w:rPr>
        <w:t>контролю</w:t>
      </w:r>
      <w:r w:rsidRPr="00963B98">
        <w:rPr>
          <w:rFonts w:ascii="Times New Roman" w:hAnsi="Times New Roman" w:cs="Times New Roman"/>
          <w:sz w:val="28"/>
          <w:szCs w:val="28"/>
          <w:lang w:val="uk-UA"/>
        </w:rPr>
        <w:t xml:space="preserve"> склав </w:t>
      </w:r>
      <w:r w:rsidR="00495E0B">
        <w:rPr>
          <w:rFonts w:ascii="Times New Roman" w:hAnsi="Times New Roman"/>
          <w:sz w:val="28"/>
          <w:szCs w:val="28"/>
          <w:lang w:val="uk-UA"/>
        </w:rPr>
        <w:t>0,48 ± 0,21</w:t>
      </w:r>
      <w:r w:rsidRPr="00963B98">
        <w:rPr>
          <w:rFonts w:ascii="Times New Roman" w:hAnsi="Times New Roman" w:cs="Times New Roman"/>
          <w:sz w:val="28"/>
          <w:szCs w:val="28"/>
          <w:lang w:val="uk-UA"/>
        </w:rPr>
        <w:t>.</w:t>
      </w:r>
      <w:r w:rsidR="00495E0B">
        <w:rPr>
          <w:rFonts w:ascii="Times New Roman" w:hAnsi="Times New Roman" w:cs="Times New Roman"/>
          <w:sz w:val="28"/>
          <w:szCs w:val="28"/>
          <w:lang w:val="uk-UA"/>
        </w:rPr>
        <w:t xml:space="preserve"> Порівняльна характеристика ступеню запалення згідно індексу </w:t>
      </w:r>
      <w:r w:rsidR="00495E0B">
        <w:rPr>
          <w:rFonts w:ascii="Times New Roman" w:hAnsi="Times New Roman" w:cs="Times New Roman"/>
          <w:sz w:val="28"/>
          <w:szCs w:val="28"/>
        </w:rPr>
        <w:t>SBI</w:t>
      </w:r>
      <w:r w:rsidR="00051229">
        <w:rPr>
          <w:rFonts w:ascii="Times New Roman" w:hAnsi="Times New Roman" w:cs="Times New Roman"/>
          <w:sz w:val="28"/>
          <w:szCs w:val="28"/>
          <w:lang w:val="uk-UA"/>
        </w:rPr>
        <w:t>, яка була проведена перед здійсненням регресійного аналізу,</w:t>
      </w:r>
      <w:r w:rsidR="00495E0B" w:rsidRPr="00495E0B">
        <w:rPr>
          <w:rFonts w:ascii="Times New Roman" w:hAnsi="Times New Roman" w:cs="Times New Roman"/>
          <w:sz w:val="28"/>
          <w:szCs w:val="28"/>
          <w:lang w:val="ru-RU"/>
        </w:rPr>
        <w:t xml:space="preserve"> </w:t>
      </w:r>
      <w:r w:rsidR="00E9728E">
        <w:rPr>
          <w:rFonts w:ascii="Times New Roman" w:hAnsi="Times New Roman" w:cs="Times New Roman"/>
          <w:sz w:val="28"/>
          <w:szCs w:val="28"/>
          <w:lang w:val="uk-UA"/>
        </w:rPr>
        <w:t>наведена у таблиці 8</w:t>
      </w:r>
      <w:r w:rsidR="00607F83">
        <w:rPr>
          <w:rFonts w:ascii="Times New Roman" w:hAnsi="Times New Roman" w:cs="Times New Roman"/>
          <w:sz w:val="28"/>
          <w:szCs w:val="28"/>
          <w:lang w:val="uk-UA"/>
        </w:rPr>
        <w:t>.30</w:t>
      </w:r>
      <w:r w:rsidR="00495E0B">
        <w:rPr>
          <w:rFonts w:ascii="Times New Roman" w:hAnsi="Times New Roman" w:cs="Times New Roman"/>
          <w:sz w:val="28"/>
          <w:szCs w:val="28"/>
          <w:lang w:val="uk-UA"/>
        </w:rPr>
        <w:t>.</w:t>
      </w:r>
    </w:p>
    <w:p w14:paraId="723C2EA7" w14:textId="70E22FD6" w:rsidR="00022B2F" w:rsidRPr="00DC500B" w:rsidRDefault="00022B2F"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Характерною рисою, за якою відрізнялися перша та друга група пацієнтів, була наявність виражених клінічних ознак гінгівіту. Проте, як свідчив аналіз показників у динаміці, рівень запалення тканин пародонту поступово зростав у четвертій групі пацієнтів без застосування патогенетично обгрунтованої корекції імунометаболічного статусу.</w:t>
      </w:r>
    </w:p>
    <w:p w14:paraId="65E7970B" w14:textId="256021F2" w:rsidR="00495E0B" w:rsidRPr="00051229" w:rsidRDefault="00963B98" w:rsidP="00664BE9">
      <w:pPr>
        <w:spacing w:after="0" w:line="360" w:lineRule="auto"/>
        <w:ind w:firstLine="709"/>
        <w:jc w:val="right"/>
        <w:rPr>
          <w:rFonts w:ascii="Times New Roman" w:hAnsi="Times New Roman" w:cs="Times New Roman"/>
          <w:color w:val="222222"/>
          <w:sz w:val="28"/>
          <w:szCs w:val="28"/>
          <w:lang w:val="uk-UA"/>
        </w:rPr>
      </w:pPr>
      <w:r w:rsidRPr="00051229">
        <w:rPr>
          <w:rFonts w:ascii="Times New Roman" w:hAnsi="Times New Roman" w:cs="Times New Roman"/>
          <w:color w:val="222222"/>
          <w:sz w:val="28"/>
          <w:szCs w:val="28"/>
          <w:lang w:val="uk-UA"/>
        </w:rPr>
        <w:t xml:space="preserve">Таблиця </w:t>
      </w:r>
      <w:r w:rsidR="00E9728E">
        <w:rPr>
          <w:rFonts w:ascii="Times New Roman" w:hAnsi="Times New Roman" w:cs="Times New Roman"/>
          <w:color w:val="222222"/>
          <w:sz w:val="28"/>
          <w:szCs w:val="28"/>
          <w:lang w:val="uk-UA"/>
        </w:rPr>
        <w:t>8</w:t>
      </w:r>
      <w:r w:rsidR="00495E0B" w:rsidRPr="00051229">
        <w:rPr>
          <w:rFonts w:ascii="Times New Roman" w:hAnsi="Times New Roman" w:cs="Times New Roman"/>
          <w:color w:val="222222"/>
          <w:sz w:val="28"/>
          <w:szCs w:val="28"/>
          <w:lang w:val="uk-UA"/>
        </w:rPr>
        <w:t>.</w:t>
      </w:r>
      <w:r w:rsidR="00607F83">
        <w:rPr>
          <w:rFonts w:ascii="Times New Roman" w:hAnsi="Times New Roman" w:cs="Times New Roman"/>
          <w:color w:val="222222"/>
          <w:sz w:val="28"/>
          <w:szCs w:val="28"/>
          <w:lang w:val="uk-UA"/>
        </w:rPr>
        <w:t>30</w:t>
      </w:r>
    </w:p>
    <w:p w14:paraId="4B002729" w14:textId="6893A77E" w:rsidR="00963B98" w:rsidRPr="00051229" w:rsidRDefault="00963B98" w:rsidP="00664BE9">
      <w:pPr>
        <w:spacing w:after="0" w:line="360" w:lineRule="auto"/>
        <w:ind w:firstLine="709"/>
        <w:jc w:val="center"/>
        <w:rPr>
          <w:rFonts w:ascii="Times New Roman" w:hAnsi="Times New Roman" w:cs="Times New Roman"/>
          <w:sz w:val="28"/>
          <w:szCs w:val="28"/>
          <w:lang w:val="uk-UA"/>
        </w:rPr>
      </w:pPr>
      <w:r w:rsidRPr="00051229">
        <w:rPr>
          <w:rFonts w:ascii="Times New Roman" w:hAnsi="Times New Roman" w:cs="Times New Roman"/>
          <w:color w:val="222222"/>
          <w:sz w:val="28"/>
          <w:szCs w:val="28"/>
          <w:lang w:val="uk-UA"/>
        </w:rPr>
        <w:t xml:space="preserve">Оцінка та порівняння середніх значень індексу </w:t>
      </w:r>
      <w:r w:rsidRPr="00051229">
        <w:rPr>
          <w:rFonts w:ascii="Times New Roman" w:hAnsi="Times New Roman" w:cs="Times New Roman"/>
          <w:color w:val="222222"/>
          <w:sz w:val="28"/>
          <w:szCs w:val="28"/>
        </w:rPr>
        <w:t>SBI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6408"/>
      </w:tblGrid>
      <w:tr w:rsidR="00963B98" w:rsidRPr="00963B98" w14:paraId="5D7A76DF" w14:textId="77777777" w:rsidTr="00063103">
        <w:tc>
          <w:tcPr>
            <w:tcW w:w="3226" w:type="dxa"/>
            <w:shd w:val="clear" w:color="auto" w:fill="auto"/>
          </w:tcPr>
          <w:p w14:paraId="5FEB3F63" w14:textId="77777777" w:rsidR="00963B98" w:rsidRPr="00963B98"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Групи</w:t>
            </w:r>
          </w:p>
        </w:tc>
        <w:tc>
          <w:tcPr>
            <w:tcW w:w="6408" w:type="dxa"/>
            <w:shd w:val="clear" w:color="auto" w:fill="auto"/>
          </w:tcPr>
          <w:p w14:paraId="1009A7E3" w14:textId="331C9240" w:rsidR="00963B98" w:rsidRPr="00664BE9" w:rsidRDefault="00664BE9" w:rsidP="00664BE9">
            <w:pPr>
              <w:spacing w:after="0" w:line="360" w:lineRule="auto"/>
              <w:ind w:firstLine="709"/>
              <w:jc w:val="both"/>
              <w:rPr>
                <w:rFonts w:ascii="Times New Roman" w:hAnsi="Times New Roman" w:cs="Times New Roman"/>
                <w:sz w:val="28"/>
                <w:szCs w:val="28"/>
                <w:lang w:val="en"/>
              </w:rPr>
            </w:pPr>
            <w:r>
              <w:rPr>
                <w:rFonts w:ascii="Times New Roman" w:hAnsi="Times New Roman" w:cs="Times New Roman"/>
                <w:sz w:val="28"/>
                <w:szCs w:val="28"/>
                <w:lang w:val="en"/>
              </w:rPr>
              <w:t>SBI</w:t>
            </w:r>
            <w:r>
              <w:rPr>
                <w:rFonts w:ascii="Times New Roman" w:hAnsi="Times New Roman" w:cs="Times New Roman"/>
                <w:sz w:val="28"/>
                <w:szCs w:val="28"/>
                <w:lang w:val="uk-UA"/>
              </w:rPr>
              <w:t xml:space="preserve"> </w:t>
            </w:r>
            <w:r w:rsidR="00963B98" w:rsidRPr="00963B98">
              <w:rPr>
                <w:rFonts w:ascii="Times New Roman" w:hAnsi="Times New Roman" w:cs="Times New Roman"/>
                <w:sz w:val="28"/>
                <w:szCs w:val="28"/>
                <w:lang w:val="uk-UA"/>
              </w:rPr>
              <w:t>(бали)</w:t>
            </w:r>
          </w:p>
        </w:tc>
      </w:tr>
      <w:tr w:rsidR="00963B98" w:rsidRPr="00963B98" w14:paraId="0CCBC83F" w14:textId="77777777" w:rsidTr="00063103">
        <w:tc>
          <w:tcPr>
            <w:tcW w:w="3226" w:type="dxa"/>
            <w:shd w:val="clear" w:color="auto" w:fill="auto"/>
          </w:tcPr>
          <w:p w14:paraId="3E2F26D3" w14:textId="0228347B" w:rsidR="00963B98" w:rsidRPr="00963B98" w:rsidRDefault="00051229"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група</w:t>
            </w:r>
          </w:p>
        </w:tc>
        <w:tc>
          <w:tcPr>
            <w:tcW w:w="6408" w:type="dxa"/>
            <w:shd w:val="clear" w:color="auto" w:fill="auto"/>
          </w:tcPr>
          <w:p w14:paraId="31F13004" w14:textId="6BA25659" w:rsidR="00963B98" w:rsidRPr="00051229" w:rsidRDefault="00963B98" w:rsidP="00664BE9">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rPr>
              <w:t>3.42</w:t>
            </w:r>
            <w:r w:rsidR="00495E0B">
              <w:rPr>
                <w:rFonts w:ascii="Times New Roman" w:hAnsi="Times New Roman" w:cs="Times New Roman"/>
                <w:sz w:val="28"/>
                <w:szCs w:val="28"/>
                <w:lang w:val="uk-UA"/>
              </w:rPr>
              <w:t xml:space="preserve"> </w:t>
            </w:r>
            <w:r w:rsidRPr="00963B98">
              <w:rPr>
                <w:rFonts w:ascii="Times New Roman" w:hAnsi="Times New Roman" w:cs="Times New Roman"/>
                <w:sz w:val="28"/>
                <w:szCs w:val="28"/>
              </w:rPr>
              <w:t>±</w:t>
            </w:r>
            <w:r w:rsidR="00495E0B">
              <w:rPr>
                <w:rFonts w:ascii="Times New Roman" w:hAnsi="Times New Roman" w:cs="Times New Roman"/>
                <w:sz w:val="28"/>
                <w:szCs w:val="28"/>
                <w:lang w:val="uk-UA"/>
              </w:rPr>
              <w:t xml:space="preserve"> </w:t>
            </w:r>
            <w:r w:rsidRPr="00963B98">
              <w:rPr>
                <w:rFonts w:ascii="Times New Roman" w:hAnsi="Times New Roman" w:cs="Times New Roman"/>
                <w:sz w:val="28"/>
                <w:szCs w:val="28"/>
              </w:rPr>
              <w:t>0.42</w:t>
            </w:r>
            <w:r w:rsidR="00051229">
              <w:rPr>
                <w:rFonts w:ascii="Times New Roman" w:hAnsi="Times New Roman" w:cs="Times New Roman"/>
                <w:sz w:val="28"/>
                <w:szCs w:val="28"/>
                <w:lang w:val="uk-UA"/>
              </w:rPr>
              <w:t>*</w:t>
            </w:r>
          </w:p>
        </w:tc>
      </w:tr>
      <w:tr w:rsidR="00963B98" w:rsidRPr="00495E0B" w14:paraId="13EF2ADF" w14:textId="77777777" w:rsidTr="00063103">
        <w:tc>
          <w:tcPr>
            <w:tcW w:w="3226" w:type="dxa"/>
            <w:shd w:val="clear" w:color="auto" w:fill="auto"/>
          </w:tcPr>
          <w:p w14:paraId="00CDD49C" w14:textId="3DAE63BD" w:rsidR="00963B98" w:rsidRPr="00963B98" w:rsidRDefault="00051229" w:rsidP="00664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група</w:t>
            </w:r>
          </w:p>
        </w:tc>
        <w:tc>
          <w:tcPr>
            <w:tcW w:w="6408" w:type="dxa"/>
            <w:shd w:val="clear" w:color="auto" w:fill="auto"/>
          </w:tcPr>
          <w:p w14:paraId="73620F3A" w14:textId="1572D3C5" w:rsidR="00963B98" w:rsidRPr="00495E0B" w:rsidRDefault="00495E0B" w:rsidP="00664BE9">
            <w:pPr>
              <w:spacing w:after="0" w:line="360" w:lineRule="auto"/>
              <w:ind w:firstLine="709"/>
              <w:jc w:val="both"/>
              <w:rPr>
                <w:rFonts w:ascii="Times New Roman" w:hAnsi="Times New Roman" w:cs="Times New Roman"/>
                <w:sz w:val="28"/>
                <w:szCs w:val="28"/>
                <w:lang w:val="ru-RU"/>
              </w:rPr>
            </w:pPr>
            <w:r w:rsidRPr="00495E0B">
              <w:rPr>
                <w:rFonts w:ascii="Times New Roman" w:hAnsi="Times New Roman" w:cs="Times New Roman"/>
                <w:sz w:val="28"/>
                <w:szCs w:val="28"/>
                <w:lang w:val="ru-RU"/>
              </w:rPr>
              <w:t>0.</w:t>
            </w:r>
            <w:r>
              <w:rPr>
                <w:rFonts w:ascii="Times New Roman" w:hAnsi="Times New Roman" w:cs="Times New Roman"/>
                <w:sz w:val="28"/>
                <w:szCs w:val="28"/>
                <w:lang w:val="ru-RU"/>
              </w:rPr>
              <w:t xml:space="preserve">49 </w:t>
            </w:r>
            <w:r w:rsidR="00963B98" w:rsidRPr="00495E0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963B98" w:rsidRPr="00495E0B">
              <w:rPr>
                <w:rFonts w:ascii="Times New Roman" w:hAnsi="Times New Roman" w:cs="Times New Roman"/>
                <w:sz w:val="28"/>
                <w:szCs w:val="28"/>
                <w:lang w:val="ru-RU"/>
              </w:rPr>
              <w:t>0.52</w:t>
            </w:r>
          </w:p>
        </w:tc>
      </w:tr>
      <w:tr w:rsidR="00963B98" w:rsidRPr="00495E0B" w14:paraId="22BF4FDE" w14:textId="77777777" w:rsidTr="00063103">
        <w:tc>
          <w:tcPr>
            <w:tcW w:w="3226" w:type="dxa"/>
            <w:shd w:val="clear" w:color="auto" w:fill="auto"/>
          </w:tcPr>
          <w:p w14:paraId="594C6355" w14:textId="1C9D59D5" w:rsidR="00963B98" w:rsidRPr="00495E0B" w:rsidRDefault="00051229" w:rsidP="00664B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Група контролю</w:t>
            </w:r>
          </w:p>
        </w:tc>
        <w:tc>
          <w:tcPr>
            <w:tcW w:w="6408" w:type="dxa"/>
            <w:shd w:val="clear" w:color="auto" w:fill="auto"/>
          </w:tcPr>
          <w:p w14:paraId="628BA82A" w14:textId="1A7C7B30" w:rsidR="00963B98" w:rsidRPr="00495E0B" w:rsidRDefault="00495E0B" w:rsidP="00664BE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0.48 </w:t>
            </w:r>
            <w:r w:rsidR="00963B98" w:rsidRPr="00495E0B">
              <w:rPr>
                <w:rFonts w:ascii="Times New Roman" w:hAnsi="Times New Roman" w:cs="Times New Roman"/>
                <w:sz w:val="28"/>
                <w:szCs w:val="28"/>
                <w:lang w:val="ru-RU"/>
              </w:rPr>
              <w:t>±</w:t>
            </w:r>
            <w:r>
              <w:rPr>
                <w:rFonts w:ascii="Times New Roman" w:hAnsi="Times New Roman" w:cs="Times New Roman"/>
                <w:sz w:val="28"/>
                <w:szCs w:val="28"/>
                <w:lang w:val="ru-RU"/>
              </w:rPr>
              <w:t xml:space="preserve"> 0.21</w:t>
            </w:r>
          </w:p>
        </w:tc>
      </w:tr>
    </w:tbl>
    <w:p w14:paraId="2067ADC0" w14:textId="5C48F3D7" w:rsidR="00963B98" w:rsidRPr="00963B98" w:rsidRDefault="00051229" w:rsidP="00D32A04">
      <w:pPr>
        <w:spacing w:after="0" w:line="360" w:lineRule="auto"/>
        <w:jc w:val="both"/>
        <w:rPr>
          <w:rFonts w:ascii="Times New Roman" w:hAnsi="Times New Roman" w:cs="Times New Roman"/>
          <w:sz w:val="28"/>
          <w:szCs w:val="28"/>
          <w:lang w:val="uk-UA"/>
        </w:rPr>
      </w:pPr>
      <w:r w:rsidRPr="00495E0B">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495E0B">
        <w:rPr>
          <w:rFonts w:ascii="Times New Roman" w:hAnsi="Times New Roman" w:cs="Times New Roman"/>
          <w:sz w:val="28"/>
          <w:szCs w:val="28"/>
          <w:lang w:val="uk-UA"/>
        </w:rPr>
        <w:t>P &lt; 0.05, різниця статистично значима у порівнянні з групою контролю</w:t>
      </w:r>
      <w:r>
        <w:rPr>
          <w:rFonts w:ascii="Times New Roman" w:hAnsi="Times New Roman" w:cs="Times New Roman"/>
          <w:sz w:val="28"/>
          <w:szCs w:val="28"/>
          <w:lang w:val="uk-UA"/>
        </w:rPr>
        <w:t xml:space="preserve"> та другою групою</w:t>
      </w:r>
      <w:r w:rsidR="00664BE9">
        <w:rPr>
          <w:rFonts w:ascii="Times New Roman" w:hAnsi="Times New Roman" w:cs="Times New Roman"/>
          <w:sz w:val="28"/>
          <w:szCs w:val="28"/>
          <w:lang w:val="uk-UA"/>
        </w:rPr>
        <w:t xml:space="preserve"> пацієнтів</w:t>
      </w:r>
    </w:p>
    <w:p w14:paraId="448157C5" w14:textId="0A5F911C" w:rsidR="00963B98" w:rsidRPr="00F7440D" w:rsidRDefault="00963B98" w:rsidP="00D32A04">
      <w:pPr>
        <w:spacing w:after="0" w:line="360" w:lineRule="auto"/>
        <w:ind w:firstLine="709"/>
        <w:jc w:val="both"/>
        <w:rPr>
          <w:rFonts w:ascii="Times New Roman" w:hAnsi="Times New Roman" w:cs="Times New Roman"/>
          <w:sz w:val="28"/>
          <w:szCs w:val="28"/>
          <w:lang w:val="uk-UA"/>
        </w:rPr>
      </w:pPr>
      <w:r w:rsidRPr="00963B98">
        <w:rPr>
          <w:rFonts w:ascii="Times New Roman" w:hAnsi="Times New Roman" w:cs="Times New Roman"/>
          <w:sz w:val="28"/>
          <w:szCs w:val="28"/>
          <w:lang w:val="uk-UA"/>
        </w:rPr>
        <w:t xml:space="preserve">Порівняння середніх значень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свідчить про значно </w:t>
      </w:r>
      <w:r w:rsidR="00051229">
        <w:rPr>
          <w:rFonts w:ascii="Times New Roman" w:hAnsi="Times New Roman" w:cs="Times New Roman"/>
          <w:sz w:val="28"/>
          <w:szCs w:val="28"/>
          <w:lang w:val="uk-UA"/>
        </w:rPr>
        <w:t xml:space="preserve">достовірно </w:t>
      </w:r>
      <w:r w:rsidRPr="00963B98">
        <w:rPr>
          <w:rFonts w:ascii="Times New Roman" w:hAnsi="Times New Roman" w:cs="Times New Roman"/>
          <w:sz w:val="28"/>
          <w:szCs w:val="28"/>
          <w:lang w:val="uk-UA"/>
        </w:rPr>
        <w:t xml:space="preserve">більш високий рівень запалення в тканинах пародонта в групі пацієнтів </w:t>
      </w:r>
      <w:r w:rsidR="00051229">
        <w:rPr>
          <w:rFonts w:ascii="Times New Roman" w:hAnsi="Times New Roman" w:cs="Times New Roman"/>
          <w:sz w:val="28"/>
          <w:szCs w:val="28"/>
          <w:lang w:val="uk-UA"/>
        </w:rPr>
        <w:t xml:space="preserve">з хронічним гінгівітом на тлі атопічних захворювань, </w:t>
      </w:r>
      <w:r w:rsidRPr="00963B98">
        <w:rPr>
          <w:rFonts w:ascii="Times New Roman" w:hAnsi="Times New Roman" w:cs="Times New Roman"/>
          <w:sz w:val="28"/>
          <w:szCs w:val="28"/>
          <w:lang w:val="uk-UA"/>
        </w:rPr>
        <w:t xml:space="preserve">у порівнянні з </w:t>
      </w:r>
      <w:r w:rsidR="00051229">
        <w:rPr>
          <w:rFonts w:ascii="Times New Roman" w:hAnsi="Times New Roman" w:cs="Times New Roman"/>
          <w:sz w:val="28"/>
          <w:szCs w:val="28"/>
          <w:lang w:val="uk-UA"/>
        </w:rPr>
        <w:t xml:space="preserve">пацієнтами другої групи </w:t>
      </w:r>
      <w:r w:rsidR="00051229" w:rsidRPr="00F7440D">
        <w:rPr>
          <w:rFonts w:ascii="Times New Roman" w:hAnsi="Times New Roman" w:cs="Times New Roman"/>
          <w:sz w:val="28"/>
          <w:szCs w:val="28"/>
          <w:lang w:val="uk-UA"/>
        </w:rPr>
        <w:t>та групи контролю, що повністю співпадає з даними клінічного обстеження</w:t>
      </w:r>
      <w:r w:rsidRPr="00F7440D">
        <w:rPr>
          <w:rFonts w:ascii="Times New Roman" w:hAnsi="Times New Roman" w:cs="Times New Roman"/>
          <w:sz w:val="28"/>
          <w:szCs w:val="28"/>
          <w:lang w:val="uk-UA"/>
        </w:rPr>
        <w:t>.</w:t>
      </w:r>
    </w:p>
    <w:p w14:paraId="5E01381D" w14:textId="3D4DB922" w:rsidR="000728CB" w:rsidRPr="00F7440D" w:rsidRDefault="00963B98" w:rsidP="00D32A04">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Для оцінки </w:t>
      </w:r>
      <w:r w:rsidR="00051229" w:rsidRPr="00F7440D">
        <w:rPr>
          <w:rFonts w:ascii="Times New Roman" w:hAnsi="Times New Roman" w:cs="Times New Roman"/>
          <w:sz w:val="28"/>
          <w:szCs w:val="28"/>
          <w:lang w:val="uk-UA"/>
        </w:rPr>
        <w:t>залежності</w:t>
      </w:r>
      <w:r w:rsidRPr="00F7440D">
        <w:rPr>
          <w:rFonts w:ascii="Times New Roman" w:hAnsi="Times New Roman" w:cs="Times New Roman"/>
          <w:sz w:val="28"/>
          <w:szCs w:val="28"/>
          <w:lang w:val="uk-UA"/>
        </w:rPr>
        <w:t xml:space="preserve"> між індексом SBI та рівнем МДА у </w:t>
      </w:r>
      <w:r w:rsidR="00051229" w:rsidRPr="00F7440D">
        <w:rPr>
          <w:rFonts w:ascii="Times New Roman" w:hAnsi="Times New Roman" w:cs="Times New Roman"/>
          <w:sz w:val="28"/>
          <w:szCs w:val="28"/>
          <w:lang w:val="uk-UA"/>
        </w:rPr>
        <w:t xml:space="preserve">першій </w:t>
      </w:r>
      <w:r w:rsidRPr="00F7440D">
        <w:rPr>
          <w:rFonts w:ascii="Times New Roman" w:hAnsi="Times New Roman" w:cs="Times New Roman"/>
          <w:sz w:val="28"/>
          <w:szCs w:val="28"/>
          <w:lang w:val="uk-UA"/>
        </w:rPr>
        <w:t xml:space="preserve">групі </w:t>
      </w:r>
      <w:r w:rsidR="00051229" w:rsidRPr="00F7440D">
        <w:rPr>
          <w:rFonts w:ascii="Times New Roman" w:hAnsi="Times New Roman" w:cs="Times New Roman"/>
          <w:sz w:val="28"/>
          <w:szCs w:val="28"/>
          <w:lang w:val="uk-UA"/>
        </w:rPr>
        <w:t xml:space="preserve">пацієнтів </w:t>
      </w:r>
      <w:r w:rsidRPr="00F7440D">
        <w:rPr>
          <w:rFonts w:ascii="Times New Roman" w:hAnsi="Times New Roman" w:cs="Times New Roman"/>
          <w:sz w:val="28"/>
          <w:szCs w:val="28"/>
          <w:lang w:val="uk-UA"/>
        </w:rPr>
        <w:t>було прове</w:t>
      </w:r>
      <w:r w:rsidR="00051229" w:rsidRPr="00F7440D">
        <w:rPr>
          <w:rFonts w:ascii="Times New Roman" w:hAnsi="Times New Roman" w:cs="Times New Roman"/>
          <w:sz w:val="28"/>
          <w:szCs w:val="28"/>
          <w:lang w:val="uk-UA"/>
        </w:rPr>
        <w:t xml:space="preserve">дено </w:t>
      </w:r>
      <w:r w:rsidR="00607F83">
        <w:rPr>
          <w:rFonts w:ascii="Times New Roman" w:hAnsi="Times New Roman" w:cs="Times New Roman"/>
          <w:sz w:val="28"/>
          <w:szCs w:val="28"/>
          <w:lang w:val="uk-UA"/>
        </w:rPr>
        <w:t>регресійний аналіз (таблиця 8.31, 8.32</w:t>
      </w:r>
      <w:r w:rsidR="00E9728E" w:rsidRPr="00F7440D">
        <w:rPr>
          <w:rFonts w:ascii="Times New Roman" w:hAnsi="Times New Roman" w:cs="Times New Roman"/>
          <w:sz w:val="28"/>
          <w:szCs w:val="28"/>
          <w:lang w:val="uk-UA"/>
        </w:rPr>
        <w:t>, 8</w:t>
      </w:r>
      <w:r w:rsidR="00607F83">
        <w:rPr>
          <w:rFonts w:ascii="Times New Roman" w:hAnsi="Times New Roman" w:cs="Times New Roman"/>
          <w:sz w:val="28"/>
          <w:szCs w:val="28"/>
          <w:lang w:val="uk-UA"/>
        </w:rPr>
        <w:t>.33</w:t>
      </w:r>
      <w:r w:rsidRPr="00F7440D">
        <w:rPr>
          <w:rFonts w:ascii="Times New Roman" w:hAnsi="Times New Roman" w:cs="Times New Roman"/>
          <w:sz w:val="28"/>
          <w:szCs w:val="28"/>
          <w:lang w:val="uk-UA"/>
        </w:rPr>
        <w:t>). Оскільки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0,432358, існує слабка кореляці</w:t>
      </w:r>
      <w:r w:rsidR="00307C1B" w:rsidRPr="00F7440D">
        <w:rPr>
          <w:rFonts w:ascii="Times New Roman" w:hAnsi="Times New Roman" w:cs="Times New Roman"/>
          <w:sz w:val="28"/>
          <w:szCs w:val="28"/>
          <w:lang w:val="uk-UA"/>
        </w:rPr>
        <w:t>я між рівнем рівня малонового ди</w:t>
      </w:r>
      <w:r w:rsidRPr="00F7440D">
        <w:rPr>
          <w:rFonts w:ascii="Times New Roman" w:hAnsi="Times New Roman" w:cs="Times New Roman"/>
          <w:sz w:val="28"/>
          <w:szCs w:val="28"/>
          <w:lang w:val="uk-UA"/>
        </w:rPr>
        <w:t>альдегіду та проблемами пародонту.</w:t>
      </w:r>
    </w:p>
    <w:p w14:paraId="408D8E56" w14:textId="3074D15B" w:rsidR="00051229" w:rsidRPr="00F7440D" w:rsidRDefault="00E9728E" w:rsidP="00D32A04">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sidR="00963B98" w:rsidRPr="00F7440D">
        <w:rPr>
          <w:rFonts w:ascii="Times New Roman" w:hAnsi="Times New Roman" w:cs="Times New Roman"/>
          <w:sz w:val="28"/>
          <w:szCs w:val="28"/>
          <w:lang w:val="uk-UA"/>
        </w:rPr>
        <w:t>.</w:t>
      </w:r>
      <w:r w:rsidR="00607F83">
        <w:rPr>
          <w:rFonts w:ascii="Times New Roman" w:hAnsi="Times New Roman" w:cs="Times New Roman"/>
          <w:sz w:val="28"/>
          <w:szCs w:val="28"/>
          <w:lang w:val="uk-UA"/>
        </w:rPr>
        <w:t>31</w:t>
      </w:r>
    </w:p>
    <w:p w14:paraId="74B38A52" w14:textId="4AEF6F73" w:rsidR="00963B98" w:rsidRPr="00F7440D" w:rsidRDefault="00963B98" w:rsidP="00D32A04">
      <w:pPr>
        <w:spacing w:after="0" w:line="360" w:lineRule="auto"/>
        <w:ind w:firstLine="709"/>
        <w:jc w:val="center"/>
        <w:rPr>
          <w:rFonts w:ascii="Times New Roman" w:hAnsi="Times New Roman" w:cs="Times New Roman"/>
          <w:b/>
          <w:sz w:val="28"/>
          <w:szCs w:val="28"/>
          <w:lang w:val="uk-UA"/>
        </w:rPr>
      </w:pPr>
      <w:r w:rsidRPr="00F7440D">
        <w:rPr>
          <w:rFonts w:ascii="Times New Roman" w:hAnsi="Times New Roman" w:cs="Times New Roman"/>
          <w:sz w:val="28"/>
          <w:szCs w:val="28"/>
          <w:lang w:val="uk-UA"/>
        </w:rPr>
        <w:t xml:space="preserve">Регресійний аналіз співвідношення SBI та МДА у </w:t>
      </w:r>
      <w:r w:rsidR="00012C5F">
        <w:rPr>
          <w:rFonts w:ascii="Times New Roman" w:hAnsi="Times New Roman" w:cs="Times New Roman"/>
          <w:sz w:val="28"/>
          <w:szCs w:val="28"/>
          <w:lang w:val="uk-UA"/>
        </w:rPr>
        <w:t>першій групі</w:t>
      </w:r>
      <w:r w:rsidR="00051229" w:rsidRPr="00F7440D">
        <w:rPr>
          <w:rFonts w:ascii="Times New Roman" w:hAnsi="Times New Roman" w:cs="Times New Roman"/>
          <w:sz w:val="28"/>
          <w:szCs w:val="28"/>
          <w:lang w:val="uk-UA"/>
        </w:rPr>
        <w:t xml:space="preserve"> пацієнтів</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2"/>
        <w:gridCol w:w="4761"/>
      </w:tblGrid>
      <w:tr w:rsidR="00963B98" w:rsidRPr="00F7440D" w14:paraId="54BC0781" w14:textId="77777777" w:rsidTr="00063103">
        <w:trPr>
          <w:trHeight w:val="217"/>
        </w:trPr>
        <w:tc>
          <w:tcPr>
            <w:tcW w:w="9493" w:type="dxa"/>
            <w:gridSpan w:val="2"/>
            <w:shd w:val="clear" w:color="auto" w:fill="auto"/>
            <w:noWrap/>
            <w:hideMark/>
          </w:tcPr>
          <w:p w14:paraId="26CE55BD" w14:textId="77777777" w:rsidR="00963B98" w:rsidRPr="00F7440D" w:rsidRDefault="00963B98" w:rsidP="00D32A04">
            <w:pPr>
              <w:spacing w:after="0" w:line="360" w:lineRule="auto"/>
              <w:ind w:firstLine="709"/>
              <w:jc w:val="both"/>
              <w:rPr>
                <w:rFonts w:ascii="Times New Roman" w:hAnsi="Times New Roman" w:cs="Times New Roman"/>
                <w:i/>
                <w:iCs/>
                <w:sz w:val="28"/>
                <w:szCs w:val="28"/>
                <w:lang w:val="uk-UA"/>
              </w:rPr>
            </w:pPr>
            <w:r w:rsidRPr="00F7440D">
              <w:rPr>
                <w:rFonts w:ascii="Times New Roman" w:hAnsi="Times New Roman" w:cs="Times New Roman"/>
                <w:i/>
                <w:iCs/>
                <w:sz w:val="28"/>
                <w:szCs w:val="28"/>
                <w:lang w:val="uk-UA"/>
              </w:rPr>
              <w:t>Регресійна статистика</w:t>
            </w:r>
          </w:p>
        </w:tc>
      </w:tr>
      <w:tr w:rsidR="00012C5F" w:rsidRPr="00F7440D" w14:paraId="60467B1C" w14:textId="77777777" w:rsidTr="00063103">
        <w:trPr>
          <w:trHeight w:val="217"/>
        </w:trPr>
        <w:tc>
          <w:tcPr>
            <w:tcW w:w="4732" w:type="dxa"/>
            <w:shd w:val="clear" w:color="auto" w:fill="auto"/>
            <w:noWrap/>
            <w:hideMark/>
          </w:tcPr>
          <w:p w14:paraId="76698BFD"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4761" w:type="dxa"/>
            <w:shd w:val="clear" w:color="auto" w:fill="auto"/>
            <w:noWrap/>
            <w:hideMark/>
          </w:tcPr>
          <w:p w14:paraId="4A2C58DA" w14:textId="11B071FA"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0.657539</w:t>
            </w:r>
          </w:p>
        </w:tc>
      </w:tr>
      <w:tr w:rsidR="00012C5F" w:rsidRPr="00F7440D" w14:paraId="73D7805F" w14:textId="77777777" w:rsidTr="00063103">
        <w:trPr>
          <w:trHeight w:val="217"/>
        </w:trPr>
        <w:tc>
          <w:tcPr>
            <w:tcW w:w="4732" w:type="dxa"/>
            <w:shd w:val="clear" w:color="auto" w:fill="auto"/>
            <w:noWrap/>
            <w:hideMark/>
          </w:tcPr>
          <w:p w14:paraId="0AEDC8F3"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4761" w:type="dxa"/>
            <w:shd w:val="clear" w:color="auto" w:fill="auto"/>
            <w:noWrap/>
            <w:hideMark/>
          </w:tcPr>
          <w:p w14:paraId="5F42DBB5" w14:textId="3911466F"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0.432358</w:t>
            </w:r>
          </w:p>
        </w:tc>
      </w:tr>
      <w:tr w:rsidR="00012C5F" w:rsidRPr="00F7440D" w14:paraId="10507F3E" w14:textId="77777777" w:rsidTr="00063103">
        <w:trPr>
          <w:trHeight w:val="217"/>
        </w:trPr>
        <w:tc>
          <w:tcPr>
            <w:tcW w:w="4732" w:type="dxa"/>
            <w:shd w:val="clear" w:color="auto" w:fill="auto"/>
            <w:noWrap/>
            <w:hideMark/>
          </w:tcPr>
          <w:p w14:paraId="2D64ABC8" w14:textId="77777777" w:rsidR="00012C5F" w:rsidRPr="00F7440D" w:rsidRDefault="00012C5F" w:rsidP="00D32A04">
            <w:pPr>
              <w:spacing w:after="0" w:line="360"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4761" w:type="dxa"/>
            <w:shd w:val="clear" w:color="auto" w:fill="auto"/>
            <w:noWrap/>
            <w:hideMark/>
          </w:tcPr>
          <w:p w14:paraId="0A1EE775" w14:textId="66C7D628"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0.424687</w:t>
            </w:r>
          </w:p>
        </w:tc>
      </w:tr>
      <w:tr w:rsidR="00012C5F" w:rsidRPr="00F7440D" w14:paraId="0B3118D3" w14:textId="77777777" w:rsidTr="00063103">
        <w:trPr>
          <w:trHeight w:val="217"/>
        </w:trPr>
        <w:tc>
          <w:tcPr>
            <w:tcW w:w="4732" w:type="dxa"/>
            <w:shd w:val="clear" w:color="auto" w:fill="auto"/>
            <w:noWrap/>
            <w:hideMark/>
          </w:tcPr>
          <w:p w14:paraId="7B2E2FE8" w14:textId="77777777" w:rsidR="00012C5F" w:rsidRPr="00F7440D" w:rsidRDefault="00012C5F" w:rsidP="00D32A04">
            <w:pPr>
              <w:spacing w:after="0" w:line="360"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4761" w:type="dxa"/>
            <w:shd w:val="clear" w:color="auto" w:fill="auto"/>
            <w:noWrap/>
            <w:hideMark/>
          </w:tcPr>
          <w:p w14:paraId="35F0D4F0" w14:textId="1B6FA176" w:rsidR="00012C5F" w:rsidRPr="00F7440D" w:rsidRDefault="00012C5F" w:rsidP="00D32A04">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0.317763</w:t>
            </w:r>
          </w:p>
        </w:tc>
      </w:tr>
      <w:tr w:rsidR="00012C5F" w:rsidRPr="00F7440D" w14:paraId="528350C0" w14:textId="77777777" w:rsidTr="00063103">
        <w:trPr>
          <w:trHeight w:val="230"/>
        </w:trPr>
        <w:tc>
          <w:tcPr>
            <w:tcW w:w="4732" w:type="dxa"/>
            <w:shd w:val="clear" w:color="auto" w:fill="auto"/>
            <w:noWrap/>
            <w:hideMark/>
          </w:tcPr>
          <w:p w14:paraId="75921404" w14:textId="77777777" w:rsidR="00012C5F" w:rsidRPr="00F7440D" w:rsidRDefault="00012C5F" w:rsidP="00F7440D">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4761" w:type="dxa"/>
            <w:shd w:val="clear" w:color="auto" w:fill="auto"/>
            <w:noWrap/>
            <w:hideMark/>
          </w:tcPr>
          <w:p w14:paraId="0016D498" w14:textId="2491F90C" w:rsidR="00012C5F" w:rsidRPr="00F7440D" w:rsidRDefault="00012C5F" w:rsidP="00F7440D">
            <w:pPr>
              <w:spacing w:after="0" w:line="360" w:lineRule="auto"/>
              <w:jc w:val="both"/>
              <w:rPr>
                <w:rFonts w:ascii="Times New Roman" w:hAnsi="Times New Roman" w:cs="Times New Roman"/>
                <w:sz w:val="28"/>
                <w:szCs w:val="28"/>
              </w:rPr>
            </w:pPr>
            <w:r w:rsidRPr="00F7440D">
              <w:rPr>
                <w:rFonts w:ascii="Times New Roman" w:hAnsi="Times New Roman" w:cs="Times New Roman"/>
                <w:sz w:val="28"/>
                <w:szCs w:val="28"/>
              </w:rPr>
              <w:t>76</w:t>
            </w:r>
          </w:p>
        </w:tc>
      </w:tr>
    </w:tbl>
    <w:p w14:paraId="12BDC8C9" w14:textId="171A2D65" w:rsidR="00963B98" w:rsidRPr="00F7440D" w:rsidRDefault="00051229" w:rsidP="00664BE9">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У другій групі пацієнтів </w:t>
      </w:r>
      <w:r w:rsidR="00375C1C" w:rsidRPr="00F7440D">
        <w:rPr>
          <w:rFonts w:ascii="Times New Roman" w:hAnsi="Times New Roman" w:cs="Times New Roman"/>
          <w:sz w:val="28"/>
          <w:szCs w:val="28"/>
          <w:lang w:val="uk-UA"/>
        </w:rPr>
        <w:t xml:space="preserve">значення коефіцієнту детермінації </w:t>
      </w:r>
      <w:r w:rsidR="00375C1C" w:rsidRPr="00F7440D">
        <w:rPr>
          <w:rFonts w:ascii="Times New Roman" w:hAnsi="Times New Roman" w:cs="Times New Roman"/>
          <w:iCs/>
          <w:sz w:val="28"/>
          <w:szCs w:val="28"/>
          <w:lang w:val="en"/>
        </w:rPr>
        <w:t>R</w:t>
      </w:r>
      <w:r w:rsidR="00375C1C" w:rsidRPr="00F7440D">
        <w:rPr>
          <w:rFonts w:ascii="Times New Roman" w:hAnsi="Times New Roman" w:cs="Times New Roman"/>
          <w:sz w:val="28"/>
          <w:szCs w:val="28"/>
          <w:vertAlign w:val="superscript"/>
          <w:lang w:val="uk-UA"/>
        </w:rPr>
        <w:t xml:space="preserve">2 </w:t>
      </w:r>
      <w:r w:rsidR="00375C1C" w:rsidRPr="00F7440D">
        <w:rPr>
          <w:rFonts w:ascii="Times New Roman" w:hAnsi="Times New Roman" w:cs="Times New Roman"/>
          <w:sz w:val="28"/>
          <w:szCs w:val="28"/>
          <w:lang w:val="uk-UA"/>
        </w:rPr>
        <w:t>, який дорівнює 0.000157</w:t>
      </w:r>
      <w:r w:rsidR="00307C1B" w:rsidRPr="00F7440D">
        <w:rPr>
          <w:rFonts w:ascii="Times New Roman" w:hAnsi="Times New Roman" w:cs="Times New Roman"/>
          <w:sz w:val="28"/>
          <w:szCs w:val="28"/>
          <w:lang w:val="uk-UA"/>
        </w:rPr>
        <w:t>, свідчи</w:t>
      </w:r>
      <w:r w:rsidR="00375C1C" w:rsidRPr="00F7440D">
        <w:rPr>
          <w:rFonts w:ascii="Times New Roman" w:hAnsi="Times New Roman" w:cs="Times New Roman"/>
          <w:sz w:val="28"/>
          <w:szCs w:val="28"/>
          <w:lang w:val="uk-UA"/>
        </w:rPr>
        <w:t>ть про неможливість використання даних регресійного аналізу для побудови прогностичної моделі запалення тканин пародонту на основі рівня малонового диальдегіду.</w:t>
      </w:r>
    </w:p>
    <w:p w14:paraId="2C8DF7F7" w14:textId="2257748C" w:rsidR="00F4461B" w:rsidRPr="00F7440D" w:rsidRDefault="00E9728E" w:rsidP="00F7440D">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lang w:val="uk-UA"/>
        </w:rPr>
        <w:t>32</w:t>
      </w:r>
      <w:r w:rsidR="00F4461B" w:rsidRPr="00F7440D">
        <w:rPr>
          <w:rFonts w:ascii="Times New Roman" w:hAnsi="Times New Roman"/>
          <w:sz w:val="28"/>
          <w:szCs w:val="28"/>
          <w:lang w:val="uk-UA"/>
        </w:rPr>
        <w:t xml:space="preserve"> </w:t>
      </w:r>
    </w:p>
    <w:p w14:paraId="5D6E7DE5" w14:textId="6081C348" w:rsidR="00F4461B" w:rsidRPr="00F7440D" w:rsidRDefault="00F4461B" w:rsidP="00664BE9">
      <w:pPr>
        <w:spacing w:after="0" w:line="360" w:lineRule="auto"/>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рівню </w:t>
      </w:r>
      <w:r w:rsidRPr="00F7440D">
        <w:rPr>
          <w:rFonts w:ascii="Times New Roman" w:hAnsi="Times New Roman"/>
          <w:sz w:val="28"/>
          <w:szCs w:val="28"/>
        </w:rPr>
        <w:t>SBI</w:t>
      </w:r>
      <w:r w:rsidRPr="00F7440D">
        <w:rPr>
          <w:rFonts w:ascii="Times New Roman" w:hAnsi="Times New Roman"/>
          <w:sz w:val="28"/>
          <w:szCs w:val="28"/>
          <w:lang w:val="uk-UA"/>
        </w:rPr>
        <w:t xml:space="preserve"> та МДА у першій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F4461B" w:rsidRPr="00F7440D" w14:paraId="74EC1E20" w14:textId="77777777" w:rsidTr="00585003">
        <w:trPr>
          <w:trHeight w:val="269"/>
        </w:trPr>
        <w:tc>
          <w:tcPr>
            <w:tcW w:w="1668" w:type="dxa"/>
            <w:noWrap/>
            <w:hideMark/>
          </w:tcPr>
          <w:p w14:paraId="72E098C0"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 </w:t>
            </w:r>
          </w:p>
        </w:tc>
        <w:tc>
          <w:tcPr>
            <w:tcW w:w="1141" w:type="dxa"/>
            <w:noWrap/>
            <w:hideMark/>
          </w:tcPr>
          <w:p w14:paraId="2D50E06F"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df</w:t>
            </w:r>
          </w:p>
        </w:tc>
        <w:tc>
          <w:tcPr>
            <w:tcW w:w="1505" w:type="dxa"/>
            <w:noWrap/>
            <w:hideMark/>
          </w:tcPr>
          <w:p w14:paraId="12BEBE58"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SS</w:t>
            </w:r>
          </w:p>
        </w:tc>
        <w:tc>
          <w:tcPr>
            <w:tcW w:w="1505" w:type="dxa"/>
            <w:noWrap/>
            <w:hideMark/>
          </w:tcPr>
          <w:p w14:paraId="3A98FC67"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MS</w:t>
            </w:r>
          </w:p>
        </w:tc>
        <w:tc>
          <w:tcPr>
            <w:tcW w:w="1505" w:type="dxa"/>
            <w:noWrap/>
            <w:hideMark/>
          </w:tcPr>
          <w:p w14:paraId="1A17CB5E" w14:textId="77777777" w:rsidR="00F4461B" w:rsidRPr="00F7440D" w:rsidRDefault="00F4461B" w:rsidP="00F7440D">
            <w:pPr>
              <w:spacing w:line="360" w:lineRule="auto"/>
              <w:jc w:val="center"/>
              <w:rPr>
                <w:rFonts w:eastAsia="Times New Roman"/>
                <w:i/>
                <w:iCs/>
                <w:sz w:val="28"/>
                <w:szCs w:val="28"/>
                <w:lang w:val="uk-UA"/>
              </w:rPr>
            </w:pPr>
            <w:r w:rsidRPr="00F7440D">
              <w:rPr>
                <w:rFonts w:eastAsia="Times New Roman"/>
                <w:i/>
                <w:iCs/>
                <w:sz w:val="28"/>
                <w:szCs w:val="28"/>
              </w:rPr>
              <w:t>F</w:t>
            </w:r>
          </w:p>
        </w:tc>
        <w:tc>
          <w:tcPr>
            <w:tcW w:w="1997" w:type="dxa"/>
            <w:noWrap/>
            <w:hideMark/>
          </w:tcPr>
          <w:p w14:paraId="1DE1A7B9" w14:textId="77777777" w:rsidR="00F4461B" w:rsidRPr="00F7440D" w:rsidRDefault="00F4461B" w:rsidP="00F7440D">
            <w:pPr>
              <w:spacing w:line="360" w:lineRule="auto"/>
              <w:jc w:val="center"/>
              <w:rPr>
                <w:rFonts w:eastAsia="Times New Roman"/>
                <w:i/>
                <w:iCs/>
                <w:sz w:val="28"/>
                <w:szCs w:val="28"/>
              </w:rPr>
            </w:pPr>
            <w:r w:rsidRPr="00F7440D">
              <w:rPr>
                <w:rFonts w:eastAsia="Times New Roman"/>
                <w:i/>
                <w:iCs/>
                <w:sz w:val="28"/>
                <w:szCs w:val="28"/>
                <w:lang w:val="uk-UA"/>
              </w:rPr>
              <w:t>Значиміс</w:t>
            </w:r>
            <w:r w:rsidRPr="00F7440D">
              <w:rPr>
                <w:rFonts w:eastAsia="Times New Roman"/>
                <w:i/>
                <w:iCs/>
                <w:sz w:val="28"/>
                <w:szCs w:val="28"/>
              </w:rPr>
              <w:t>ть F</w:t>
            </w:r>
          </w:p>
        </w:tc>
      </w:tr>
      <w:tr w:rsidR="00F4461B" w:rsidRPr="00F7440D" w14:paraId="62614E26" w14:textId="77777777" w:rsidTr="00585003">
        <w:trPr>
          <w:trHeight w:val="269"/>
        </w:trPr>
        <w:tc>
          <w:tcPr>
            <w:tcW w:w="1668" w:type="dxa"/>
            <w:noWrap/>
            <w:hideMark/>
          </w:tcPr>
          <w:p w14:paraId="214C9B20"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Регресія</w:t>
            </w:r>
          </w:p>
        </w:tc>
        <w:tc>
          <w:tcPr>
            <w:tcW w:w="1141" w:type="dxa"/>
            <w:noWrap/>
            <w:vAlign w:val="bottom"/>
            <w:hideMark/>
          </w:tcPr>
          <w:p w14:paraId="12E7EAE0" w14:textId="6740FC5C"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w:t>
            </w:r>
          </w:p>
        </w:tc>
        <w:tc>
          <w:tcPr>
            <w:tcW w:w="1505" w:type="dxa"/>
            <w:noWrap/>
            <w:vAlign w:val="bottom"/>
            <w:hideMark/>
          </w:tcPr>
          <w:p w14:paraId="662A5B74" w14:textId="7C8E5AE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5.691242</w:t>
            </w:r>
          </w:p>
        </w:tc>
        <w:tc>
          <w:tcPr>
            <w:tcW w:w="1505" w:type="dxa"/>
            <w:noWrap/>
            <w:vAlign w:val="bottom"/>
            <w:hideMark/>
          </w:tcPr>
          <w:p w14:paraId="0203674F" w14:textId="040BC1A1"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5.691242</w:t>
            </w:r>
          </w:p>
        </w:tc>
        <w:tc>
          <w:tcPr>
            <w:tcW w:w="1505" w:type="dxa"/>
            <w:noWrap/>
            <w:vAlign w:val="bottom"/>
            <w:hideMark/>
          </w:tcPr>
          <w:p w14:paraId="579EDFF8" w14:textId="468B1D33"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56.36385</w:t>
            </w:r>
          </w:p>
        </w:tc>
        <w:tc>
          <w:tcPr>
            <w:tcW w:w="1997" w:type="dxa"/>
            <w:noWrap/>
            <w:vAlign w:val="bottom"/>
            <w:hideMark/>
          </w:tcPr>
          <w:p w14:paraId="050315A0" w14:textId="3579431E"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1.1E-10</w:t>
            </w:r>
          </w:p>
        </w:tc>
      </w:tr>
      <w:tr w:rsidR="00F4461B" w:rsidRPr="00F7440D" w14:paraId="2E67C45F" w14:textId="77777777" w:rsidTr="00585003">
        <w:trPr>
          <w:trHeight w:val="269"/>
        </w:trPr>
        <w:tc>
          <w:tcPr>
            <w:tcW w:w="1668" w:type="dxa"/>
            <w:noWrap/>
            <w:hideMark/>
          </w:tcPr>
          <w:p w14:paraId="49FFFC65" w14:textId="77777777" w:rsidR="00F4461B" w:rsidRPr="00F7440D" w:rsidRDefault="00F4461B" w:rsidP="00F7440D">
            <w:pPr>
              <w:spacing w:line="360" w:lineRule="auto"/>
              <w:rPr>
                <w:rFonts w:eastAsiaTheme="minorHAnsi" w:cstheme="minorBidi"/>
                <w:sz w:val="28"/>
                <w:szCs w:val="28"/>
              </w:rPr>
            </w:pPr>
            <w:r w:rsidRPr="00F7440D">
              <w:rPr>
                <w:rFonts w:eastAsiaTheme="minorHAnsi" w:cstheme="minorBidi"/>
                <w:sz w:val="28"/>
                <w:szCs w:val="28"/>
              </w:rPr>
              <w:t>Залишок</w:t>
            </w:r>
          </w:p>
        </w:tc>
        <w:tc>
          <w:tcPr>
            <w:tcW w:w="1141" w:type="dxa"/>
            <w:noWrap/>
            <w:vAlign w:val="bottom"/>
            <w:hideMark/>
          </w:tcPr>
          <w:p w14:paraId="7C827A71" w14:textId="007556E4"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74</w:t>
            </w:r>
          </w:p>
        </w:tc>
        <w:tc>
          <w:tcPr>
            <w:tcW w:w="1505" w:type="dxa"/>
            <w:noWrap/>
            <w:vAlign w:val="bottom"/>
            <w:hideMark/>
          </w:tcPr>
          <w:p w14:paraId="34A03364" w14:textId="17D6E0D2"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7.472022</w:t>
            </w:r>
          </w:p>
        </w:tc>
        <w:tc>
          <w:tcPr>
            <w:tcW w:w="1505" w:type="dxa"/>
            <w:noWrap/>
            <w:vAlign w:val="bottom"/>
            <w:hideMark/>
          </w:tcPr>
          <w:p w14:paraId="00E0645D" w14:textId="0594E9F5"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0.100973</w:t>
            </w:r>
          </w:p>
        </w:tc>
        <w:tc>
          <w:tcPr>
            <w:tcW w:w="1505" w:type="dxa"/>
            <w:noWrap/>
            <w:vAlign w:val="bottom"/>
            <w:hideMark/>
          </w:tcPr>
          <w:p w14:paraId="3B76FFE1" w14:textId="77777777" w:rsidR="00F4461B" w:rsidRPr="00F7440D" w:rsidRDefault="00F4461B" w:rsidP="00F7440D">
            <w:pPr>
              <w:spacing w:line="360" w:lineRule="auto"/>
              <w:jc w:val="right"/>
              <w:rPr>
                <w:rFonts w:eastAsia="Times New Roman" w:cs="Times New Roman"/>
                <w:sz w:val="28"/>
                <w:szCs w:val="28"/>
              </w:rPr>
            </w:pPr>
          </w:p>
        </w:tc>
        <w:tc>
          <w:tcPr>
            <w:tcW w:w="1997" w:type="dxa"/>
            <w:noWrap/>
            <w:vAlign w:val="bottom"/>
            <w:hideMark/>
          </w:tcPr>
          <w:p w14:paraId="5F432824" w14:textId="77777777" w:rsidR="00F4461B" w:rsidRPr="00F7440D" w:rsidRDefault="00F4461B" w:rsidP="00F7440D">
            <w:pPr>
              <w:spacing w:line="360" w:lineRule="auto"/>
              <w:rPr>
                <w:rFonts w:eastAsia="Times New Roman" w:cs="Times New Roman"/>
                <w:sz w:val="28"/>
                <w:szCs w:val="28"/>
              </w:rPr>
            </w:pPr>
          </w:p>
        </w:tc>
      </w:tr>
      <w:tr w:rsidR="00F4461B" w:rsidRPr="00F7440D" w14:paraId="4F410C4C" w14:textId="77777777" w:rsidTr="00585003">
        <w:trPr>
          <w:trHeight w:val="284"/>
        </w:trPr>
        <w:tc>
          <w:tcPr>
            <w:tcW w:w="1668" w:type="dxa"/>
            <w:noWrap/>
            <w:hideMark/>
          </w:tcPr>
          <w:p w14:paraId="5DE53B70" w14:textId="77777777" w:rsidR="00F4461B" w:rsidRPr="00F7440D" w:rsidRDefault="00F4461B" w:rsidP="00F7440D">
            <w:pPr>
              <w:spacing w:line="360" w:lineRule="auto"/>
              <w:rPr>
                <w:rFonts w:eastAsiaTheme="minorHAnsi" w:cstheme="minorBidi"/>
                <w:sz w:val="28"/>
                <w:szCs w:val="28"/>
                <w:lang w:val="uk-UA"/>
              </w:rPr>
            </w:pPr>
            <w:r w:rsidRPr="00F7440D">
              <w:rPr>
                <w:rFonts w:eastAsiaTheme="minorHAnsi" w:cstheme="minorBidi"/>
                <w:sz w:val="28"/>
                <w:szCs w:val="28"/>
                <w:lang w:val="uk-UA"/>
              </w:rPr>
              <w:t>Разом</w:t>
            </w:r>
          </w:p>
        </w:tc>
        <w:tc>
          <w:tcPr>
            <w:tcW w:w="1141" w:type="dxa"/>
            <w:noWrap/>
            <w:vAlign w:val="bottom"/>
            <w:hideMark/>
          </w:tcPr>
          <w:p w14:paraId="3E262A1A" w14:textId="7C5B30CB"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75</w:t>
            </w:r>
          </w:p>
        </w:tc>
        <w:tc>
          <w:tcPr>
            <w:tcW w:w="1505" w:type="dxa"/>
            <w:noWrap/>
            <w:vAlign w:val="bottom"/>
            <w:hideMark/>
          </w:tcPr>
          <w:p w14:paraId="592A0F4B" w14:textId="324C262A" w:rsidR="00F4461B" w:rsidRPr="00F7440D" w:rsidRDefault="00F4461B" w:rsidP="00F7440D">
            <w:pPr>
              <w:spacing w:line="360" w:lineRule="auto"/>
              <w:jc w:val="right"/>
              <w:rPr>
                <w:rFonts w:eastAsia="Times New Roman" w:cs="Times New Roman"/>
                <w:sz w:val="28"/>
                <w:szCs w:val="28"/>
              </w:rPr>
            </w:pPr>
            <w:r w:rsidRPr="00F7440D">
              <w:rPr>
                <w:rFonts w:cs="Times New Roman"/>
                <w:sz w:val="28"/>
                <w:szCs w:val="28"/>
              </w:rPr>
              <w:t>13.16326</w:t>
            </w:r>
          </w:p>
        </w:tc>
        <w:tc>
          <w:tcPr>
            <w:tcW w:w="1505" w:type="dxa"/>
            <w:noWrap/>
            <w:vAlign w:val="bottom"/>
            <w:hideMark/>
          </w:tcPr>
          <w:p w14:paraId="3D99A702" w14:textId="586EF6D9"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505" w:type="dxa"/>
            <w:noWrap/>
            <w:vAlign w:val="bottom"/>
            <w:hideMark/>
          </w:tcPr>
          <w:p w14:paraId="4AA8CDBE" w14:textId="1CAEB483"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c>
          <w:tcPr>
            <w:tcW w:w="1997" w:type="dxa"/>
            <w:noWrap/>
            <w:vAlign w:val="bottom"/>
            <w:hideMark/>
          </w:tcPr>
          <w:p w14:paraId="48E9DFF1" w14:textId="0E6D337F" w:rsidR="00F4461B" w:rsidRPr="00F7440D" w:rsidRDefault="00F4461B" w:rsidP="00F7440D">
            <w:pPr>
              <w:spacing w:line="360" w:lineRule="auto"/>
              <w:rPr>
                <w:rFonts w:eastAsia="Times New Roman" w:cs="Times New Roman"/>
                <w:sz w:val="28"/>
                <w:szCs w:val="28"/>
              </w:rPr>
            </w:pPr>
            <w:r w:rsidRPr="00F7440D">
              <w:rPr>
                <w:rFonts w:cs="Times New Roman"/>
                <w:sz w:val="28"/>
                <w:szCs w:val="28"/>
              </w:rPr>
              <w:t> </w:t>
            </w:r>
          </w:p>
        </w:tc>
      </w:tr>
    </w:tbl>
    <w:p w14:paraId="6B9E45B2" w14:textId="77777777" w:rsidR="00063103" w:rsidRDefault="00063103" w:rsidP="00C74BC5">
      <w:pPr>
        <w:spacing w:after="0" w:line="360" w:lineRule="auto"/>
        <w:jc w:val="right"/>
        <w:rPr>
          <w:rFonts w:ascii="Times New Roman" w:hAnsi="Times New Roman"/>
          <w:sz w:val="28"/>
          <w:szCs w:val="28"/>
          <w:lang w:val="uk-UA"/>
        </w:rPr>
      </w:pPr>
    </w:p>
    <w:p w14:paraId="31E4B314" w14:textId="77777777" w:rsidR="00063103" w:rsidRDefault="00063103" w:rsidP="00C74BC5">
      <w:pPr>
        <w:spacing w:after="0" w:line="360" w:lineRule="auto"/>
        <w:jc w:val="right"/>
        <w:rPr>
          <w:rFonts w:ascii="Times New Roman" w:hAnsi="Times New Roman"/>
          <w:sz w:val="28"/>
          <w:szCs w:val="28"/>
          <w:lang w:val="uk-UA"/>
        </w:rPr>
      </w:pPr>
    </w:p>
    <w:p w14:paraId="18997C58" w14:textId="77777777" w:rsidR="00063103" w:rsidRDefault="00063103" w:rsidP="00C74BC5">
      <w:pPr>
        <w:spacing w:after="0" w:line="360" w:lineRule="auto"/>
        <w:jc w:val="right"/>
        <w:rPr>
          <w:rFonts w:ascii="Times New Roman" w:hAnsi="Times New Roman"/>
          <w:sz w:val="28"/>
          <w:szCs w:val="28"/>
          <w:lang w:val="uk-UA"/>
        </w:rPr>
      </w:pPr>
    </w:p>
    <w:p w14:paraId="53440A31" w14:textId="77777777" w:rsidR="00063103" w:rsidRDefault="00063103" w:rsidP="00C74BC5">
      <w:pPr>
        <w:spacing w:after="0" w:line="360" w:lineRule="auto"/>
        <w:jc w:val="right"/>
        <w:rPr>
          <w:rFonts w:ascii="Times New Roman" w:hAnsi="Times New Roman"/>
          <w:sz w:val="28"/>
          <w:szCs w:val="28"/>
          <w:lang w:val="uk-UA"/>
        </w:rPr>
      </w:pPr>
    </w:p>
    <w:p w14:paraId="410DD542" w14:textId="0D159546" w:rsidR="00F4461B" w:rsidRPr="00F7440D" w:rsidRDefault="00E9728E" w:rsidP="00C74BC5">
      <w:pPr>
        <w:spacing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sidR="00F4461B" w:rsidRPr="00F7440D">
        <w:rPr>
          <w:rFonts w:ascii="Times New Roman" w:hAnsi="Times New Roman"/>
          <w:sz w:val="28"/>
          <w:szCs w:val="28"/>
          <w:lang w:val="uk-UA"/>
        </w:rPr>
        <w:t>.</w:t>
      </w:r>
      <w:r w:rsidR="00607F83">
        <w:rPr>
          <w:rFonts w:ascii="Times New Roman" w:hAnsi="Times New Roman"/>
          <w:sz w:val="28"/>
          <w:szCs w:val="28"/>
          <w:lang w:val="uk-UA"/>
        </w:rPr>
        <w:t>33</w:t>
      </w:r>
      <w:r w:rsidR="00F4461B" w:rsidRPr="00F7440D">
        <w:rPr>
          <w:rFonts w:ascii="Times New Roman" w:hAnsi="Times New Roman"/>
          <w:sz w:val="28"/>
          <w:szCs w:val="28"/>
          <w:lang w:val="uk-UA"/>
        </w:rPr>
        <w:t xml:space="preserve"> </w:t>
      </w:r>
    </w:p>
    <w:p w14:paraId="4ABB2004" w14:textId="77777777" w:rsidR="00F4461B" w:rsidRPr="00F7440D" w:rsidRDefault="00F4461B" w:rsidP="00C74BC5">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TableGrid"/>
        <w:tblW w:w="9520" w:type="dxa"/>
        <w:tblLook w:val="04A0" w:firstRow="1" w:lastRow="0" w:firstColumn="1" w:lastColumn="0" w:noHBand="0" w:noVBand="1"/>
      </w:tblPr>
      <w:tblGrid>
        <w:gridCol w:w="2021"/>
        <w:gridCol w:w="1802"/>
        <w:gridCol w:w="2473"/>
        <w:gridCol w:w="1859"/>
        <w:gridCol w:w="1365"/>
      </w:tblGrid>
      <w:tr w:rsidR="00F4461B" w:rsidRPr="00F7440D" w14:paraId="4103DD21" w14:textId="77777777" w:rsidTr="002A01E2">
        <w:trPr>
          <w:trHeight w:val="557"/>
        </w:trPr>
        <w:tc>
          <w:tcPr>
            <w:tcW w:w="2021" w:type="dxa"/>
            <w:noWrap/>
            <w:hideMark/>
          </w:tcPr>
          <w:p w14:paraId="07C80788" w14:textId="77777777" w:rsidR="00F4461B" w:rsidRPr="00F7440D" w:rsidRDefault="00F4461B" w:rsidP="002A01E2">
            <w:pPr>
              <w:spacing w:line="276" w:lineRule="auto"/>
              <w:jc w:val="center"/>
              <w:rPr>
                <w:rFonts w:eastAsia="Times New Roman"/>
                <w:i/>
                <w:iCs/>
                <w:sz w:val="28"/>
                <w:szCs w:val="28"/>
              </w:rPr>
            </w:pPr>
            <w:r w:rsidRPr="00F7440D">
              <w:rPr>
                <w:rFonts w:eastAsia="Times New Roman"/>
                <w:i/>
                <w:iCs/>
                <w:sz w:val="28"/>
                <w:szCs w:val="28"/>
              </w:rPr>
              <w:t> </w:t>
            </w:r>
          </w:p>
        </w:tc>
        <w:tc>
          <w:tcPr>
            <w:tcW w:w="1802" w:type="dxa"/>
            <w:noWrap/>
            <w:hideMark/>
          </w:tcPr>
          <w:p w14:paraId="1FD5AA39" w14:textId="77777777" w:rsidR="00F4461B" w:rsidRPr="00F7440D" w:rsidRDefault="00F4461B" w:rsidP="002A01E2">
            <w:pPr>
              <w:spacing w:line="276" w:lineRule="auto"/>
              <w:rPr>
                <w:rFonts w:eastAsiaTheme="minorHAnsi" w:cstheme="minorBidi"/>
                <w:i/>
                <w:iCs/>
                <w:sz w:val="28"/>
                <w:szCs w:val="28"/>
                <w:lang w:val="uk-UA"/>
              </w:rPr>
            </w:pPr>
            <w:r w:rsidRPr="00F7440D">
              <w:rPr>
                <w:rFonts w:eastAsiaTheme="minorHAnsi" w:cstheme="minorBidi"/>
                <w:i/>
                <w:iCs/>
                <w:sz w:val="28"/>
                <w:szCs w:val="28"/>
                <w:lang w:val="uk-UA"/>
              </w:rPr>
              <w:t>Коефіцієнти</w:t>
            </w:r>
          </w:p>
        </w:tc>
        <w:tc>
          <w:tcPr>
            <w:tcW w:w="2473" w:type="dxa"/>
            <w:noWrap/>
            <w:hideMark/>
          </w:tcPr>
          <w:p w14:paraId="62F020ED" w14:textId="77777777" w:rsidR="00F4461B" w:rsidRPr="00F7440D" w:rsidRDefault="00F4461B" w:rsidP="002A01E2">
            <w:pPr>
              <w:spacing w:line="276" w:lineRule="auto"/>
              <w:rPr>
                <w:rFonts w:eastAsiaTheme="minorHAnsi" w:cstheme="minorBidi"/>
                <w:i/>
                <w:iCs/>
                <w:sz w:val="28"/>
                <w:szCs w:val="28"/>
                <w:lang w:val="uk-UA"/>
              </w:rPr>
            </w:pPr>
            <w:r w:rsidRPr="00F7440D">
              <w:rPr>
                <w:rFonts w:eastAsiaTheme="minorHAnsi" w:cstheme="minorBidi"/>
                <w:i/>
                <w:iCs/>
                <w:sz w:val="28"/>
                <w:szCs w:val="28"/>
                <w:lang w:val="uk-UA"/>
              </w:rPr>
              <w:t>Стандартна помилка</w:t>
            </w:r>
          </w:p>
        </w:tc>
        <w:tc>
          <w:tcPr>
            <w:tcW w:w="1859" w:type="dxa"/>
            <w:noWrap/>
            <w:hideMark/>
          </w:tcPr>
          <w:p w14:paraId="312C043B" w14:textId="77777777" w:rsidR="00F4461B" w:rsidRPr="00F7440D" w:rsidRDefault="00F4461B" w:rsidP="002A01E2">
            <w:pPr>
              <w:spacing w:line="276" w:lineRule="auto"/>
              <w:ind w:firstLine="709"/>
              <w:rPr>
                <w:rFonts w:eastAsiaTheme="minorHAnsi" w:cstheme="minorBidi"/>
                <w:i/>
                <w:iCs/>
                <w:sz w:val="28"/>
                <w:szCs w:val="28"/>
              </w:rPr>
            </w:pPr>
            <w:r w:rsidRPr="00F7440D">
              <w:rPr>
                <w:rFonts w:eastAsiaTheme="minorHAnsi" w:cstheme="minorBidi"/>
                <w:i/>
                <w:iCs/>
                <w:sz w:val="28"/>
                <w:szCs w:val="28"/>
              </w:rPr>
              <w:t>t-статистика</w:t>
            </w:r>
          </w:p>
        </w:tc>
        <w:tc>
          <w:tcPr>
            <w:tcW w:w="1365" w:type="dxa"/>
            <w:noWrap/>
            <w:hideMark/>
          </w:tcPr>
          <w:p w14:paraId="00AB2700" w14:textId="77777777" w:rsidR="00F4461B" w:rsidRPr="00F7440D" w:rsidRDefault="00F4461B" w:rsidP="002A01E2">
            <w:pPr>
              <w:spacing w:line="276" w:lineRule="auto"/>
              <w:ind w:firstLine="709"/>
              <w:rPr>
                <w:rFonts w:eastAsiaTheme="minorHAnsi" w:cstheme="minorBidi"/>
                <w:i/>
                <w:iCs/>
                <w:sz w:val="28"/>
                <w:szCs w:val="28"/>
                <w:lang w:val="uk-UA"/>
              </w:rPr>
            </w:pPr>
            <w:r w:rsidRPr="00F7440D">
              <w:rPr>
                <w:rFonts w:eastAsiaTheme="minorHAnsi" w:cstheme="minorBidi"/>
                <w:i/>
                <w:iCs/>
                <w:sz w:val="28"/>
                <w:szCs w:val="28"/>
              </w:rPr>
              <w:t>P-</w:t>
            </w:r>
            <w:r w:rsidRPr="00F7440D">
              <w:rPr>
                <w:rFonts w:eastAsiaTheme="minorHAnsi" w:cstheme="minorBidi"/>
                <w:i/>
                <w:iCs/>
                <w:sz w:val="28"/>
                <w:szCs w:val="28"/>
                <w:lang w:val="uk-UA"/>
              </w:rPr>
              <w:t>значення</w:t>
            </w:r>
          </w:p>
        </w:tc>
      </w:tr>
      <w:tr w:rsidR="00F4461B" w:rsidRPr="00F7440D" w14:paraId="4609D694" w14:textId="77777777" w:rsidTr="002A01E2">
        <w:trPr>
          <w:trHeight w:val="249"/>
        </w:trPr>
        <w:tc>
          <w:tcPr>
            <w:tcW w:w="2021" w:type="dxa"/>
            <w:noWrap/>
            <w:hideMark/>
          </w:tcPr>
          <w:p w14:paraId="4C470252" w14:textId="77777777" w:rsidR="00F4461B" w:rsidRPr="00F7440D" w:rsidRDefault="00F4461B" w:rsidP="002A01E2">
            <w:pPr>
              <w:spacing w:before="120" w:line="276" w:lineRule="auto"/>
              <w:rPr>
                <w:rFonts w:eastAsiaTheme="minorHAnsi" w:cstheme="minorBidi"/>
                <w:sz w:val="28"/>
                <w:szCs w:val="28"/>
              </w:rPr>
            </w:pPr>
            <w:r w:rsidRPr="00F7440D">
              <w:rPr>
                <w:rFonts w:eastAsiaTheme="minorHAnsi" w:cstheme="minorBidi"/>
                <w:sz w:val="28"/>
                <w:szCs w:val="28"/>
              </w:rPr>
              <w:t>Y-пересічення</w:t>
            </w:r>
          </w:p>
        </w:tc>
        <w:tc>
          <w:tcPr>
            <w:tcW w:w="1802" w:type="dxa"/>
            <w:noWrap/>
            <w:vAlign w:val="bottom"/>
            <w:hideMark/>
          </w:tcPr>
          <w:p w14:paraId="5B30E618" w14:textId="19DBF5F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1.342471</w:t>
            </w:r>
          </w:p>
        </w:tc>
        <w:tc>
          <w:tcPr>
            <w:tcW w:w="2473" w:type="dxa"/>
            <w:noWrap/>
            <w:vAlign w:val="bottom"/>
            <w:hideMark/>
          </w:tcPr>
          <w:p w14:paraId="7DF80C8B" w14:textId="7F664AD8"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0.279392</w:t>
            </w:r>
          </w:p>
        </w:tc>
        <w:tc>
          <w:tcPr>
            <w:tcW w:w="1859" w:type="dxa"/>
            <w:noWrap/>
            <w:vAlign w:val="bottom"/>
            <w:hideMark/>
          </w:tcPr>
          <w:p w14:paraId="30062AEE" w14:textId="790EF239"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4.804968</w:t>
            </w:r>
          </w:p>
        </w:tc>
        <w:tc>
          <w:tcPr>
            <w:tcW w:w="1365" w:type="dxa"/>
            <w:noWrap/>
            <w:vAlign w:val="bottom"/>
            <w:hideMark/>
          </w:tcPr>
          <w:p w14:paraId="77A9BECE" w14:textId="49A26C6C" w:rsidR="00F4461B" w:rsidRPr="00F7440D" w:rsidRDefault="00F4461B" w:rsidP="002A01E2">
            <w:pPr>
              <w:spacing w:before="120" w:line="276" w:lineRule="auto"/>
              <w:jc w:val="right"/>
              <w:rPr>
                <w:rFonts w:eastAsia="Times New Roman" w:cs="Times New Roman"/>
                <w:sz w:val="28"/>
                <w:szCs w:val="28"/>
              </w:rPr>
            </w:pPr>
            <w:r w:rsidRPr="00F7440D">
              <w:rPr>
                <w:rFonts w:cs="Times New Roman"/>
                <w:sz w:val="28"/>
                <w:szCs w:val="28"/>
              </w:rPr>
              <w:t>7.9E-06</w:t>
            </w:r>
          </w:p>
        </w:tc>
      </w:tr>
      <w:tr w:rsidR="00F4461B" w:rsidRPr="00F7440D" w14:paraId="07AD2AAA" w14:textId="77777777" w:rsidTr="002A01E2">
        <w:trPr>
          <w:trHeight w:val="264"/>
        </w:trPr>
        <w:tc>
          <w:tcPr>
            <w:tcW w:w="2021" w:type="dxa"/>
            <w:noWrap/>
            <w:hideMark/>
          </w:tcPr>
          <w:p w14:paraId="0279BB6B" w14:textId="77777777" w:rsidR="00F4461B" w:rsidRPr="00F7440D" w:rsidRDefault="00F4461B" w:rsidP="002A01E2">
            <w:pPr>
              <w:spacing w:before="120" w:line="276" w:lineRule="auto"/>
              <w:rPr>
                <w:rFonts w:eastAsiaTheme="minorHAnsi" w:cstheme="minorBidi"/>
                <w:sz w:val="28"/>
                <w:szCs w:val="28"/>
              </w:rPr>
            </w:pPr>
            <w:r w:rsidRPr="00F7440D">
              <w:rPr>
                <w:rFonts w:eastAsiaTheme="minorHAnsi" w:cstheme="minorBidi"/>
                <w:sz w:val="28"/>
                <w:szCs w:val="28"/>
                <w:lang w:val="uk-UA"/>
              </w:rPr>
              <w:t>Змінна</w:t>
            </w:r>
            <w:r w:rsidRPr="00F7440D">
              <w:rPr>
                <w:rFonts w:eastAsiaTheme="minorHAnsi" w:cstheme="minorBidi"/>
                <w:sz w:val="28"/>
                <w:szCs w:val="28"/>
              </w:rPr>
              <w:t xml:space="preserve"> X 1</w:t>
            </w:r>
          </w:p>
        </w:tc>
        <w:tc>
          <w:tcPr>
            <w:tcW w:w="1802" w:type="dxa"/>
            <w:noWrap/>
            <w:vAlign w:val="bottom"/>
            <w:hideMark/>
          </w:tcPr>
          <w:p w14:paraId="1317AE92" w14:textId="107CEF5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0.30261</w:t>
            </w:r>
          </w:p>
        </w:tc>
        <w:tc>
          <w:tcPr>
            <w:tcW w:w="2473" w:type="dxa"/>
            <w:noWrap/>
            <w:vAlign w:val="bottom"/>
            <w:hideMark/>
          </w:tcPr>
          <w:p w14:paraId="0E90E173" w14:textId="69F35DD1"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0.040307</w:t>
            </w:r>
          </w:p>
        </w:tc>
        <w:tc>
          <w:tcPr>
            <w:tcW w:w="1859" w:type="dxa"/>
            <w:noWrap/>
            <w:vAlign w:val="bottom"/>
            <w:hideMark/>
          </w:tcPr>
          <w:p w14:paraId="6725AB0D" w14:textId="4A9C2F1D" w:rsidR="00F4461B" w:rsidRPr="00F7440D" w:rsidRDefault="00F4461B" w:rsidP="002A01E2">
            <w:pPr>
              <w:spacing w:before="120" w:line="276" w:lineRule="auto"/>
              <w:rPr>
                <w:rFonts w:eastAsia="Times New Roman" w:cs="Times New Roman"/>
                <w:sz w:val="28"/>
                <w:szCs w:val="28"/>
              </w:rPr>
            </w:pPr>
            <w:r w:rsidRPr="00F7440D">
              <w:rPr>
                <w:rFonts w:cs="Times New Roman"/>
                <w:sz w:val="28"/>
                <w:szCs w:val="28"/>
              </w:rPr>
              <w:t>7.507586</w:t>
            </w:r>
          </w:p>
        </w:tc>
        <w:tc>
          <w:tcPr>
            <w:tcW w:w="1365" w:type="dxa"/>
            <w:noWrap/>
            <w:vAlign w:val="bottom"/>
            <w:hideMark/>
          </w:tcPr>
          <w:p w14:paraId="2B200D5B" w14:textId="6FEC9EA2" w:rsidR="00F4461B" w:rsidRPr="00F7440D" w:rsidRDefault="00F4461B" w:rsidP="002A01E2">
            <w:pPr>
              <w:spacing w:before="120" w:line="276" w:lineRule="auto"/>
              <w:jc w:val="right"/>
              <w:rPr>
                <w:rFonts w:eastAsia="Times New Roman" w:cs="Times New Roman"/>
                <w:sz w:val="28"/>
                <w:szCs w:val="28"/>
              </w:rPr>
            </w:pPr>
            <w:r w:rsidRPr="00F7440D">
              <w:rPr>
                <w:rFonts w:cs="Times New Roman"/>
                <w:sz w:val="28"/>
                <w:szCs w:val="28"/>
              </w:rPr>
              <w:t>1.1E-10</w:t>
            </w:r>
          </w:p>
        </w:tc>
      </w:tr>
    </w:tbl>
    <w:p w14:paraId="15CC9207" w14:textId="129FD385" w:rsidR="00963B98" w:rsidRPr="00F7440D" w:rsidRDefault="00963B98"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Метод регресійного аналізу показує, що функція регресії не може бути побудована у групі пацієнтів з </w:t>
      </w:r>
      <w:r w:rsidR="00307C1B" w:rsidRPr="00F7440D">
        <w:rPr>
          <w:rFonts w:ascii="Times New Roman" w:hAnsi="Times New Roman" w:cs="Times New Roman"/>
          <w:sz w:val="28"/>
          <w:szCs w:val="28"/>
          <w:lang w:val="uk-UA"/>
        </w:rPr>
        <w:t>атопічними захворюваннями та гінгівітом</w:t>
      </w:r>
      <w:r w:rsidRPr="00F7440D">
        <w:rPr>
          <w:rFonts w:ascii="Times New Roman" w:hAnsi="Times New Roman" w:cs="Times New Roman"/>
          <w:sz w:val="28"/>
          <w:szCs w:val="28"/>
          <w:lang w:val="uk-UA"/>
        </w:rPr>
        <w:t>. Значення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нормованого R</w:t>
      </w:r>
      <w:r w:rsidRPr="00F7440D">
        <w:rPr>
          <w:rFonts w:ascii="Times New Roman" w:hAnsi="Times New Roman" w:cs="Times New Roman"/>
          <w:sz w:val="28"/>
          <w:szCs w:val="28"/>
          <w:vertAlign w:val="superscript"/>
          <w:lang w:val="uk-UA"/>
        </w:rPr>
        <w:t>2</w:t>
      </w:r>
      <w:r w:rsidR="00307C1B" w:rsidRPr="00F7440D">
        <w:rPr>
          <w:rFonts w:ascii="Times New Roman" w:hAnsi="Times New Roman" w:cs="Times New Roman"/>
          <w:sz w:val="28"/>
          <w:szCs w:val="28"/>
          <w:lang w:val="uk-UA"/>
        </w:rPr>
        <w:t>, множинного R, доводя</w:t>
      </w:r>
      <w:r w:rsidRPr="00F7440D">
        <w:rPr>
          <w:rFonts w:ascii="Times New Roman" w:hAnsi="Times New Roman" w:cs="Times New Roman"/>
          <w:sz w:val="28"/>
          <w:szCs w:val="28"/>
          <w:lang w:val="uk-UA"/>
        </w:rPr>
        <w:t>ть, що запалення в тканинах пародонта, яке вимірюється індексом SBI, не корелює з рівнем</w:t>
      </w:r>
      <w:r w:rsidR="00307C1B" w:rsidRPr="00F7440D">
        <w:rPr>
          <w:rFonts w:ascii="Times New Roman" w:hAnsi="Times New Roman" w:cs="Times New Roman"/>
          <w:sz w:val="28"/>
          <w:szCs w:val="28"/>
          <w:lang w:val="uk-UA"/>
        </w:rPr>
        <w:t xml:space="preserve"> ма</w:t>
      </w:r>
      <w:r w:rsidR="00607F83">
        <w:rPr>
          <w:rFonts w:ascii="Times New Roman" w:hAnsi="Times New Roman" w:cs="Times New Roman"/>
          <w:sz w:val="28"/>
          <w:szCs w:val="28"/>
          <w:lang w:val="uk-UA"/>
        </w:rPr>
        <w:t>лонового диальдегіду</w:t>
      </w:r>
      <w:r w:rsidRPr="00F7440D">
        <w:rPr>
          <w:rFonts w:ascii="Times New Roman" w:hAnsi="Times New Roman" w:cs="Times New Roman"/>
          <w:sz w:val="28"/>
          <w:szCs w:val="28"/>
          <w:lang w:val="uk-UA"/>
        </w:rPr>
        <w:t>.</w:t>
      </w:r>
    </w:p>
    <w:p w14:paraId="5E93738E" w14:textId="5B6BFA53" w:rsidR="00012C5F"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Статистика регресії в групі </w:t>
      </w:r>
      <w:r w:rsidR="00307C1B" w:rsidRPr="00F7440D">
        <w:rPr>
          <w:rFonts w:ascii="Times New Roman" w:hAnsi="Times New Roman" w:cs="Times New Roman"/>
          <w:sz w:val="28"/>
          <w:szCs w:val="28"/>
          <w:lang w:val="uk-UA"/>
        </w:rPr>
        <w:t>пацієнтів з атопічними захворюваннями та без виражених ознак гінгівіту</w:t>
      </w:r>
      <w:r w:rsidRPr="00F7440D">
        <w:rPr>
          <w:rFonts w:ascii="Times New Roman" w:hAnsi="Times New Roman" w:cs="Times New Roman"/>
          <w:sz w:val="28"/>
          <w:szCs w:val="28"/>
          <w:lang w:val="uk-UA"/>
        </w:rPr>
        <w:t xml:space="preserve"> показує, що не існує кореляції між індексом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та рівнем малонового диальдегіду</w:t>
      </w:r>
      <w:r w:rsidR="00607F83">
        <w:rPr>
          <w:rFonts w:ascii="Times New Roman" w:hAnsi="Times New Roman" w:cs="Times New Roman"/>
          <w:sz w:val="28"/>
          <w:szCs w:val="28"/>
          <w:lang w:val="uk-UA"/>
        </w:rPr>
        <w:t xml:space="preserve"> (табл.8.34</w:t>
      </w:r>
      <w:r w:rsidR="00C74BC5">
        <w:rPr>
          <w:rFonts w:ascii="Times New Roman" w:hAnsi="Times New Roman" w:cs="Times New Roman"/>
          <w:sz w:val="28"/>
          <w:szCs w:val="28"/>
          <w:lang w:val="uk-UA"/>
        </w:rPr>
        <w:t>, 8.35, 8.36</w:t>
      </w:r>
      <w:r w:rsidR="00607F83">
        <w:rPr>
          <w:rFonts w:ascii="Times New Roman" w:hAnsi="Times New Roman" w:cs="Times New Roman"/>
          <w:sz w:val="28"/>
          <w:szCs w:val="28"/>
          <w:lang w:val="uk-UA"/>
        </w:rPr>
        <w:t>)</w:t>
      </w:r>
      <w:r w:rsidRPr="00F7440D">
        <w:rPr>
          <w:rFonts w:ascii="Times New Roman" w:hAnsi="Times New Roman" w:cs="Times New Roman"/>
          <w:sz w:val="28"/>
          <w:szCs w:val="28"/>
          <w:lang w:val="uk-UA"/>
        </w:rPr>
        <w:t>.</w:t>
      </w:r>
    </w:p>
    <w:p w14:paraId="72E29AFD" w14:textId="5DE335E1" w:rsidR="00607F83" w:rsidRPr="00F7440D" w:rsidRDefault="00607F83" w:rsidP="00C74BC5">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Pr>
          <w:rFonts w:ascii="Times New Roman" w:hAnsi="Times New Roman" w:cs="Times New Roman"/>
          <w:sz w:val="28"/>
          <w:szCs w:val="28"/>
          <w:lang w:val="uk-UA"/>
        </w:rPr>
        <w:t>34</w:t>
      </w:r>
    </w:p>
    <w:p w14:paraId="7A60E39A" w14:textId="42C40D5C" w:rsidR="00607F83" w:rsidRPr="00F7440D" w:rsidRDefault="00607F83" w:rsidP="00C74BC5">
      <w:pPr>
        <w:spacing w:after="0" w:line="360" w:lineRule="auto"/>
        <w:ind w:firstLine="709"/>
        <w:jc w:val="center"/>
        <w:rPr>
          <w:rFonts w:ascii="Times New Roman" w:hAnsi="Times New Roman" w:cs="Times New Roman"/>
          <w:b/>
          <w:sz w:val="28"/>
          <w:szCs w:val="28"/>
          <w:lang w:val="uk-UA"/>
        </w:rPr>
      </w:pPr>
      <w:r w:rsidRPr="00F7440D">
        <w:rPr>
          <w:rFonts w:ascii="Times New Roman" w:hAnsi="Times New Roman" w:cs="Times New Roman"/>
          <w:sz w:val="28"/>
          <w:szCs w:val="28"/>
          <w:lang w:val="uk-UA"/>
        </w:rPr>
        <w:t xml:space="preserve">Регресійний аналіз співвідношення SBI та МДА у </w:t>
      </w:r>
      <w:r>
        <w:rPr>
          <w:rFonts w:ascii="Times New Roman" w:hAnsi="Times New Roman" w:cs="Times New Roman"/>
          <w:sz w:val="28"/>
          <w:szCs w:val="28"/>
          <w:lang w:val="uk-UA"/>
        </w:rPr>
        <w:t>другій групі</w:t>
      </w:r>
      <w:r w:rsidRPr="00F7440D">
        <w:rPr>
          <w:rFonts w:ascii="Times New Roman" w:hAnsi="Times New Roman" w:cs="Times New Roman"/>
          <w:sz w:val="28"/>
          <w:szCs w:val="28"/>
          <w:lang w:val="uk-UA"/>
        </w:rPr>
        <w:t xml:space="preserve"> пацієнтів</w:t>
      </w:r>
    </w:p>
    <w:tbl>
      <w:tblPr>
        <w:tblW w:w="9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8"/>
        <w:gridCol w:w="5408"/>
      </w:tblGrid>
      <w:tr w:rsidR="00607F83" w:rsidRPr="00F7440D" w14:paraId="4C8A05A8" w14:textId="77777777" w:rsidTr="00607F83">
        <w:trPr>
          <w:trHeight w:val="239"/>
        </w:trPr>
        <w:tc>
          <w:tcPr>
            <w:tcW w:w="9306" w:type="dxa"/>
            <w:gridSpan w:val="2"/>
            <w:shd w:val="clear" w:color="auto" w:fill="auto"/>
            <w:noWrap/>
            <w:hideMark/>
          </w:tcPr>
          <w:p w14:paraId="72088959" w14:textId="77777777" w:rsidR="00607F83" w:rsidRPr="00F7440D" w:rsidRDefault="00607F83" w:rsidP="00063103">
            <w:pPr>
              <w:spacing w:after="0" w:line="360" w:lineRule="auto"/>
              <w:ind w:firstLine="709"/>
              <w:jc w:val="both"/>
              <w:rPr>
                <w:rFonts w:ascii="Times New Roman" w:hAnsi="Times New Roman" w:cs="Times New Roman"/>
                <w:i/>
                <w:iCs/>
                <w:sz w:val="28"/>
                <w:szCs w:val="28"/>
                <w:lang w:val="uk-UA"/>
              </w:rPr>
            </w:pPr>
            <w:r w:rsidRPr="00F7440D">
              <w:rPr>
                <w:rFonts w:ascii="Times New Roman" w:hAnsi="Times New Roman" w:cs="Times New Roman"/>
                <w:i/>
                <w:iCs/>
                <w:sz w:val="28"/>
                <w:szCs w:val="28"/>
                <w:lang w:val="uk-UA"/>
              </w:rPr>
              <w:t>Регресійна статистика</w:t>
            </w:r>
          </w:p>
        </w:tc>
      </w:tr>
      <w:tr w:rsidR="00607F83" w:rsidRPr="00F7440D" w14:paraId="42DC3D8B" w14:textId="77777777" w:rsidTr="00607F83">
        <w:trPr>
          <w:trHeight w:val="239"/>
        </w:trPr>
        <w:tc>
          <w:tcPr>
            <w:tcW w:w="3898" w:type="dxa"/>
            <w:shd w:val="clear" w:color="auto" w:fill="auto"/>
            <w:noWrap/>
            <w:hideMark/>
          </w:tcPr>
          <w:p w14:paraId="178A9587"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5408" w:type="dxa"/>
            <w:shd w:val="clear" w:color="auto" w:fill="auto"/>
          </w:tcPr>
          <w:p w14:paraId="52773940"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0.012526</w:t>
            </w:r>
          </w:p>
        </w:tc>
      </w:tr>
      <w:tr w:rsidR="00607F83" w:rsidRPr="00F7440D" w14:paraId="5A69FAF8" w14:textId="77777777" w:rsidTr="00607F83">
        <w:trPr>
          <w:trHeight w:val="239"/>
        </w:trPr>
        <w:tc>
          <w:tcPr>
            <w:tcW w:w="3898" w:type="dxa"/>
            <w:shd w:val="clear" w:color="auto" w:fill="auto"/>
            <w:noWrap/>
            <w:hideMark/>
          </w:tcPr>
          <w:p w14:paraId="1631C98D"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5408" w:type="dxa"/>
            <w:shd w:val="clear" w:color="auto" w:fill="auto"/>
          </w:tcPr>
          <w:p w14:paraId="237F0184"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0.000157</w:t>
            </w:r>
          </w:p>
        </w:tc>
      </w:tr>
      <w:tr w:rsidR="00607F83" w:rsidRPr="00F7440D" w14:paraId="0B36179D" w14:textId="77777777" w:rsidTr="00607F83">
        <w:trPr>
          <w:trHeight w:val="239"/>
        </w:trPr>
        <w:tc>
          <w:tcPr>
            <w:tcW w:w="3898" w:type="dxa"/>
            <w:shd w:val="clear" w:color="auto" w:fill="auto"/>
            <w:noWrap/>
            <w:hideMark/>
          </w:tcPr>
          <w:p w14:paraId="2ECDEA04" w14:textId="77777777" w:rsidR="00607F83" w:rsidRPr="00F7440D" w:rsidRDefault="00607F83" w:rsidP="00063103">
            <w:pPr>
              <w:spacing w:after="0" w:line="360"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5408" w:type="dxa"/>
            <w:shd w:val="clear" w:color="auto" w:fill="auto"/>
          </w:tcPr>
          <w:p w14:paraId="466AD339"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-0.02067</w:t>
            </w:r>
          </w:p>
        </w:tc>
      </w:tr>
      <w:tr w:rsidR="00607F83" w:rsidRPr="00F7440D" w14:paraId="08C08268" w14:textId="77777777" w:rsidTr="00607F83">
        <w:trPr>
          <w:trHeight w:val="239"/>
        </w:trPr>
        <w:tc>
          <w:tcPr>
            <w:tcW w:w="3898" w:type="dxa"/>
            <w:shd w:val="clear" w:color="auto" w:fill="auto"/>
            <w:noWrap/>
            <w:hideMark/>
          </w:tcPr>
          <w:p w14:paraId="353496B6" w14:textId="77777777" w:rsidR="00607F83" w:rsidRPr="00F7440D" w:rsidRDefault="00607F83" w:rsidP="00063103">
            <w:pPr>
              <w:spacing w:after="0" w:line="360"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5408" w:type="dxa"/>
            <w:shd w:val="clear" w:color="auto" w:fill="auto"/>
          </w:tcPr>
          <w:p w14:paraId="6EA345FA"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0.527224</w:t>
            </w:r>
          </w:p>
        </w:tc>
      </w:tr>
      <w:tr w:rsidR="00607F83" w:rsidRPr="00F7440D" w14:paraId="5EDEACEC" w14:textId="77777777" w:rsidTr="00607F83">
        <w:trPr>
          <w:trHeight w:val="254"/>
        </w:trPr>
        <w:tc>
          <w:tcPr>
            <w:tcW w:w="3898" w:type="dxa"/>
            <w:shd w:val="clear" w:color="auto" w:fill="auto"/>
            <w:noWrap/>
            <w:hideMark/>
          </w:tcPr>
          <w:p w14:paraId="5C57898D" w14:textId="77777777" w:rsidR="00607F83" w:rsidRPr="00F7440D" w:rsidRDefault="00607F83" w:rsidP="00063103">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5408" w:type="dxa"/>
            <w:shd w:val="clear" w:color="auto" w:fill="auto"/>
          </w:tcPr>
          <w:p w14:paraId="59CB1482" w14:textId="77777777" w:rsidR="00607F83" w:rsidRPr="00F7440D" w:rsidRDefault="00607F83" w:rsidP="00063103">
            <w:pPr>
              <w:spacing w:after="0" w:line="360" w:lineRule="auto"/>
              <w:ind w:left="184"/>
              <w:jc w:val="both"/>
              <w:rPr>
                <w:rFonts w:ascii="Times New Roman" w:hAnsi="Times New Roman" w:cs="Times New Roman"/>
                <w:sz w:val="28"/>
                <w:szCs w:val="28"/>
              </w:rPr>
            </w:pPr>
            <w:r w:rsidRPr="00F7440D">
              <w:rPr>
                <w:rFonts w:ascii="Times New Roman" w:hAnsi="Times New Roman" w:cs="Times New Roman"/>
                <w:sz w:val="28"/>
                <w:szCs w:val="28"/>
              </w:rPr>
              <w:t>50</w:t>
            </w:r>
          </w:p>
        </w:tc>
      </w:tr>
    </w:tbl>
    <w:p w14:paraId="26978377" w14:textId="66A88B8F" w:rsidR="002A01E2" w:rsidRDefault="002A01E2" w:rsidP="00C74BC5">
      <w:pPr>
        <w:spacing w:after="0" w:line="360" w:lineRule="auto"/>
        <w:ind w:firstLine="709"/>
        <w:jc w:val="both"/>
        <w:rPr>
          <w:rFonts w:ascii="Times New Roman" w:hAnsi="Times New Roman" w:cs="Times New Roman"/>
          <w:sz w:val="28"/>
          <w:szCs w:val="28"/>
          <w:lang w:val="uk-UA"/>
        </w:rPr>
      </w:pPr>
    </w:p>
    <w:p w14:paraId="0AF84E28" w14:textId="1D9B3763" w:rsidR="00C74BC5"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У клінічній практиці це означає, що рівень МДА не можна використовувати для точного прогнозування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Підвищений рівень малонового диальдегіду спостерігається на доклінічній стадії </w:t>
      </w:r>
      <w:r w:rsidR="00307C1B" w:rsidRPr="00F7440D">
        <w:rPr>
          <w:rFonts w:ascii="Times New Roman" w:hAnsi="Times New Roman" w:cs="Times New Roman"/>
          <w:sz w:val="28"/>
          <w:szCs w:val="28"/>
          <w:lang w:val="uk-UA"/>
        </w:rPr>
        <w:t>розвитку гінгівіту, коли ще не спостерігаються такі прояви запалення</w:t>
      </w:r>
      <w:r w:rsidRPr="00F7440D">
        <w:rPr>
          <w:rFonts w:ascii="Times New Roman" w:hAnsi="Times New Roman" w:cs="Times New Roman"/>
          <w:sz w:val="28"/>
          <w:szCs w:val="28"/>
          <w:lang w:val="uk-UA"/>
        </w:rPr>
        <w:t xml:space="preserve"> як набряк, гіперемія та кровоточивість. </w:t>
      </w:r>
    </w:p>
    <w:p w14:paraId="610B2A96" w14:textId="77777777" w:rsidR="002A01E2" w:rsidRDefault="002A01E2" w:rsidP="00063103">
      <w:pPr>
        <w:spacing w:after="0" w:line="360" w:lineRule="auto"/>
        <w:rPr>
          <w:rFonts w:ascii="Times New Roman" w:hAnsi="Times New Roman"/>
          <w:sz w:val="28"/>
          <w:szCs w:val="28"/>
          <w:lang w:val="uk-UA"/>
        </w:rPr>
      </w:pPr>
    </w:p>
    <w:p w14:paraId="752CA630" w14:textId="168E8C9A" w:rsidR="00C74BC5" w:rsidRPr="00F7440D" w:rsidRDefault="00C74BC5" w:rsidP="00C74BC5">
      <w:pPr>
        <w:spacing w:after="0" w:line="360" w:lineRule="auto"/>
        <w:ind w:firstLine="709"/>
        <w:jc w:val="right"/>
        <w:rPr>
          <w:rFonts w:ascii="Times New Roman" w:hAnsi="Times New Roman"/>
          <w:sz w:val="28"/>
          <w:szCs w:val="28"/>
          <w:lang w:val="uk-UA"/>
        </w:rPr>
      </w:pPr>
      <w:r w:rsidRPr="00F7440D">
        <w:rPr>
          <w:rFonts w:ascii="Times New Roman" w:hAnsi="Times New Roman"/>
          <w:sz w:val="28"/>
          <w:szCs w:val="28"/>
          <w:lang w:val="uk-UA"/>
        </w:rPr>
        <w:t>Таблиця 8.</w:t>
      </w:r>
      <w:r>
        <w:rPr>
          <w:rFonts w:ascii="Times New Roman" w:hAnsi="Times New Roman"/>
          <w:sz w:val="28"/>
          <w:szCs w:val="28"/>
          <w:lang w:val="uk-UA"/>
        </w:rPr>
        <w:t>35</w:t>
      </w:r>
      <w:r w:rsidRPr="00F7440D">
        <w:rPr>
          <w:rFonts w:ascii="Times New Roman" w:hAnsi="Times New Roman"/>
          <w:sz w:val="28"/>
          <w:szCs w:val="28"/>
          <w:lang w:val="uk-UA"/>
        </w:rPr>
        <w:t xml:space="preserve"> </w:t>
      </w:r>
    </w:p>
    <w:p w14:paraId="4CF08389" w14:textId="2755BA51" w:rsidR="00C74BC5" w:rsidRPr="00F7440D" w:rsidRDefault="00C74BC5" w:rsidP="00C74BC5">
      <w:pPr>
        <w:spacing w:after="0" w:line="360" w:lineRule="auto"/>
        <w:jc w:val="center"/>
        <w:rPr>
          <w:rFonts w:ascii="Times New Roman" w:hAnsi="Times New Roman"/>
          <w:sz w:val="28"/>
          <w:szCs w:val="28"/>
          <w:lang w:val="uk-UA"/>
        </w:rPr>
      </w:pPr>
      <w:r w:rsidRPr="00F7440D">
        <w:rPr>
          <w:rFonts w:ascii="Times New Roman" w:hAnsi="Times New Roman"/>
          <w:sz w:val="28"/>
          <w:szCs w:val="28"/>
          <w:lang w:val="uk-UA"/>
        </w:rPr>
        <w:t xml:space="preserve">Дисперсійний аналіз регресійної статистики рівню </w:t>
      </w:r>
      <w:r w:rsidRPr="00F7440D">
        <w:rPr>
          <w:rFonts w:ascii="Times New Roman" w:hAnsi="Times New Roman"/>
          <w:sz w:val="28"/>
          <w:szCs w:val="28"/>
        </w:rPr>
        <w:t>SBI</w:t>
      </w:r>
      <w:r w:rsidRPr="00F7440D">
        <w:rPr>
          <w:rFonts w:ascii="Times New Roman" w:hAnsi="Times New Roman"/>
          <w:sz w:val="28"/>
          <w:szCs w:val="28"/>
          <w:lang w:val="uk-UA"/>
        </w:rPr>
        <w:t xml:space="preserve"> та МДА у </w:t>
      </w:r>
      <w:r>
        <w:rPr>
          <w:rFonts w:ascii="Times New Roman" w:hAnsi="Times New Roman"/>
          <w:sz w:val="28"/>
          <w:szCs w:val="28"/>
          <w:lang w:val="uk-UA"/>
        </w:rPr>
        <w:t>другій</w:t>
      </w:r>
      <w:r w:rsidRPr="00F7440D">
        <w:rPr>
          <w:rFonts w:ascii="Times New Roman" w:hAnsi="Times New Roman"/>
          <w:sz w:val="28"/>
          <w:szCs w:val="28"/>
          <w:lang w:val="uk-UA"/>
        </w:rPr>
        <w:t xml:space="preserve"> групі пацієнтів</w:t>
      </w:r>
    </w:p>
    <w:tbl>
      <w:tblPr>
        <w:tblStyle w:val="TableGrid"/>
        <w:tblW w:w="9679" w:type="dxa"/>
        <w:tblLook w:val="04A0" w:firstRow="1" w:lastRow="0" w:firstColumn="1" w:lastColumn="0" w:noHBand="0" w:noVBand="1"/>
      </w:tblPr>
      <w:tblGrid>
        <w:gridCol w:w="1393"/>
        <w:gridCol w:w="720"/>
        <w:gridCol w:w="1848"/>
        <w:gridCol w:w="1704"/>
        <w:gridCol w:w="2083"/>
        <w:gridCol w:w="1931"/>
      </w:tblGrid>
      <w:tr w:rsidR="00C74BC5" w:rsidRPr="00C74BC5" w14:paraId="31522204" w14:textId="77777777" w:rsidTr="00C74BC5">
        <w:trPr>
          <w:trHeight w:val="269"/>
        </w:trPr>
        <w:tc>
          <w:tcPr>
            <w:tcW w:w="1393" w:type="dxa"/>
            <w:noWrap/>
            <w:hideMark/>
          </w:tcPr>
          <w:p w14:paraId="41F3019A"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 </w:t>
            </w:r>
          </w:p>
        </w:tc>
        <w:tc>
          <w:tcPr>
            <w:tcW w:w="720" w:type="dxa"/>
            <w:noWrap/>
            <w:hideMark/>
          </w:tcPr>
          <w:p w14:paraId="22913AD4"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df</w:t>
            </w:r>
          </w:p>
        </w:tc>
        <w:tc>
          <w:tcPr>
            <w:tcW w:w="1848" w:type="dxa"/>
            <w:noWrap/>
            <w:hideMark/>
          </w:tcPr>
          <w:p w14:paraId="388A8E3D"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SS</w:t>
            </w:r>
          </w:p>
        </w:tc>
        <w:tc>
          <w:tcPr>
            <w:tcW w:w="1704" w:type="dxa"/>
            <w:noWrap/>
            <w:hideMark/>
          </w:tcPr>
          <w:p w14:paraId="367F8EFB"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MS</w:t>
            </w:r>
          </w:p>
        </w:tc>
        <w:tc>
          <w:tcPr>
            <w:tcW w:w="2083" w:type="dxa"/>
            <w:noWrap/>
            <w:hideMark/>
          </w:tcPr>
          <w:p w14:paraId="569CFE56" w14:textId="77777777" w:rsidR="00C74BC5" w:rsidRPr="00C74BC5" w:rsidRDefault="00C74BC5" w:rsidP="002A01E2">
            <w:pPr>
              <w:spacing w:line="276" w:lineRule="auto"/>
              <w:jc w:val="center"/>
              <w:rPr>
                <w:rFonts w:eastAsia="Times New Roman"/>
                <w:i/>
                <w:iCs/>
                <w:sz w:val="28"/>
                <w:szCs w:val="28"/>
                <w:lang w:val="uk-UA"/>
              </w:rPr>
            </w:pPr>
            <w:r w:rsidRPr="00C74BC5">
              <w:rPr>
                <w:rFonts w:eastAsia="Times New Roman"/>
                <w:i/>
                <w:iCs/>
                <w:sz w:val="28"/>
                <w:szCs w:val="28"/>
              </w:rPr>
              <w:t>F</w:t>
            </w:r>
          </w:p>
        </w:tc>
        <w:tc>
          <w:tcPr>
            <w:tcW w:w="1931" w:type="dxa"/>
            <w:noWrap/>
            <w:hideMark/>
          </w:tcPr>
          <w:p w14:paraId="5FD60A33" w14:textId="77777777" w:rsidR="00C74BC5" w:rsidRPr="00C74BC5" w:rsidRDefault="00C74BC5" w:rsidP="002A01E2">
            <w:pPr>
              <w:spacing w:line="276" w:lineRule="auto"/>
              <w:jc w:val="center"/>
              <w:rPr>
                <w:rFonts w:eastAsia="Times New Roman"/>
                <w:i/>
                <w:iCs/>
                <w:sz w:val="28"/>
                <w:szCs w:val="28"/>
              </w:rPr>
            </w:pPr>
            <w:r w:rsidRPr="00C74BC5">
              <w:rPr>
                <w:rFonts w:eastAsia="Times New Roman"/>
                <w:i/>
                <w:iCs/>
                <w:sz w:val="28"/>
                <w:szCs w:val="28"/>
                <w:lang w:val="uk-UA"/>
              </w:rPr>
              <w:t>Значиміс</w:t>
            </w:r>
            <w:r w:rsidRPr="00C74BC5">
              <w:rPr>
                <w:rFonts w:eastAsia="Times New Roman"/>
                <w:i/>
                <w:iCs/>
                <w:sz w:val="28"/>
                <w:szCs w:val="28"/>
              </w:rPr>
              <w:t>ть F</w:t>
            </w:r>
          </w:p>
        </w:tc>
      </w:tr>
      <w:tr w:rsidR="00C74BC5" w:rsidRPr="00C74BC5" w14:paraId="6E02B37F" w14:textId="77777777" w:rsidTr="00C74BC5">
        <w:trPr>
          <w:trHeight w:val="269"/>
        </w:trPr>
        <w:tc>
          <w:tcPr>
            <w:tcW w:w="1393" w:type="dxa"/>
            <w:noWrap/>
            <w:hideMark/>
          </w:tcPr>
          <w:p w14:paraId="36EFC4FA"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Регресія</w:t>
            </w:r>
          </w:p>
        </w:tc>
        <w:tc>
          <w:tcPr>
            <w:tcW w:w="720" w:type="dxa"/>
            <w:noWrap/>
            <w:hideMark/>
          </w:tcPr>
          <w:p w14:paraId="27647646" w14:textId="7CDBB72F" w:rsidR="00C74BC5" w:rsidRPr="00C74BC5" w:rsidRDefault="00C74BC5" w:rsidP="002A01E2">
            <w:pPr>
              <w:spacing w:line="276" w:lineRule="auto"/>
              <w:jc w:val="right"/>
              <w:rPr>
                <w:rFonts w:eastAsia="Times New Roman" w:cs="Times New Roman"/>
                <w:sz w:val="28"/>
                <w:szCs w:val="28"/>
              </w:rPr>
            </w:pPr>
            <w:r w:rsidRPr="00C74BC5">
              <w:rPr>
                <w:sz w:val="28"/>
                <w:szCs w:val="28"/>
              </w:rPr>
              <w:t>1</w:t>
            </w:r>
          </w:p>
        </w:tc>
        <w:tc>
          <w:tcPr>
            <w:tcW w:w="1848" w:type="dxa"/>
            <w:noWrap/>
            <w:hideMark/>
          </w:tcPr>
          <w:p w14:paraId="541A31E5" w14:textId="34AA4C01" w:rsidR="00C74BC5" w:rsidRPr="00C74BC5" w:rsidRDefault="00C74BC5" w:rsidP="002A01E2">
            <w:pPr>
              <w:spacing w:line="276" w:lineRule="auto"/>
              <w:jc w:val="right"/>
              <w:rPr>
                <w:rFonts w:eastAsia="Times New Roman" w:cs="Times New Roman"/>
                <w:sz w:val="28"/>
                <w:szCs w:val="28"/>
              </w:rPr>
            </w:pPr>
            <w:r w:rsidRPr="00C74BC5">
              <w:rPr>
                <w:sz w:val="28"/>
                <w:szCs w:val="28"/>
              </w:rPr>
              <w:t>0.002093742</w:t>
            </w:r>
          </w:p>
        </w:tc>
        <w:tc>
          <w:tcPr>
            <w:tcW w:w="1704" w:type="dxa"/>
            <w:noWrap/>
            <w:hideMark/>
          </w:tcPr>
          <w:p w14:paraId="0BF90F90" w14:textId="226EC1C8" w:rsidR="00C74BC5" w:rsidRPr="00C74BC5" w:rsidRDefault="00C74BC5" w:rsidP="002A01E2">
            <w:pPr>
              <w:spacing w:line="276" w:lineRule="auto"/>
              <w:jc w:val="right"/>
              <w:rPr>
                <w:rFonts w:eastAsia="Times New Roman" w:cs="Times New Roman"/>
                <w:sz w:val="28"/>
                <w:szCs w:val="28"/>
              </w:rPr>
            </w:pPr>
            <w:r w:rsidRPr="00C74BC5">
              <w:rPr>
                <w:sz w:val="28"/>
                <w:szCs w:val="28"/>
              </w:rPr>
              <w:t>0.002093742</w:t>
            </w:r>
          </w:p>
        </w:tc>
        <w:tc>
          <w:tcPr>
            <w:tcW w:w="2083" w:type="dxa"/>
            <w:noWrap/>
            <w:hideMark/>
          </w:tcPr>
          <w:p w14:paraId="6CD6B3F8" w14:textId="20EDD114" w:rsidR="00C74BC5" w:rsidRPr="00C74BC5" w:rsidRDefault="00C74BC5" w:rsidP="002A01E2">
            <w:pPr>
              <w:spacing w:line="276" w:lineRule="auto"/>
              <w:jc w:val="right"/>
              <w:rPr>
                <w:rFonts w:eastAsia="Times New Roman" w:cs="Times New Roman"/>
                <w:sz w:val="28"/>
                <w:szCs w:val="28"/>
              </w:rPr>
            </w:pPr>
            <w:r w:rsidRPr="00C74BC5">
              <w:rPr>
                <w:sz w:val="28"/>
                <w:szCs w:val="28"/>
              </w:rPr>
              <w:t>0.007532402</w:t>
            </w:r>
          </w:p>
        </w:tc>
        <w:tc>
          <w:tcPr>
            <w:tcW w:w="1931" w:type="dxa"/>
            <w:noWrap/>
            <w:hideMark/>
          </w:tcPr>
          <w:p w14:paraId="03C314D4" w14:textId="245FCA64" w:rsidR="00C74BC5" w:rsidRPr="00C74BC5" w:rsidRDefault="00C74BC5" w:rsidP="002A01E2">
            <w:pPr>
              <w:spacing w:line="276" w:lineRule="auto"/>
              <w:jc w:val="right"/>
              <w:rPr>
                <w:rFonts w:eastAsia="Times New Roman" w:cs="Times New Roman"/>
                <w:sz w:val="28"/>
                <w:szCs w:val="28"/>
              </w:rPr>
            </w:pPr>
            <w:r w:rsidRPr="00C74BC5">
              <w:rPr>
                <w:sz w:val="28"/>
                <w:szCs w:val="28"/>
              </w:rPr>
              <w:t>0.931199948</w:t>
            </w:r>
          </w:p>
        </w:tc>
      </w:tr>
      <w:tr w:rsidR="00C74BC5" w:rsidRPr="00C74BC5" w14:paraId="0D68D428" w14:textId="77777777" w:rsidTr="00C74BC5">
        <w:trPr>
          <w:trHeight w:val="269"/>
        </w:trPr>
        <w:tc>
          <w:tcPr>
            <w:tcW w:w="1393" w:type="dxa"/>
            <w:noWrap/>
            <w:hideMark/>
          </w:tcPr>
          <w:p w14:paraId="78AD0EF6"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Залишок</w:t>
            </w:r>
          </w:p>
        </w:tc>
        <w:tc>
          <w:tcPr>
            <w:tcW w:w="720" w:type="dxa"/>
            <w:noWrap/>
            <w:hideMark/>
          </w:tcPr>
          <w:p w14:paraId="2223EF13" w14:textId="115A51AB" w:rsidR="00C74BC5" w:rsidRPr="00C74BC5" w:rsidRDefault="00C74BC5" w:rsidP="002A01E2">
            <w:pPr>
              <w:spacing w:line="276" w:lineRule="auto"/>
              <w:jc w:val="right"/>
              <w:rPr>
                <w:rFonts w:eastAsia="Times New Roman" w:cs="Times New Roman"/>
                <w:sz w:val="28"/>
                <w:szCs w:val="28"/>
              </w:rPr>
            </w:pPr>
            <w:r w:rsidRPr="00C74BC5">
              <w:rPr>
                <w:sz w:val="28"/>
                <w:szCs w:val="28"/>
              </w:rPr>
              <w:t>48</w:t>
            </w:r>
          </w:p>
        </w:tc>
        <w:tc>
          <w:tcPr>
            <w:tcW w:w="1848" w:type="dxa"/>
            <w:noWrap/>
            <w:hideMark/>
          </w:tcPr>
          <w:p w14:paraId="5797818B" w14:textId="6862B95C" w:rsidR="00C74BC5" w:rsidRPr="00C74BC5" w:rsidRDefault="00C74BC5" w:rsidP="002A01E2">
            <w:pPr>
              <w:spacing w:line="276" w:lineRule="auto"/>
              <w:jc w:val="right"/>
              <w:rPr>
                <w:rFonts w:eastAsia="Times New Roman" w:cs="Times New Roman"/>
                <w:sz w:val="28"/>
                <w:szCs w:val="28"/>
              </w:rPr>
            </w:pPr>
            <w:r w:rsidRPr="00C74BC5">
              <w:rPr>
                <w:sz w:val="28"/>
                <w:szCs w:val="28"/>
              </w:rPr>
              <w:t>13.34230626</w:t>
            </w:r>
          </w:p>
        </w:tc>
        <w:tc>
          <w:tcPr>
            <w:tcW w:w="1704" w:type="dxa"/>
            <w:noWrap/>
            <w:hideMark/>
          </w:tcPr>
          <w:p w14:paraId="6A51A2EF" w14:textId="4A025200" w:rsidR="00C74BC5" w:rsidRPr="00C74BC5" w:rsidRDefault="00C74BC5" w:rsidP="002A01E2">
            <w:pPr>
              <w:spacing w:line="276" w:lineRule="auto"/>
              <w:jc w:val="right"/>
              <w:rPr>
                <w:rFonts w:eastAsia="Times New Roman" w:cs="Times New Roman"/>
                <w:sz w:val="28"/>
                <w:szCs w:val="28"/>
              </w:rPr>
            </w:pPr>
            <w:r w:rsidRPr="00C74BC5">
              <w:rPr>
                <w:sz w:val="28"/>
                <w:szCs w:val="28"/>
              </w:rPr>
              <w:t>0.277964714</w:t>
            </w:r>
          </w:p>
        </w:tc>
        <w:tc>
          <w:tcPr>
            <w:tcW w:w="2083" w:type="dxa"/>
            <w:noWrap/>
            <w:hideMark/>
          </w:tcPr>
          <w:p w14:paraId="58E4AB2D" w14:textId="77777777" w:rsidR="00C74BC5" w:rsidRPr="00C74BC5" w:rsidRDefault="00C74BC5" w:rsidP="002A01E2">
            <w:pPr>
              <w:spacing w:line="276" w:lineRule="auto"/>
              <w:jc w:val="right"/>
              <w:rPr>
                <w:rFonts w:eastAsia="Times New Roman" w:cs="Times New Roman"/>
                <w:sz w:val="28"/>
                <w:szCs w:val="28"/>
              </w:rPr>
            </w:pPr>
          </w:p>
        </w:tc>
        <w:tc>
          <w:tcPr>
            <w:tcW w:w="1931" w:type="dxa"/>
            <w:noWrap/>
            <w:hideMark/>
          </w:tcPr>
          <w:p w14:paraId="5787BCF4" w14:textId="77777777" w:rsidR="00C74BC5" w:rsidRPr="00C74BC5" w:rsidRDefault="00C74BC5" w:rsidP="002A01E2">
            <w:pPr>
              <w:spacing w:line="276" w:lineRule="auto"/>
              <w:rPr>
                <w:rFonts w:eastAsia="Times New Roman" w:cs="Times New Roman"/>
                <w:sz w:val="28"/>
                <w:szCs w:val="28"/>
              </w:rPr>
            </w:pPr>
          </w:p>
        </w:tc>
      </w:tr>
      <w:tr w:rsidR="00C74BC5" w:rsidRPr="00C74BC5" w14:paraId="5096981E" w14:textId="77777777" w:rsidTr="00C74BC5">
        <w:trPr>
          <w:trHeight w:val="284"/>
        </w:trPr>
        <w:tc>
          <w:tcPr>
            <w:tcW w:w="1393" w:type="dxa"/>
            <w:noWrap/>
            <w:hideMark/>
          </w:tcPr>
          <w:p w14:paraId="099FAB25" w14:textId="77777777" w:rsidR="00C74BC5" w:rsidRPr="00C74BC5" w:rsidRDefault="00C74BC5" w:rsidP="00BF632A">
            <w:pPr>
              <w:spacing w:before="100" w:beforeAutospacing="1" w:line="276" w:lineRule="auto"/>
              <w:rPr>
                <w:rFonts w:eastAsiaTheme="minorHAnsi" w:cstheme="minorBidi"/>
                <w:sz w:val="28"/>
                <w:szCs w:val="28"/>
                <w:lang w:val="uk-UA"/>
              </w:rPr>
            </w:pPr>
            <w:r w:rsidRPr="00C74BC5">
              <w:rPr>
                <w:rFonts w:eastAsiaTheme="minorHAnsi" w:cstheme="minorBidi"/>
                <w:sz w:val="28"/>
                <w:szCs w:val="28"/>
                <w:lang w:val="uk-UA"/>
              </w:rPr>
              <w:t>Разом</w:t>
            </w:r>
          </w:p>
        </w:tc>
        <w:tc>
          <w:tcPr>
            <w:tcW w:w="720" w:type="dxa"/>
            <w:noWrap/>
            <w:hideMark/>
          </w:tcPr>
          <w:p w14:paraId="4D756F26" w14:textId="55E6323C" w:rsidR="00C74BC5" w:rsidRPr="00C74BC5" w:rsidRDefault="00C74BC5" w:rsidP="00BF632A">
            <w:pPr>
              <w:spacing w:before="100" w:beforeAutospacing="1" w:line="276" w:lineRule="auto"/>
              <w:jc w:val="right"/>
              <w:rPr>
                <w:rFonts w:eastAsia="Times New Roman" w:cs="Times New Roman"/>
                <w:sz w:val="28"/>
                <w:szCs w:val="28"/>
              </w:rPr>
            </w:pPr>
            <w:r w:rsidRPr="00C74BC5">
              <w:rPr>
                <w:sz w:val="28"/>
                <w:szCs w:val="28"/>
              </w:rPr>
              <w:t>49</w:t>
            </w:r>
          </w:p>
        </w:tc>
        <w:tc>
          <w:tcPr>
            <w:tcW w:w="1848" w:type="dxa"/>
            <w:noWrap/>
            <w:hideMark/>
          </w:tcPr>
          <w:p w14:paraId="2D35F44D" w14:textId="65771B6D" w:rsidR="00C74BC5" w:rsidRPr="00C74BC5" w:rsidRDefault="00C74BC5" w:rsidP="00BF632A">
            <w:pPr>
              <w:spacing w:before="100" w:beforeAutospacing="1" w:line="276" w:lineRule="auto"/>
              <w:jc w:val="right"/>
              <w:rPr>
                <w:rFonts w:eastAsia="Times New Roman" w:cs="Times New Roman"/>
                <w:sz w:val="28"/>
                <w:szCs w:val="28"/>
              </w:rPr>
            </w:pPr>
            <w:r w:rsidRPr="00C74BC5">
              <w:rPr>
                <w:sz w:val="28"/>
                <w:szCs w:val="28"/>
              </w:rPr>
              <w:t>13.3444</w:t>
            </w:r>
          </w:p>
        </w:tc>
        <w:tc>
          <w:tcPr>
            <w:tcW w:w="1704" w:type="dxa"/>
            <w:noWrap/>
            <w:hideMark/>
          </w:tcPr>
          <w:p w14:paraId="09E9EC3E" w14:textId="2563FF7D" w:rsidR="00C74BC5" w:rsidRPr="00C74BC5" w:rsidRDefault="00C74BC5" w:rsidP="00BF632A">
            <w:pPr>
              <w:spacing w:before="100" w:beforeAutospacing="1" w:line="276" w:lineRule="auto"/>
              <w:rPr>
                <w:rFonts w:eastAsia="Times New Roman" w:cs="Times New Roman"/>
                <w:sz w:val="28"/>
                <w:szCs w:val="28"/>
              </w:rPr>
            </w:pPr>
          </w:p>
        </w:tc>
        <w:tc>
          <w:tcPr>
            <w:tcW w:w="2083" w:type="dxa"/>
            <w:noWrap/>
            <w:hideMark/>
          </w:tcPr>
          <w:p w14:paraId="6E18B7D3" w14:textId="084D1E8D" w:rsidR="00C74BC5" w:rsidRPr="00C74BC5" w:rsidRDefault="00C74BC5" w:rsidP="00BF632A">
            <w:pPr>
              <w:spacing w:before="100" w:beforeAutospacing="1" w:line="276" w:lineRule="auto"/>
              <w:rPr>
                <w:rFonts w:eastAsia="Times New Roman" w:cs="Times New Roman"/>
                <w:sz w:val="28"/>
                <w:szCs w:val="28"/>
              </w:rPr>
            </w:pPr>
          </w:p>
        </w:tc>
        <w:tc>
          <w:tcPr>
            <w:tcW w:w="1931" w:type="dxa"/>
            <w:noWrap/>
            <w:hideMark/>
          </w:tcPr>
          <w:p w14:paraId="4551076C" w14:textId="1199CD49" w:rsidR="00C74BC5" w:rsidRPr="00C74BC5" w:rsidRDefault="00C74BC5" w:rsidP="00BF632A">
            <w:pPr>
              <w:spacing w:before="100" w:beforeAutospacing="1" w:line="276" w:lineRule="auto"/>
              <w:rPr>
                <w:rFonts w:eastAsia="Times New Roman" w:cs="Times New Roman"/>
                <w:sz w:val="28"/>
                <w:szCs w:val="28"/>
              </w:rPr>
            </w:pPr>
          </w:p>
        </w:tc>
      </w:tr>
    </w:tbl>
    <w:p w14:paraId="3C56A797" w14:textId="2D1C6159" w:rsidR="00C74BC5" w:rsidRPr="00F7440D" w:rsidRDefault="00C74BC5" w:rsidP="00BF632A">
      <w:pPr>
        <w:spacing w:before="100" w:beforeAutospacing="1" w:after="0" w:line="360" w:lineRule="auto"/>
        <w:jc w:val="right"/>
        <w:rPr>
          <w:rFonts w:ascii="Times New Roman" w:hAnsi="Times New Roman"/>
          <w:sz w:val="28"/>
          <w:szCs w:val="28"/>
          <w:lang w:val="uk-UA"/>
        </w:rPr>
      </w:pPr>
      <w:r w:rsidRPr="00F7440D">
        <w:rPr>
          <w:rFonts w:ascii="Times New Roman" w:hAnsi="Times New Roman"/>
          <w:sz w:val="28"/>
          <w:szCs w:val="28"/>
          <w:lang w:val="uk-UA"/>
        </w:rPr>
        <w:t>Таблиця 8.</w:t>
      </w:r>
      <w:r>
        <w:rPr>
          <w:rFonts w:ascii="Times New Roman" w:hAnsi="Times New Roman"/>
          <w:sz w:val="28"/>
          <w:szCs w:val="28"/>
          <w:lang w:val="uk-UA"/>
        </w:rPr>
        <w:t>36</w:t>
      </w:r>
      <w:r w:rsidRPr="00F7440D">
        <w:rPr>
          <w:rFonts w:ascii="Times New Roman" w:hAnsi="Times New Roman"/>
          <w:sz w:val="28"/>
          <w:szCs w:val="28"/>
          <w:lang w:val="uk-UA"/>
        </w:rPr>
        <w:t xml:space="preserve"> </w:t>
      </w:r>
    </w:p>
    <w:p w14:paraId="63682CE3" w14:textId="77777777" w:rsidR="00C74BC5" w:rsidRPr="00F7440D" w:rsidRDefault="00C74BC5" w:rsidP="00C74BC5">
      <w:pPr>
        <w:spacing w:after="0" w:line="360" w:lineRule="auto"/>
        <w:ind w:firstLine="709"/>
        <w:jc w:val="center"/>
        <w:rPr>
          <w:rFonts w:ascii="Times New Roman" w:hAnsi="Times New Roman"/>
          <w:sz w:val="28"/>
          <w:szCs w:val="28"/>
          <w:lang w:val="uk-UA"/>
        </w:rPr>
      </w:pPr>
      <w:r w:rsidRPr="00F7440D">
        <w:rPr>
          <w:rFonts w:ascii="Times New Roman" w:hAnsi="Times New Roman"/>
          <w:sz w:val="28"/>
          <w:szCs w:val="28"/>
          <w:lang w:val="uk-UA"/>
        </w:rPr>
        <w:t>Визначення коефіцієнтів регресійної статистики</w:t>
      </w:r>
    </w:p>
    <w:tbl>
      <w:tblPr>
        <w:tblStyle w:val="TableGrid"/>
        <w:tblW w:w="9679" w:type="dxa"/>
        <w:tblLook w:val="04A0" w:firstRow="1" w:lastRow="0" w:firstColumn="1" w:lastColumn="0" w:noHBand="0" w:noVBand="1"/>
      </w:tblPr>
      <w:tblGrid>
        <w:gridCol w:w="1981"/>
        <w:gridCol w:w="1970"/>
        <w:gridCol w:w="1853"/>
        <w:gridCol w:w="1846"/>
        <w:gridCol w:w="2029"/>
      </w:tblGrid>
      <w:tr w:rsidR="00C74BC5" w:rsidRPr="00C74BC5" w14:paraId="14E1659C" w14:textId="77777777" w:rsidTr="00C74BC5">
        <w:trPr>
          <w:trHeight w:val="249"/>
        </w:trPr>
        <w:tc>
          <w:tcPr>
            <w:tcW w:w="1981" w:type="dxa"/>
            <w:noWrap/>
            <w:hideMark/>
          </w:tcPr>
          <w:p w14:paraId="2E8EE2EC" w14:textId="77777777" w:rsidR="00C74BC5" w:rsidRPr="00C74BC5" w:rsidRDefault="00C74BC5" w:rsidP="002A01E2">
            <w:pPr>
              <w:spacing w:line="276" w:lineRule="auto"/>
              <w:jc w:val="center"/>
              <w:rPr>
                <w:rFonts w:eastAsia="Times New Roman"/>
                <w:i/>
                <w:iCs/>
                <w:sz w:val="28"/>
                <w:szCs w:val="28"/>
              </w:rPr>
            </w:pPr>
            <w:r w:rsidRPr="00C74BC5">
              <w:rPr>
                <w:rFonts w:eastAsia="Times New Roman"/>
                <w:i/>
                <w:iCs/>
                <w:sz w:val="28"/>
                <w:szCs w:val="28"/>
              </w:rPr>
              <w:t> </w:t>
            </w:r>
          </w:p>
        </w:tc>
        <w:tc>
          <w:tcPr>
            <w:tcW w:w="1970" w:type="dxa"/>
            <w:noWrap/>
            <w:hideMark/>
          </w:tcPr>
          <w:p w14:paraId="3AA44523" w14:textId="77777777" w:rsidR="00C74BC5" w:rsidRPr="00C74BC5" w:rsidRDefault="00C74BC5" w:rsidP="002A01E2">
            <w:pPr>
              <w:spacing w:line="276" w:lineRule="auto"/>
              <w:rPr>
                <w:rFonts w:eastAsiaTheme="minorHAnsi" w:cstheme="minorBidi"/>
                <w:i/>
                <w:iCs/>
                <w:sz w:val="28"/>
                <w:szCs w:val="28"/>
                <w:lang w:val="uk-UA"/>
              </w:rPr>
            </w:pPr>
            <w:r w:rsidRPr="00C74BC5">
              <w:rPr>
                <w:rFonts w:eastAsiaTheme="minorHAnsi" w:cstheme="minorBidi"/>
                <w:i/>
                <w:iCs/>
                <w:sz w:val="28"/>
                <w:szCs w:val="28"/>
                <w:lang w:val="uk-UA"/>
              </w:rPr>
              <w:t>Коефіцієнти</w:t>
            </w:r>
          </w:p>
        </w:tc>
        <w:tc>
          <w:tcPr>
            <w:tcW w:w="1853" w:type="dxa"/>
            <w:noWrap/>
            <w:hideMark/>
          </w:tcPr>
          <w:p w14:paraId="4AFD1B8B" w14:textId="77777777" w:rsidR="00C74BC5" w:rsidRPr="00C74BC5" w:rsidRDefault="00C74BC5" w:rsidP="002A01E2">
            <w:pPr>
              <w:spacing w:line="276" w:lineRule="auto"/>
              <w:rPr>
                <w:rFonts w:eastAsiaTheme="minorHAnsi" w:cstheme="minorBidi"/>
                <w:i/>
                <w:iCs/>
                <w:sz w:val="28"/>
                <w:szCs w:val="28"/>
                <w:lang w:val="uk-UA"/>
              </w:rPr>
            </w:pPr>
            <w:r w:rsidRPr="00C74BC5">
              <w:rPr>
                <w:rFonts w:eastAsiaTheme="minorHAnsi" w:cstheme="minorBidi"/>
                <w:i/>
                <w:iCs/>
                <w:sz w:val="28"/>
                <w:szCs w:val="28"/>
                <w:lang w:val="uk-UA"/>
              </w:rPr>
              <w:t>Стандартна помилка</w:t>
            </w:r>
          </w:p>
        </w:tc>
        <w:tc>
          <w:tcPr>
            <w:tcW w:w="1846" w:type="dxa"/>
            <w:noWrap/>
            <w:hideMark/>
          </w:tcPr>
          <w:p w14:paraId="6B167670" w14:textId="77777777" w:rsidR="00C74BC5" w:rsidRPr="00C74BC5" w:rsidRDefault="00C74BC5" w:rsidP="002A01E2">
            <w:pPr>
              <w:spacing w:line="276" w:lineRule="auto"/>
              <w:ind w:firstLine="709"/>
              <w:rPr>
                <w:rFonts w:eastAsiaTheme="minorHAnsi" w:cstheme="minorBidi"/>
                <w:i/>
                <w:iCs/>
                <w:sz w:val="28"/>
                <w:szCs w:val="28"/>
              </w:rPr>
            </w:pPr>
            <w:r w:rsidRPr="00C74BC5">
              <w:rPr>
                <w:rFonts w:eastAsiaTheme="minorHAnsi" w:cstheme="minorBidi"/>
                <w:i/>
                <w:iCs/>
                <w:sz w:val="28"/>
                <w:szCs w:val="28"/>
              </w:rPr>
              <w:t>t-статистика</w:t>
            </w:r>
          </w:p>
        </w:tc>
        <w:tc>
          <w:tcPr>
            <w:tcW w:w="2029" w:type="dxa"/>
            <w:noWrap/>
            <w:hideMark/>
          </w:tcPr>
          <w:p w14:paraId="57CAA9D0" w14:textId="77777777" w:rsidR="00C74BC5" w:rsidRPr="00C74BC5" w:rsidRDefault="00C74BC5" w:rsidP="002A01E2">
            <w:pPr>
              <w:spacing w:line="276" w:lineRule="auto"/>
              <w:ind w:firstLine="709"/>
              <w:rPr>
                <w:rFonts w:eastAsiaTheme="minorHAnsi" w:cstheme="minorBidi"/>
                <w:i/>
                <w:iCs/>
                <w:sz w:val="28"/>
                <w:szCs w:val="28"/>
                <w:lang w:val="uk-UA"/>
              </w:rPr>
            </w:pPr>
            <w:r w:rsidRPr="00C74BC5">
              <w:rPr>
                <w:rFonts w:eastAsiaTheme="minorHAnsi" w:cstheme="minorBidi"/>
                <w:i/>
                <w:iCs/>
                <w:sz w:val="28"/>
                <w:szCs w:val="28"/>
              </w:rPr>
              <w:t>P-</w:t>
            </w:r>
            <w:r w:rsidRPr="00C74BC5">
              <w:rPr>
                <w:rFonts w:eastAsiaTheme="minorHAnsi" w:cstheme="minorBidi"/>
                <w:i/>
                <w:iCs/>
                <w:sz w:val="28"/>
                <w:szCs w:val="28"/>
                <w:lang w:val="uk-UA"/>
              </w:rPr>
              <w:t>значення</w:t>
            </w:r>
          </w:p>
        </w:tc>
      </w:tr>
      <w:tr w:rsidR="002A01E2" w:rsidRPr="00C74BC5" w14:paraId="729D126B" w14:textId="77777777" w:rsidTr="00C74BC5">
        <w:trPr>
          <w:trHeight w:val="249"/>
        </w:trPr>
        <w:tc>
          <w:tcPr>
            <w:tcW w:w="1981" w:type="dxa"/>
            <w:noWrap/>
            <w:hideMark/>
          </w:tcPr>
          <w:p w14:paraId="2603CB5E" w14:textId="77777777" w:rsidR="00C74BC5" w:rsidRPr="00C74BC5" w:rsidRDefault="00C74BC5" w:rsidP="002A01E2">
            <w:pPr>
              <w:spacing w:line="276" w:lineRule="auto"/>
              <w:rPr>
                <w:rFonts w:eastAsiaTheme="minorHAnsi" w:cstheme="minorBidi"/>
                <w:sz w:val="28"/>
                <w:szCs w:val="28"/>
              </w:rPr>
            </w:pPr>
            <w:r w:rsidRPr="00C74BC5">
              <w:rPr>
                <w:rFonts w:eastAsiaTheme="minorHAnsi" w:cstheme="minorBidi"/>
                <w:sz w:val="28"/>
                <w:szCs w:val="28"/>
              </w:rPr>
              <w:t>Y-пересічення</w:t>
            </w:r>
          </w:p>
        </w:tc>
        <w:tc>
          <w:tcPr>
            <w:tcW w:w="1970" w:type="dxa"/>
            <w:noWrap/>
            <w:hideMark/>
          </w:tcPr>
          <w:p w14:paraId="7A9DA9BD" w14:textId="4010B274" w:rsidR="00C74BC5" w:rsidRPr="00C74BC5" w:rsidRDefault="00C74BC5" w:rsidP="002A01E2">
            <w:pPr>
              <w:spacing w:line="276" w:lineRule="auto"/>
              <w:rPr>
                <w:rFonts w:eastAsia="Times New Roman" w:cs="Times New Roman"/>
                <w:sz w:val="28"/>
                <w:szCs w:val="28"/>
              </w:rPr>
            </w:pPr>
            <w:r w:rsidRPr="00C74BC5">
              <w:rPr>
                <w:sz w:val="28"/>
                <w:szCs w:val="28"/>
              </w:rPr>
              <w:t>0.50246508</w:t>
            </w:r>
          </w:p>
        </w:tc>
        <w:tc>
          <w:tcPr>
            <w:tcW w:w="1853" w:type="dxa"/>
            <w:noWrap/>
            <w:hideMark/>
          </w:tcPr>
          <w:p w14:paraId="0D85BAA3" w14:textId="5FFA056A" w:rsidR="00C74BC5" w:rsidRPr="00C74BC5" w:rsidRDefault="00C74BC5" w:rsidP="002A01E2">
            <w:pPr>
              <w:spacing w:line="276" w:lineRule="auto"/>
              <w:rPr>
                <w:rFonts w:eastAsia="Times New Roman" w:cs="Times New Roman"/>
                <w:sz w:val="28"/>
                <w:szCs w:val="28"/>
              </w:rPr>
            </w:pPr>
            <w:r w:rsidRPr="00C74BC5">
              <w:rPr>
                <w:sz w:val="28"/>
                <w:szCs w:val="28"/>
              </w:rPr>
              <w:t>0.575597987</w:t>
            </w:r>
          </w:p>
        </w:tc>
        <w:tc>
          <w:tcPr>
            <w:tcW w:w="1846" w:type="dxa"/>
            <w:noWrap/>
            <w:hideMark/>
          </w:tcPr>
          <w:p w14:paraId="5E55C62C" w14:textId="67EF58C8" w:rsidR="00C74BC5" w:rsidRPr="00C74BC5" w:rsidRDefault="00C74BC5" w:rsidP="002A01E2">
            <w:pPr>
              <w:spacing w:line="276" w:lineRule="auto"/>
              <w:rPr>
                <w:rFonts w:eastAsia="Times New Roman" w:cs="Times New Roman"/>
                <w:sz w:val="28"/>
                <w:szCs w:val="28"/>
              </w:rPr>
            </w:pPr>
            <w:r w:rsidRPr="00C74BC5">
              <w:rPr>
                <w:sz w:val="28"/>
                <w:szCs w:val="28"/>
              </w:rPr>
              <w:t>0.87294447</w:t>
            </w:r>
          </w:p>
        </w:tc>
        <w:tc>
          <w:tcPr>
            <w:tcW w:w="2029" w:type="dxa"/>
            <w:noWrap/>
            <w:hideMark/>
          </w:tcPr>
          <w:p w14:paraId="1BA0605A" w14:textId="4F13F566" w:rsidR="00C74BC5" w:rsidRPr="00C74BC5" w:rsidRDefault="00C74BC5" w:rsidP="002A01E2">
            <w:pPr>
              <w:spacing w:line="276" w:lineRule="auto"/>
              <w:jc w:val="right"/>
              <w:rPr>
                <w:rFonts w:eastAsia="Times New Roman" w:cs="Times New Roman"/>
                <w:sz w:val="28"/>
                <w:szCs w:val="28"/>
              </w:rPr>
            </w:pPr>
            <w:r w:rsidRPr="00C74BC5">
              <w:rPr>
                <w:sz w:val="28"/>
                <w:szCs w:val="28"/>
              </w:rPr>
              <w:t>0.387039511</w:t>
            </w:r>
          </w:p>
        </w:tc>
      </w:tr>
      <w:tr w:rsidR="002A01E2" w:rsidRPr="00C74BC5" w14:paraId="5D97E12D" w14:textId="77777777" w:rsidTr="00C74BC5">
        <w:trPr>
          <w:trHeight w:val="264"/>
        </w:trPr>
        <w:tc>
          <w:tcPr>
            <w:tcW w:w="1981" w:type="dxa"/>
            <w:noWrap/>
            <w:hideMark/>
          </w:tcPr>
          <w:p w14:paraId="0ED875C8" w14:textId="77777777" w:rsidR="00C74BC5" w:rsidRPr="00C74BC5" w:rsidRDefault="00C74BC5" w:rsidP="002A01E2">
            <w:pPr>
              <w:spacing w:before="120" w:line="276" w:lineRule="auto"/>
              <w:rPr>
                <w:rFonts w:eastAsiaTheme="minorHAnsi" w:cstheme="minorBidi"/>
                <w:sz w:val="28"/>
                <w:szCs w:val="28"/>
              </w:rPr>
            </w:pPr>
            <w:r w:rsidRPr="00C74BC5">
              <w:rPr>
                <w:rFonts w:eastAsiaTheme="minorHAnsi" w:cstheme="minorBidi"/>
                <w:sz w:val="28"/>
                <w:szCs w:val="28"/>
                <w:lang w:val="uk-UA"/>
              </w:rPr>
              <w:t>Змінна</w:t>
            </w:r>
            <w:r w:rsidRPr="00C74BC5">
              <w:rPr>
                <w:rFonts w:eastAsiaTheme="minorHAnsi" w:cstheme="minorBidi"/>
                <w:sz w:val="28"/>
                <w:szCs w:val="28"/>
              </w:rPr>
              <w:t xml:space="preserve"> X 1</w:t>
            </w:r>
          </w:p>
        </w:tc>
        <w:tc>
          <w:tcPr>
            <w:tcW w:w="1970" w:type="dxa"/>
            <w:noWrap/>
            <w:hideMark/>
          </w:tcPr>
          <w:p w14:paraId="212B2425" w14:textId="3F7B744D" w:rsidR="00C74BC5" w:rsidRPr="00C74BC5" w:rsidRDefault="00C74BC5" w:rsidP="002A01E2">
            <w:pPr>
              <w:spacing w:before="120" w:line="276" w:lineRule="auto"/>
              <w:rPr>
                <w:rFonts w:eastAsia="Times New Roman" w:cs="Times New Roman"/>
                <w:sz w:val="28"/>
                <w:szCs w:val="28"/>
              </w:rPr>
            </w:pPr>
            <w:r w:rsidRPr="00C74BC5">
              <w:rPr>
                <w:sz w:val="28"/>
                <w:szCs w:val="28"/>
              </w:rPr>
              <w:t>0.008316302</w:t>
            </w:r>
          </w:p>
        </w:tc>
        <w:tc>
          <w:tcPr>
            <w:tcW w:w="1853" w:type="dxa"/>
            <w:noWrap/>
            <w:hideMark/>
          </w:tcPr>
          <w:p w14:paraId="0F16528C" w14:textId="1C6B4FCB" w:rsidR="00C74BC5" w:rsidRPr="00C74BC5" w:rsidRDefault="00C74BC5" w:rsidP="002A01E2">
            <w:pPr>
              <w:spacing w:before="120" w:line="276" w:lineRule="auto"/>
              <w:rPr>
                <w:rFonts w:eastAsia="Times New Roman" w:cs="Times New Roman"/>
                <w:sz w:val="28"/>
                <w:szCs w:val="28"/>
              </w:rPr>
            </w:pPr>
            <w:r w:rsidRPr="00C74BC5">
              <w:rPr>
                <w:sz w:val="28"/>
                <w:szCs w:val="28"/>
              </w:rPr>
              <w:t>0.095821614</w:t>
            </w:r>
          </w:p>
        </w:tc>
        <w:tc>
          <w:tcPr>
            <w:tcW w:w="1846" w:type="dxa"/>
            <w:noWrap/>
            <w:hideMark/>
          </w:tcPr>
          <w:p w14:paraId="666973B0" w14:textId="5EE178DB" w:rsidR="00C74BC5" w:rsidRPr="00C74BC5" w:rsidRDefault="00C74BC5" w:rsidP="002A01E2">
            <w:pPr>
              <w:spacing w:before="120" w:line="276" w:lineRule="auto"/>
              <w:rPr>
                <w:rFonts w:eastAsia="Times New Roman" w:cs="Times New Roman"/>
                <w:sz w:val="28"/>
                <w:szCs w:val="28"/>
              </w:rPr>
            </w:pPr>
            <w:r w:rsidRPr="00C74BC5">
              <w:rPr>
                <w:sz w:val="28"/>
                <w:szCs w:val="28"/>
              </w:rPr>
              <w:t>0.086789413</w:t>
            </w:r>
          </w:p>
        </w:tc>
        <w:tc>
          <w:tcPr>
            <w:tcW w:w="2029" w:type="dxa"/>
            <w:noWrap/>
            <w:hideMark/>
          </w:tcPr>
          <w:p w14:paraId="768814EE" w14:textId="3FB72616" w:rsidR="00C74BC5" w:rsidRPr="00C74BC5" w:rsidRDefault="00C74BC5" w:rsidP="002A01E2">
            <w:pPr>
              <w:spacing w:before="120" w:line="276" w:lineRule="auto"/>
              <w:jc w:val="right"/>
              <w:rPr>
                <w:rFonts w:eastAsia="Times New Roman" w:cs="Times New Roman"/>
                <w:sz w:val="28"/>
                <w:szCs w:val="28"/>
              </w:rPr>
            </w:pPr>
            <w:r w:rsidRPr="00C74BC5">
              <w:rPr>
                <w:sz w:val="28"/>
                <w:szCs w:val="28"/>
              </w:rPr>
              <w:t>0.931199948</w:t>
            </w:r>
          </w:p>
        </w:tc>
      </w:tr>
    </w:tbl>
    <w:p w14:paraId="640AC333" w14:textId="72DB1D6F" w:rsidR="00963B98" w:rsidRPr="00F7440D" w:rsidRDefault="00963B98"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Даний факт означає, що малоновий диальдегід може бути використаний</w:t>
      </w:r>
      <w:r w:rsidR="00307C1B" w:rsidRPr="00F7440D">
        <w:rPr>
          <w:rFonts w:ascii="Times New Roman" w:hAnsi="Times New Roman" w:cs="Times New Roman"/>
          <w:sz w:val="28"/>
          <w:szCs w:val="28"/>
          <w:lang w:val="uk-UA"/>
        </w:rPr>
        <w:t xml:space="preserve"> як маркер запалення </w:t>
      </w:r>
      <w:r w:rsidRPr="00F7440D">
        <w:rPr>
          <w:rFonts w:ascii="Times New Roman" w:hAnsi="Times New Roman" w:cs="Times New Roman"/>
          <w:sz w:val="28"/>
          <w:szCs w:val="28"/>
          <w:lang w:val="uk-UA"/>
        </w:rPr>
        <w:t>для ранньої діагностики та профілактики запальних захворювань пародонту, а нормалізація його рівня може бути критерієм ефективності програм проф</w:t>
      </w:r>
      <w:r w:rsidR="00307C1B" w:rsidRPr="00F7440D">
        <w:rPr>
          <w:rFonts w:ascii="Times New Roman" w:hAnsi="Times New Roman" w:cs="Times New Roman"/>
          <w:sz w:val="28"/>
          <w:szCs w:val="28"/>
          <w:lang w:val="uk-UA"/>
        </w:rPr>
        <w:t>ілактики та лікування гінгівіту, проте побудова прогностичної моделі на основі значень МДА у групі пацієнтів без клінічних ознак гінгівіту неможлива, а у групі пацієнтів з хронічним гінгівітом кореляція між ступенем запалення та змінами рівню МДА слабка, тому не може бути рекомендована до застосування у клінічній практиці.</w:t>
      </w:r>
    </w:p>
    <w:p w14:paraId="22D9E2D3" w14:textId="6A2C2724" w:rsidR="002A01E2" w:rsidRDefault="00963B98" w:rsidP="002A01E2">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Як показали результати регресійного аналізу, не було </w:t>
      </w:r>
      <w:r w:rsidR="00D70AFC" w:rsidRPr="00F7440D">
        <w:rPr>
          <w:rFonts w:ascii="Times New Roman" w:hAnsi="Times New Roman" w:cs="Times New Roman"/>
          <w:sz w:val="28"/>
          <w:szCs w:val="28"/>
          <w:lang w:val="uk-UA"/>
        </w:rPr>
        <w:t>залежності</w:t>
      </w:r>
      <w:r w:rsidRPr="00F7440D">
        <w:rPr>
          <w:rFonts w:ascii="Times New Roman" w:hAnsi="Times New Roman" w:cs="Times New Roman"/>
          <w:sz w:val="28"/>
          <w:szCs w:val="28"/>
          <w:lang w:val="uk-UA"/>
        </w:rPr>
        <w:t xml:space="preserve"> між показником індексом кровоточивості </w:t>
      </w:r>
      <w:r w:rsidRPr="00F7440D">
        <w:rPr>
          <w:rFonts w:ascii="Times New Roman" w:hAnsi="Times New Roman" w:cs="Times New Roman"/>
          <w:sz w:val="28"/>
          <w:szCs w:val="28"/>
        </w:rPr>
        <w:t>SBI</w:t>
      </w:r>
      <w:r w:rsidRPr="00F7440D">
        <w:rPr>
          <w:rFonts w:ascii="Times New Roman" w:hAnsi="Times New Roman" w:cs="Times New Roman"/>
          <w:sz w:val="28"/>
          <w:szCs w:val="28"/>
          <w:lang w:val="uk-UA"/>
        </w:rPr>
        <w:t xml:space="preserve"> та активністю </w:t>
      </w:r>
      <w:r w:rsidR="009B5CDA" w:rsidRPr="00F7440D">
        <w:rPr>
          <w:rFonts w:ascii="Times New Roman" w:hAnsi="Times New Roman" w:cs="Times New Roman"/>
          <w:sz w:val="28"/>
          <w:szCs w:val="28"/>
          <w:lang w:val="uk-UA"/>
        </w:rPr>
        <w:t>супероксиддисмутази (</w:t>
      </w:r>
      <w:r w:rsidRPr="00F7440D">
        <w:rPr>
          <w:rFonts w:ascii="Times New Roman" w:hAnsi="Times New Roman" w:cs="Times New Roman"/>
          <w:sz w:val="28"/>
          <w:szCs w:val="28"/>
          <w:lang w:val="uk-UA"/>
        </w:rPr>
        <w:t>СОД</w:t>
      </w:r>
      <w:r w:rsidR="00E9728E" w:rsidRPr="00F7440D">
        <w:rPr>
          <w:rFonts w:ascii="Times New Roman" w:hAnsi="Times New Roman" w:cs="Times New Roman"/>
          <w:sz w:val="28"/>
          <w:szCs w:val="28"/>
          <w:lang w:val="uk-UA"/>
        </w:rPr>
        <w:t>), дані наведені у таблиці 8</w:t>
      </w:r>
      <w:r w:rsidR="00C74BC5">
        <w:rPr>
          <w:rFonts w:ascii="Times New Roman" w:hAnsi="Times New Roman" w:cs="Times New Roman"/>
          <w:sz w:val="28"/>
          <w:szCs w:val="28"/>
          <w:lang w:val="uk-UA"/>
        </w:rPr>
        <w:t>.37</w:t>
      </w:r>
      <w:r w:rsidR="002A01E2">
        <w:rPr>
          <w:rFonts w:ascii="Times New Roman" w:hAnsi="Times New Roman" w:cs="Times New Roman"/>
          <w:sz w:val="28"/>
          <w:szCs w:val="28"/>
          <w:lang w:val="uk-UA"/>
        </w:rPr>
        <w:t>.</w:t>
      </w:r>
    </w:p>
    <w:p w14:paraId="28AA2218" w14:textId="77777777" w:rsidR="002A01E2" w:rsidRDefault="002A01E2" w:rsidP="002A01E2">
      <w:pPr>
        <w:spacing w:before="120"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У групі пацієнтів, хворих на атопічні захворювання та хронічний гінгівіт (перша група),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0.106407492, множинний R - 0.326201613, нормований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- 0.094331918. Схожа ситуація спостерігається в групі пацієнтів без виражених клінічних ознак гінгівіту на тлі атопічних захворювань: R</w:t>
      </w:r>
      <w:r w:rsidRPr="00F7440D">
        <w:rPr>
          <w:rFonts w:ascii="Times New Roman" w:hAnsi="Times New Roman" w:cs="Times New Roman"/>
          <w:sz w:val="28"/>
          <w:szCs w:val="28"/>
          <w:vertAlign w:val="superscript"/>
          <w:lang w:val="uk-UA"/>
        </w:rPr>
        <w:t>2</w:t>
      </w:r>
      <w:r w:rsidRPr="00F7440D">
        <w:rPr>
          <w:rFonts w:ascii="Times New Roman" w:hAnsi="Times New Roman" w:cs="Times New Roman"/>
          <w:sz w:val="28"/>
          <w:szCs w:val="28"/>
          <w:lang w:val="uk-UA"/>
        </w:rPr>
        <w:t xml:space="preserve"> дорівнює 0,01162882, множинний R - 0,107837008, нормований R</w:t>
      </w:r>
      <w:r w:rsidRPr="00F7440D">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-0,008962246.</w:t>
      </w:r>
    </w:p>
    <w:p w14:paraId="73272BA6" w14:textId="3CC30D76" w:rsidR="009B5CDA" w:rsidRPr="00F7440D" w:rsidRDefault="00E9728E" w:rsidP="00C74BC5">
      <w:pPr>
        <w:spacing w:after="0" w:line="360" w:lineRule="auto"/>
        <w:ind w:firstLine="709"/>
        <w:jc w:val="right"/>
        <w:rPr>
          <w:rFonts w:ascii="Times New Roman" w:hAnsi="Times New Roman" w:cs="Times New Roman"/>
          <w:sz w:val="28"/>
          <w:szCs w:val="28"/>
          <w:lang w:val="uk-UA"/>
        </w:rPr>
      </w:pPr>
      <w:r w:rsidRPr="00F7440D">
        <w:rPr>
          <w:rFonts w:ascii="Times New Roman" w:hAnsi="Times New Roman" w:cs="Times New Roman"/>
          <w:sz w:val="28"/>
          <w:szCs w:val="28"/>
          <w:lang w:val="uk-UA"/>
        </w:rPr>
        <w:t>Таблиця 8</w:t>
      </w:r>
      <w:r w:rsidR="00C74BC5">
        <w:rPr>
          <w:rFonts w:ascii="Times New Roman" w:hAnsi="Times New Roman" w:cs="Times New Roman"/>
          <w:sz w:val="28"/>
          <w:szCs w:val="28"/>
          <w:lang w:val="uk-UA"/>
        </w:rPr>
        <w:t>.37</w:t>
      </w:r>
    </w:p>
    <w:p w14:paraId="792637BF" w14:textId="6D6381A8" w:rsidR="00963B98" w:rsidRPr="00F7440D" w:rsidRDefault="00963B98" w:rsidP="002A01E2">
      <w:pPr>
        <w:spacing w:after="0" w:line="360" w:lineRule="auto"/>
        <w:jc w:val="center"/>
        <w:rPr>
          <w:rFonts w:ascii="Times New Roman" w:hAnsi="Times New Roman" w:cs="Times New Roman"/>
          <w:sz w:val="28"/>
          <w:szCs w:val="28"/>
          <w:lang w:val="uk-UA"/>
        </w:rPr>
      </w:pPr>
      <w:r w:rsidRPr="00F7440D">
        <w:rPr>
          <w:rFonts w:ascii="Times New Roman" w:hAnsi="Times New Roman" w:cs="Times New Roman"/>
          <w:sz w:val="28"/>
          <w:szCs w:val="28"/>
          <w:lang w:val="uk-UA"/>
        </w:rPr>
        <w:t xml:space="preserve">Регресійний аналіз співвідношення </w:t>
      </w:r>
      <w:r w:rsidRPr="00F7440D">
        <w:rPr>
          <w:rFonts w:ascii="Times New Roman" w:hAnsi="Times New Roman" w:cs="Times New Roman"/>
          <w:sz w:val="28"/>
          <w:szCs w:val="28"/>
        </w:rPr>
        <w:t>SBI</w:t>
      </w:r>
      <w:r w:rsidR="009B5CDA" w:rsidRPr="00F7440D">
        <w:rPr>
          <w:rFonts w:ascii="Times New Roman" w:hAnsi="Times New Roman" w:cs="Times New Roman"/>
          <w:sz w:val="28"/>
          <w:szCs w:val="28"/>
          <w:lang w:val="uk-UA"/>
        </w:rPr>
        <w:t xml:space="preserve"> та СОД у першій та другій групах пацієнтів</w:t>
      </w:r>
    </w:p>
    <w:tbl>
      <w:tblPr>
        <w:tblW w:w="9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3082"/>
        <w:gridCol w:w="2977"/>
      </w:tblGrid>
      <w:tr w:rsidR="00D70AFC" w:rsidRPr="00F7440D" w14:paraId="3FC3BF05" w14:textId="77777777" w:rsidTr="00D70AFC">
        <w:trPr>
          <w:trHeight w:val="248"/>
        </w:trPr>
        <w:tc>
          <w:tcPr>
            <w:tcW w:w="9587" w:type="dxa"/>
            <w:gridSpan w:val="3"/>
            <w:shd w:val="clear" w:color="auto" w:fill="auto"/>
            <w:noWrap/>
            <w:hideMark/>
          </w:tcPr>
          <w:p w14:paraId="045EB148" w14:textId="08C2BF8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uk-UA"/>
              </w:rPr>
              <w:t>Регресійна статистика</w:t>
            </w:r>
          </w:p>
        </w:tc>
      </w:tr>
      <w:tr w:rsidR="00D70AFC" w:rsidRPr="00F7440D" w14:paraId="479184C3" w14:textId="77777777" w:rsidTr="00D70AFC">
        <w:trPr>
          <w:trHeight w:val="248"/>
        </w:trPr>
        <w:tc>
          <w:tcPr>
            <w:tcW w:w="3528" w:type="dxa"/>
            <w:shd w:val="clear" w:color="auto" w:fill="auto"/>
            <w:noWrap/>
          </w:tcPr>
          <w:p w14:paraId="5383EE91" w14:textId="563507AC" w:rsidR="00D70AFC" w:rsidRPr="00F7440D" w:rsidRDefault="00D70AFC" w:rsidP="002A01E2">
            <w:pPr>
              <w:spacing w:after="0" w:line="276" w:lineRule="auto"/>
              <w:ind w:firstLine="709"/>
              <w:jc w:val="both"/>
              <w:rPr>
                <w:rFonts w:ascii="Times New Roman" w:hAnsi="Times New Roman" w:cs="Times New Roman"/>
                <w:iCs/>
                <w:sz w:val="28"/>
                <w:szCs w:val="28"/>
                <w:lang w:val="uk-UA"/>
              </w:rPr>
            </w:pPr>
            <w:r w:rsidRPr="00F7440D">
              <w:rPr>
                <w:rFonts w:ascii="Times New Roman" w:hAnsi="Times New Roman" w:cs="Times New Roman"/>
                <w:iCs/>
                <w:sz w:val="28"/>
                <w:szCs w:val="28"/>
                <w:lang w:val="uk-UA"/>
              </w:rPr>
              <w:t>Групи пацієнтів</w:t>
            </w:r>
          </w:p>
        </w:tc>
        <w:tc>
          <w:tcPr>
            <w:tcW w:w="3082" w:type="dxa"/>
            <w:shd w:val="clear" w:color="auto" w:fill="auto"/>
          </w:tcPr>
          <w:p w14:paraId="07642305" w14:textId="73D128C9" w:rsidR="00D70AFC" w:rsidRPr="00F7440D" w:rsidRDefault="00D70AFC" w:rsidP="002A01E2">
            <w:pPr>
              <w:spacing w:after="0" w:line="276" w:lineRule="auto"/>
              <w:ind w:firstLine="709"/>
              <w:jc w:val="both"/>
              <w:rPr>
                <w:rFonts w:ascii="Times New Roman" w:hAnsi="Times New Roman" w:cs="Times New Roman"/>
                <w:iCs/>
                <w:sz w:val="28"/>
                <w:szCs w:val="28"/>
              </w:rPr>
            </w:pPr>
            <w:r w:rsidRPr="00F7440D">
              <w:rPr>
                <w:rFonts w:ascii="Times New Roman" w:hAnsi="Times New Roman" w:cs="Times New Roman"/>
                <w:sz w:val="28"/>
                <w:szCs w:val="28"/>
                <w:lang w:val="uk-UA"/>
              </w:rPr>
              <w:t>Перша</w:t>
            </w:r>
          </w:p>
        </w:tc>
        <w:tc>
          <w:tcPr>
            <w:tcW w:w="2977" w:type="dxa"/>
            <w:shd w:val="clear" w:color="auto" w:fill="auto"/>
          </w:tcPr>
          <w:p w14:paraId="44E68021" w14:textId="50707CCD" w:rsidR="00D70AFC" w:rsidRPr="00F7440D" w:rsidRDefault="00D70AFC" w:rsidP="002A01E2">
            <w:pPr>
              <w:spacing w:after="0" w:line="276" w:lineRule="auto"/>
              <w:ind w:firstLine="709"/>
              <w:jc w:val="both"/>
              <w:rPr>
                <w:rFonts w:ascii="Times New Roman" w:hAnsi="Times New Roman" w:cs="Times New Roman"/>
                <w:iCs/>
                <w:sz w:val="28"/>
                <w:szCs w:val="28"/>
              </w:rPr>
            </w:pPr>
            <w:r w:rsidRPr="00F7440D">
              <w:rPr>
                <w:rFonts w:ascii="Times New Roman" w:hAnsi="Times New Roman" w:cs="Times New Roman"/>
                <w:iCs/>
                <w:sz w:val="28"/>
                <w:szCs w:val="28"/>
                <w:lang w:val="uk-UA"/>
              </w:rPr>
              <w:t>Друга</w:t>
            </w:r>
          </w:p>
        </w:tc>
      </w:tr>
      <w:tr w:rsidR="00D70AFC" w:rsidRPr="00F7440D" w14:paraId="0B38C1A6" w14:textId="77777777" w:rsidTr="00D70AFC">
        <w:trPr>
          <w:trHeight w:val="248"/>
        </w:trPr>
        <w:tc>
          <w:tcPr>
            <w:tcW w:w="3528" w:type="dxa"/>
            <w:shd w:val="clear" w:color="auto" w:fill="auto"/>
            <w:noWrap/>
            <w:hideMark/>
          </w:tcPr>
          <w:p w14:paraId="349F027C"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lang w:val="uk-UA"/>
              </w:rPr>
              <w:t>Множинний</w:t>
            </w:r>
            <w:r w:rsidRPr="00F7440D">
              <w:rPr>
                <w:rFonts w:ascii="Times New Roman" w:hAnsi="Times New Roman" w:cs="Times New Roman"/>
                <w:sz w:val="28"/>
                <w:szCs w:val="28"/>
              </w:rPr>
              <w:t xml:space="preserve"> R</w:t>
            </w:r>
          </w:p>
        </w:tc>
        <w:tc>
          <w:tcPr>
            <w:tcW w:w="3082" w:type="dxa"/>
            <w:shd w:val="clear" w:color="auto" w:fill="auto"/>
            <w:noWrap/>
          </w:tcPr>
          <w:p w14:paraId="532F1A20" w14:textId="3A16935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0.326201613</w:t>
            </w:r>
          </w:p>
        </w:tc>
        <w:tc>
          <w:tcPr>
            <w:tcW w:w="2977" w:type="dxa"/>
            <w:shd w:val="clear" w:color="auto" w:fill="auto"/>
          </w:tcPr>
          <w:p w14:paraId="67E40C8B" w14:textId="0670B192"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0.107837008</w:t>
            </w:r>
          </w:p>
        </w:tc>
      </w:tr>
      <w:tr w:rsidR="00D70AFC" w:rsidRPr="00F7440D" w14:paraId="079D97FD" w14:textId="77777777" w:rsidTr="00D70AFC">
        <w:trPr>
          <w:trHeight w:val="248"/>
        </w:trPr>
        <w:tc>
          <w:tcPr>
            <w:tcW w:w="3528" w:type="dxa"/>
            <w:shd w:val="clear" w:color="auto" w:fill="auto"/>
            <w:noWrap/>
            <w:hideMark/>
          </w:tcPr>
          <w:p w14:paraId="1B69A817"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i/>
                <w:iCs/>
                <w:sz w:val="28"/>
                <w:szCs w:val="28"/>
                <w:lang w:val="en"/>
              </w:rPr>
              <w:t>R</w:t>
            </w:r>
            <w:r w:rsidRPr="00F7440D">
              <w:rPr>
                <w:rFonts w:ascii="Times New Roman" w:hAnsi="Times New Roman" w:cs="Times New Roman"/>
                <w:sz w:val="28"/>
                <w:szCs w:val="28"/>
                <w:vertAlign w:val="superscript"/>
                <w:lang w:val="en"/>
              </w:rPr>
              <w:t>2</w:t>
            </w:r>
          </w:p>
        </w:tc>
        <w:tc>
          <w:tcPr>
            <w:tcW w:w="3082" w:type="dxa"/>
            <w:shd w:val="clear" w:color="auto" w:fill="auto"/>
            <w:noWrap/>
          </w:tcPr>
          <w:p w14:paraId="3F624955" w14:textId="0F2049CE"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0.106407492</w:t>
            </w:r>
          </w:p>
        </w:tc>
        <w:tc>
          <w:tcPr>
            <w:tcW w:w="2977" w:type="dxa"/>
            <w:shd w:val="clear" w:color="auto" w:fill="auto"/>
          </w:tcPr>
          <w:p w14:paraId="0F5816B1" w14:textId="2C58F380"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0.01162882</w:t>
            </w:r>
          </w:p>
        </w:tc>
      </w:tr>
      <w:tr w:rsidR="00D70AFC" w:rsidRPr="00F7440D" w14:paraId="200F0ACF" w14:textId="77777777" w:rsidTr="00D70AFC">
        <w:trPr>
          <w:trHeight w:val="248"/>
        </w:trPr>
        <w:tc>
          <w:tcPr>
            <w:tcW w:w="3528" w:type="dxa"/>
            <w:shd w:val="clear" w:color="auto" w:fill="auto"/>
            <w:noWrap/>
            <w:hideMark/>
          </w:tcPr>
          <w:p w14:paraId="43DC832D" w14:textId="7777777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Style w:val="mw-headline"/>
                <w:rFonts w:ascii="Times New Roman" w:hAnsi="Times New Roman" w:cs="Times New Roman"/>
                <w:sz w:val="28"/>
                <w:szCs w:val="28"/>
                <w:lang w:val="uk-UA"/>
              </w:rPr>
              <w:t>Нормований</w:t>
            </w:r>
            <w:r w:rsidRPr="00F7440D">
              <w:rPr>
                <w:rStyle w:val="mw-headline"/>
                <w:rFonts w:ascii="Times New Roman" w:hAnsi="Times New Roman" w:cs="Times New Roman"/>
                <w:sz w:val="28"/>
                <w:szCs w:val="28"/>
                <w:lang w:val="en"/>
              </w:rPr>
              <w:t xml:space="preserve"> </w:t>
            </w:r>
            <w:r w:rsidRPr="00F7440D">
              <w:rPr>
                <w:rStyle w:val="mw-headline"/>
                <w:rFonts w:ascii="Times New Roman" w:hAnsi="Times New Roman" w:cs="Times New Roman"/>
                <w:i/>
                <w:iCs/>
                <w:sz w:val="28"/>
                <w:szCs w:val="28"/>
                <w:lang w:val="en"/>
              </w:rPr>
              <w:t>R</w:t>
            </w:r>
            <w:r w:rsidRPr="00F7440D">
              <w:rPr>
                <w:rStyle w:val="mw-headline"/>
                <w:rFonts w:ascii="Times New Roman" w:hAnsi="Times New Roman" w:cs="Times New Roman"/>
                <w:sz w:val="28"/>
                <w:szCs w:val="28"/>
                <w:vertAlign w:val="superscript"/>
                <w:lang w:val="en"/>
              </w:rPr>
              <w:t>2</w:t>
            </w:r>
          </w:p>
        </w:tc>
        <w:tc>
          <w:tcPr>
            <w:tcW w:w="3082" w:type="dxa"/>
            <w:shd w:val="clear" w:color="auto" w:fill="auto"/>
            <w:noWrap/>
          </w:tcPr>
          <w:p w14:paraId="7DA12D03" w14:textId="64BC1057"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0.094331918</w:t>
            </w:r>
          </w:p>
        </w:tc>
        <w:tc>
          <w:tcPr>
            <w:tcW w:w="2977" w:type="dxa"/>
            <w:shd w:val="clear" w:color="auto" w:fill="auto"/>
          </w:tcPr>
          <w:p w14:paraId="4478198D" w14:textId="6B823796"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-0.008962246</w:t>
            </w:r>
          </w:p>
        </w:tc>
      </w:tr>
      <w:tr w:rsidR="00D70AFC" w:rsidRPr="00F7440D" w14:paraId="402196B2" w14:textId="77777777" w:rsidTr="00D70AFC">
        <w:trPr>
          <w:trHeight w:val="248"/>
        </w:trPr>
        <w:tc>
          <w:tcPr>
            <w:tcW w:w="3528" w:type="dxa"/>
            <w:shd w:val="clear" w:color="auto" w:fill="auto"/>
            <w:noWrap/>
            <w:hideMark/>
          </w:tcPr>
          <w:p w14:paraId="7C1E7186" w14:textId="77777777" w:rsidR="00D70AFC" w:rsidRPr="00F7440D" w:rsidRDefault="00D70AFC" w:rsidP="002A01E2">
            <w:pPr>
              <w:spacing w:after="0" w:line="276" w:lineRule="auto"/>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Стандартне відхилення</w:t>
            </w:r>
          </w:p>
        </w:tc>
        <w:tc>
          <w:tcPr>
            <w:tcW w:w="3082" w:type="dxa"/>
            <w:shd w:val="clear" w:color="auto" w:fill="auto"/>
            <w:noWrap/>
          </w:tcPr>
          <w:p w14:paraId="36F62913" w14:textId="1DCBD5C4"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0.398690311</w:t>
            </w:r>
          </w:p>
        </w:tc>
        <w:tc>
          <w:tcPr>
            <w:tcW w:w="2977" w:type="dxa"/>
            <w:shd w:val="clear" w:color="auto" w:fill="auto"/>
          </w:tcPr>
          <w:p w14:paraId="729C2E80" w14:textId="7D9B5745" w:rsidR="00D70AFC" w:rsidRPr="00F7440D" w:rsidRDefault="00D70AFC" w:rsidP="002A01E2">
            <w:pPr>
              <w:spacing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0.524190256</w:t>
            </w:r>
          </w:p>
        </w:tc>
      </w:tr>
      <w:tr w:rsidR="00D70AFC" w:rsidRPr="00F7440D" w14:paraId="27FC490D" w14:textId="77777777" w:rsidTr="00D70AFC">
        <w:trPr>
          <w:trHeight w:val="262"/>
        </w:trPr>
        <w:tc>
          <w:tcPr>
            <w:tcW w:w="3528" w:type="dxa"/>
            <w:shd w:val="clear" w:color="auto" w:fill="auto"/>
            <w:noWrap/>
            <w:hideMark/>
          </w:tcPr>
          <w:p w14:paraId="639EF25E" w14:textId="77777777" w:rsidR="00D70AFC" w:rsidRPr="00F7440D" w:rsidRDefault="00D70AFC" w:rsidP="00BF632A">
            <w:pPr>
              <w:spacing w:before="100" w:beforeAutospacing="1" w:after="0" w:line="276"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Спостереження</w:t>
            </w:r>
          </w:p>
        </w:tc>
        <w:tc>
          <w:tcPr>
            <w:tcW w:w="3082" w:type="dxa"/>
            <w:shd w:val="clear" w:color="auto" w:fill="auto"/>
            <w:noWrap/>
          </w:tcPr>
          <w:p w14:paraId="63C4F9D5" w14:textId="2FD472DB" w:rsidR="00D70AFC" w:rsidRPr="00F7440D" w:rsidRDefault="00D70AFC" w:rsidP="00BF632A">
            <w:pPr>
              <w:spacing w:before="100" w:beforeAutospacing="1"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76</w:t>
            </w:r>
          </w:p>
        </w:tc>
        <w:tc>
          <w:tcPr>
            <w:tcW w:w="2977" w:type="dxa"/>
            <w:shd w:val="clear" w:color="auto" w:fill="auto"/>
          </w:tcPr>
          <w:p w14:paraId="2DA3E6BA" w14:textId="4B6FF3EB" w:rsidR="00D70AFC" w:rsidRPr="00F7440D" w:rsidRDefault="00D70AFC" w:rsidP="00BF632A">
            <w:pPr>
              <w:spacing w:before="100" w:beforeAutospacing="1" w:after="0" w:line="276" w:lineRule="auto"/>
              <w:ind w:firstLine="709"/>
              <w:jc w:val="both"/>
              <w:rPr>
                <w:rFonts w:ascii="Times New Roman" w:hAnsi="Times New Roman" w:cs="Times New Roman"/>
                <w:sz w:val="28"/>
                <w:szCs w:val="28"/>
              </w:rPr>
            </w:pPr>
            <w:r w:rsidRPr="00F7440D">
              <w:rPr>
                <w:rFonts w:ascii="Times New Roman" w:hAnsi="Times New Roman" w:cs="Times New Roman"/>
                <w:sz w:val="28"/>
                <w:szCs w:val="28"/>
              </w:rPr>
              <w:t>50</w:t>
            </w:r>
          </w:p>
        </w:tc>
      </w:tr>
    </w:tbl>
    <w:p w14:paraId="3FAD7EDF" w14:textId="1DC03453" w:rsidR="00D70AFC" w:rsidRPr="00F7440D" w:rsidRDefault="00D70AFC" w:rsidP="00BF632A">
      <w:pPr>
        <w:spacing w:before="100" w:beforeAutospacing="1"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У р</w:t>
      </w:r>
      <w:r w:rsidR="00BD7E80" w:rsidRPr="00F7440D">
        <w:rPr>
          <w:rFonts w:ascii="Times New Roman" w:hAnsi="Times New Roman" w:cs="Times New Roman"/>
          <w:sz w:val="28"/>
          <w:szCs w:val="28"/>
          <w:lang w:val="uk-UA"/>
        </w:rPr>
        <w:t>езультаті оцінювання коефіцієнтів</w:t>
      </w:r>
      <w:r w:rsidRPr="00F7440D">
        <w:rPr>
          <w:rFonts w:ascii="Times New Roman" w:hAnsi="Times New Roman" w:cs="Times New Roman"/>
          <w:sz w:val="28"/>
          <w:szCs w:val="28"/>
          <w:lang w:val="uk-UA"/>
        </w:rPr>
        <w:t xml:space="preserve"> детермінації</w:t>
      </w:r>
      <w:r w:rsidR="00BD7E80" w:rsidRPr="00F7440D">
        <w:rPr>
          <w:rFonts w:ascii="Times New Roman" w:hAnsi="Times New Roman" w:cs="Times New Roman"/>
          <w:sz w:val="28"/>
          <w:szCs w:val="28"/>
          <w:lang w:val="uk-UA"/>
        </w:rPr>
        <w:t xml:space="preserve"> у першій та другій групах, нами був зроблений висновок </w:t>
      </w:r>
      <w:r w:rsidR="00B15B6B" w:rsidRPr="00F7440D">
        <w:rPr>
          <w:rFonts w:ascii="Times New Roman" w:hAnsi="Times New Roman" w:cs="Times New Roman"/>
          <w:sz w:val="28"/>
          <w:szCs w:val="28"/>
          <w:lang w:val="uk-UA"/>
        </w:rPr>
        <w:t>про відсутність необхідності визначення коефіцієнтів функції лінійної регресії у зв’язку з низькою прогностичною значимістю отриманих параметрів.</w:t>
      </w:r>
    </w:p>
    <w:p w14:paraId="3EE49D12" w14:textId="40EBCA2D" w:rsidR="00963B98" w:rsidRPr="00F7440D" w:rsidRDefault="00B15B6B"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Оцінювання маркерів антиоксидантного захисту</w:t>
      </w:r>
      <w:r w:rsidR="00963B98" w:rsidRPr="00F7440D">
        <w:rPr>
          <w:rFonts w:ascii="Times New Roman" w:hAnsi="Times New Roman" w:cs="Times New Roman"/>
          <w:sz w:val="28"/>
          <w:szCs w:val="28"/>
          <w:lang w:val="uk-UA"/>
        </w:rPr>
        <w:t xml:space="preserve"> показує, що МДА та СОД можуть служити потенційним діагностичним маркером у дітей з атопією</w:t>
      </w:r>
      <w:r w:rsidRPr="00F7440D">
        <w:rPr>
          <w:rFonts w:ascii="Times New Roman" w:hAnsi="Times New Roman" w:cs="Times New Roman"/>
          <w:sz w:val="28"/>
          <w:szCs w:val="28"/>
          <w:lang w:val="uk-UA"/>
        </w:rPr>
        <w:t xml:space="preserve"> на доклінічній та клінічній стадії розвитку гінгівіту</w:t>
      </w:r>
      <w:r w:rsidR="00963B98" w:rsidRPr="00F7440D">
        <w:rPr>
          <w:rFonts w:ascii="Times New Roman" w:hAnsi="Times New Roman" w:cs="Times New Roman"/>
          <w:sz w:val="28"/>
          <w:szCs w:val="28"/>
          <w:lang w:val="uk-UA"/>
        </w:rPr>
        <w:t>. Отримані дані доводять, що у дітей з атопією існує окислювальний дисбаланс</w:t>
      </w:r>
      <w:r w:rsidRPr="00F7440D">
        <w:rPr>
          <w:rFonts w:ascii="Times New Roman" w:hAnsi="Times New Roman" w:cs="Times New Roman"/>
          <w:sz w:val="28"/>
          <w:szCs w:val="28"/>
          <w:lang w:val="uk-UA"/>
        </w:rPr>
        <w:t>, оскільки нами були визначено</w:t>
      </w:r>
      <w:r w:rsidR="006B50B3" w:rsidRPr="00F7440D">
        <w:rPr>
          <w:rFonts w:ascii="Times New Roman" w:hAnsi="Times New Roman" w:cs="Times New Roman"/>
          <w:sz w:val="28"/>
          <w:szCs w:val="28"/>
          <w:lang w:val="uk-UA"/>
        </w:rPr>
        <w:t xml:space="preserve"> підвищення рівня МДА та зниження активності СОД у основних групах у порівнянні з контрольною</w:t>
      </w:r>
      <w:r w:rsidR="00963B98" w:rsidRPr="00F7440D">
        <w:rPr>
          <w:rFonts w:ascii="Times New Roman" w:hAnsi="Times New Roman" w:cs="Times New Roman"/>
          <w:sz w:val="28"/>
          <w:szCs w:val="28"/>
          <w:lang w:val="uk-UA"/>
        </w:rPr>
        <w:t xml:space="preserve">. </w:t>
      </w:r>
      <w:r w:rsidR="006B50B3" w:rsidRPr="00F7440D">
        <w:rPr>
          <w:rFonts w:ascii="Times New Roman" w:hAnsi="Times New Roman" w:cs="Times New Roman"/>
          <w:sz w:val="28"/>
          <w:szCs w:val="28"/>
          <w:lang w:val="uk-UA"/>
        </w:rPr>
        <w:t>При цоьму звертає на себе увагу той факт, що проведений р</w:t>
      </w:r>
      <w:r w:rsidR="00963B98" w:rsidRPr="00F7440D">
        <w:rPr>
          <w:rFonts w:ascii="Times New Roman" w:hAnsi="Times New Roman" w:cs="Times New Roman"/>
          <w:sz w:val="28"/>
          <w:szCs w:val="28"/>
          <w:lang w:val="uk-UA"/>
        </w:rPr>
        <w:t xml:space="preserve">егресійний аналіз показав, що між індексом </w:t>
      </w:r>
      <w:r w:rsidR="00963B98" w:rsidRPr="00F7440D">
        <w:rPr>
          <w:rFonts w:ascii="Times New Roman" w:hAnsi="Times New Roman" w:cs="Times New Roman"/>
          <w:sz w:val="28"/>
          <w:szCs w:val="28"/>
        </w:rPr>
        <w:t>SBI</w:t>
      </w:r>
      <w:r w:rsidR="00963B98" w:rsidRPr="00F7440D">
        <w:rPr>
          <w:rFonts w:ascii="Times New Roman" w:hAnsi="Times New Roman" w:cs="Times New Roman"/>
          <w:sz w:val="28"/>
          <w:szCs w:val="28"/>
          <w:lang w:val="uk-UA"/>
        </w:rPr>
        <w:t xml:space="preserve"> та рівнем антиоксидантів немає </w:t>
      </w:r>
      <w:r w:rsidR="006B50B3" w:rsidRPr="00F7440D">
        <w:rPr>
          <w:rFonts w:ascii="Times New Roman" w:hAnsi="Times New Roman" w:cs="Times New Roman"/>
          <w:sz w:val="28"/>
          <w:szCs w:val="28"/>
          <w:lang w:val="uk-UA"/>
        </w:rPr>
        <w:t>залежності, яку можливо було використовувати з прогностичною та діагностичною метою</w:t>
      </w:r>
      <w:r w:rsidR="00963B98" w:rsidRPr="00F7440D">
        <w:rPr>
          <w:rFonts w:ascii="Times New Roman" w:hAnsi="Times New Roman" w:cs="Times New Roman"/>
          <w:sz w:val="28"/>
          <w:szCs w:val="28"/>
          <w:lang w:val="uk-UA"/>
        </w:rPr>
        <w:t xml:space="preserve">. Рівень МДА збільшений, а рівень СОД знижений у групі пацієнтів з атопією, і даний факт не залежить від наявності гінгівіту в цих групах. </w:t>
      </w:r>
    </w:p>
    <w:p w14:paraId="31C91B8A" w14:textId="4D24CD2D" w:rsidR="00E9728E" w:rsidRDefault="00963B98" w:rsidP="00C74BC5">
      <w:pPr>
        <w:spacing w:after="0" w:line="360" w:lineRule="auto"/>
        <w:ind w:firstLine="709"/>
        <w:jc w:val="both"/>
        <w:rPr>
          <w:rFonts w:ascii="Times New Roman" w:hAnsi="Times New Roman" w:cs="Times New Roman"/>
          <w:sz w:val="28"/>
          <w:szCs w:val="28"/>
          <w:lang w:val="uk-UA"/>
        </w:rPr>
      </w:pPr>
      <w:r w:rsidRPr="00F7440D">
        <w:rPr>
          <w:rFonts w:ascii="Times New Roman" w:hAnsi="Times New Roman" w:cs="Times New Roman"/>
          <w:sz w:val="28"/>
          <w:szCs w:val="28"/>
          <w:lang w:val="uk-UA"/>
        </w:rPr>
        <w:t>Оскільки не було суттєвої різниці у рівні концентрації супероксиддисмутази</w:t>
      </w:r>
      <w:r w:rsidR="002249A5" w:rsidRPr="00F7440D">
        <w:rPr>
          <w:rFonts w:ascii="Times New Roman" w:hAnsi="Times New Roman" w:cs="Times New Roman"/>
          <w:sz w:val="28"/>
          <w:szCs w:val="28"/>
          <w:lang w:val="uk-UA"/>
        </w:rPr>
        <w:t xml:space="preserve"> та малонового диальдегіду</w:t>
      </w:r>
      <w:r w:rsidRPr="00F7440D">
        <w:rPr>
          <w:rFonts w:ascii="Times New Roman" w:hAnsi="Times New Roman" w:cs="Times New Roman"/>
          <w:sz w:val="28"/>
          <w:szCs w:val="28"/>
          <w:lang w:val="uk-UA"/>
        </w:rPr>
        <w:t xml:space="preserve"> між групою дітей з атопією та гінгівітом та групою </w:t>
      </w:r>
      <w:r w:rsidRPr="00963B98">
        <w:rPr>
          <w:rFonts w:ascii="Times New Roman" w:hAnsi="Times New Roman" w:cs="Times New Roman"/>
          <w:sz w:val="28"/>
          <w:szCs w:val="28"/>
          <w:lang w:val="uk-UA"/>
        </w:rPr>
        <w:t>дітей з атопією, ми вважаємо, що антиоксидантний дисбаланс, насамперед, пояснюється атопічною хворобою, а гінгівіт розвивається на тлі порушення прооксидантно-антиоксидантного дисбалансу.</w:t>
      </w:r>
    </w:p>
    <w:p w14:paraId="3641B493" w14:textId="302A55D6" w:rsidR="002249A5" w:rsidRDefault="00585003" w:rsidP="00C74B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показником прооксидантно-антиоксидатного балансу, який був нами застосований для проведення регресійного аналізу, був рівень відновленого глутатіону та залежність ступеню запалення тканин пародонту від його рівню. Згідно з біохімічним дослідженням, проведеним серед усіх груп, рівень глутатіону був знижений у всіх основних групах у порівнянні з контрольною. У зв’язку з тим, </w:t>
      </w:r>
      <w:r w:rsidR="00F20184">
        <w:rPr>
          <w:rFonts w:ascii="Times New Roman" w:hAnsi="Times New Roman" w:cs="Times New Roman"/>
          <w:sz w:val="28"/>
          <w:szCs w:val="28"/>
          <w:lang w:val="uk-UA"/>
        </w:rPr>
        <w:t xml:space="preserve">що рівень глутатіону достовірно не відрізнявся у всіх оснвоних групах, для здійснення регресійного аналізу нами була обрана третя група дітей, хворих на атопічні захворювання та хронічний гінгівіт. </w:t>
      </w:r>
    </w:p>
    <w:p w14:paraId="4DC71A84" w14:textId="3622130B" w:rsidR="005F2866" w:rsidRPr="00112933" w:rsidRDefault="005F2866" w:rsidP="00C74B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отриманими даними, середній рівень відновленого глутатіону серед обстеженого контингенту дорівнював 2.73 ± </w:t>
      </w:r>
      <w:r w:rsidRPr="005F2866">
        <w:rPr>
          <w:rFonts w:ascii="Times New Roman" w:hAnsi="Times New Roman" w:cs="Times New Roman"/>
          <w:sz w:val="28"/>
          <w:szCs w:val="28"/>
          <w:lang w:val="uk-UA"/>
        </w:rPr>
        <w:t>0.58</w:t>
      </w:r>
      <w:r>
        <w:rPr>
          <w:rFonts w:ascii="Times New Roman" w:hAnsi="Times New Roman" w:cs="Times New Roman"/>
          <w:sz w:val="28"/>
          <w:szCs w:val="28"/>
          <w:lang w:val="uk-UA"/>
        </w:rPr>
        <w:t xml:space="preserve"> ммоль / л на початку дослідження, а рівень РМА дорівнював 35.50 ± </w:t>
      </w:r>
      <w:r w:rsidRPr="005F2866">
        <w:rPr>
          <w:rFonts w:ascii="Times New Roman" w:hAnsi="Times New Roman" w:cs="Times New Roman"/>
          <w:sz w:val="28"/>
          <w:szCs w:val="28"/>
          <w:lang w:val="uk-UA"/>
        </w:rPr>
        <w:t>2.35</w:t>
      </w:r>
      <w:r>
        <w:rPr>
          <w:rFonts w:ascii="Times New Roman" w:hAnsi="Times New Roman" w:cs="Times New Roman"/>
          <w:sz w:val="28"/>
          <w:szCs w:val="28"/>
          <w:lang w:val="uk-UA"/>
        </w:rPr>
        <w:t xml:space="preserve"> %, що відповідає середньому ступеню тяжкості гінгівіту. Для проведення дослідження залежності двох показниківми ми побудували </w:t>
      </w:r>
      <w:r w:rsidRPr="00112933">
        <w:rPr>
          <w:rFonts w:ascii="Times New Roman" w:hAnsi="Times New Roman" w:cs="Times New Roman"/>
          <w:sz w:val="28"/>
          <w:szCs w:val="28"/>
          <w:lang w:val="uk-UA"/>
        </w:rPr>
        <w:t>рівняння лінійної регресії, результати регресійн</w:t>
      </w:r>
      <w:r w:rsidR="00E9728E" w:rsidRPr="00112933">
        <w:rPr>
          <w:rFonts w:ascii="Times New Roman" w:hAnsi="Times New Roman" w:cs="Times New Roman"/>
          <w:sz w:val="28"/>
          <w:szCs w:val="28"/>
          <w:lang w:val="uk-UA"/>
        </w:rPr>
        <w:t>ого</w:t>
      </w:r>
      <w:r w:rsidR="00C74BC5">
        <w:rPr>
          <w:rFonts w:ascii="Times New Roman" w:hAnsi="Times New Roman" w:cs="Times New Roman"/>
          <w:sz w:val="28"/>
          <w:szCs w:val="28"/>
          <w:lang w:val="uk-UA"/>
        </w:rPr>
        <w:t xml:space="preserve"> аналізу наведені у таблиці 8.38</w:t>
      </w:r>
      <w:r w:rsidR="00664BE9">
        <w:rPr>
          <w:rFonts w:ascii="Times New Roman" w:hAnsi="Times New Roman" w:cs="Times New Roman"/>
          <w:sz w:val="28"/>
          <w:szCs w:val="28"/>
          <w:lang w:val="uk-UA"/>
        </w:rPr>
        <w:t>, 8.</w:t>
      </w:r>
      <w:r w:rsidR="00C74BC5">
        <w:rPr>
          <w:rFonts w:ascii="Times New Roman" w:hAnsi="Times New Roman" w:cs="Times New Roman"/>
          <w:sz w:val="28"/>
          <w:szCs w:val="28"/>
          <w:lang w:val="uk-UA"/>
        </w:rPr>
        <w:t>39</w:t>
      </w:r>
      <w:r w:rsidR="00E9728E" w:rsidRPr="00112933">
        <w:rPr>
          <w:rFonts w:ascii="Times New Roman" w:hAnsi="Times New Roman" w:cs="Times New Roman"/>
          <w:sz w:val="28"/>
          <w:szCs w:val="28"/>
          <w:lang w:val="uk-UA"/>
        </w:rPr>
        <w:t>, 8</w:t>
      </w:r>
      <w:r w:rsidR="00C74BC5">
        <w:rPr>
          <w:rFonts w:ascii="Times New Roman" w:hAnsi="Times New Roman" w:cs="Times New Roman"/>
          <w:sz w:val="28"/>
          <w:szCs w:val="28"/>
          <w:lang w:val="uk-UA"/>
        </w:rPr>
        <w:t>.40</w:t>
      </w:r>
      <w:r w:rsidRPr="00112933">
        <w:rPr>
          <w:rFonts w:ascii="Times New Roman" w:hAnsi="Times New Roman" w:cs="Times New Roman"/>
          <w:sz w:val="28"/>
          <w:szCs w:val="28"/>
          <w:lang w:val="uk-UA"/>
        </w:rPr>
        <w:t>.</w:t>
      </w:r>
    </w:p>
    <w:p w14:paraId="47D23077" w14:textId="6CF32753" w:rsidR="005F2866" w:rsidRPr="00112933" w:rsidRDefault="005F2866"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9728E" w:rsidRPr="00112933">
        <w:rPr>
          <w:rFonts w:ascii="Times New Roman" w:hAnsi="Times New Roman"/>
          <w:sz w:val="28"/>
          <w:szCs w:val="28"/>
          <w:lang w:val="uk-UA"/>
        </w:rPr>
        <w:t>8</w:t>
      </w:r>
      <w:r w:rsidR="00C74BC5">
        <w:rPr>
          <w:rFonts w:ascii="Times New Roman" w:hAnsi="Times New Roman"/>
          <w:sz w:val="28"/>
          <w:szCs w:val="28"/>
          <w:lang w:val="uk-UA"/>
        </w:rPr>
        <w:t>.38</w:t>
      </w:r>
    </w:p>
    <w:p w14:paraId="659A2CEE" w14:textId="1CC09581" w:rsidR="005F2866" w:rsidRPr="00112933" w:rsidRDefault="005F2866"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глутатіону та індексу РМА у третій групі пацієнтів</w:t>
      </w:r>
    </w:p>
    <w:tbl>
      <w:tblPr>
        <w:tblStyle w:val="TableGrid"/>
        <w:tblW w:w="0" w:type="auto"/>
        <w:tblLook w:val="04A0" w:firstRow="1" w:lastRow="0" w:firstColumn="1" w:lastColumn="0" w:noHBand="0" w:noVBand="1"/>
      </w:tblPr>
      <w:tblGrid>
        <w:gridCol w:w="5559"/>
        <w:gridCol w:w="3756"/>
      </w:tblGrid>
      <w:tr w:rsidR="005F2866" w:rsidRPr="00112933" w14:paraId="1E17C1C8" w14:textId="77777777" w:rsidTr="00D364A7">
        <w:trPr>
          <w:trHeight w:val="214"/>
        </w:trPr>
        <w:tc>
          <w:tcPr>
            <w:tcW w:w="9315" w:type="dxa"/>
            <w:gridSpan w:val="2"/>
            <w:noWrap/>
            <w:hideMark/>
          </w:tcPr>
          <w:p w14:paraId="66BA8F49" w14:textId="77777777" w:rsidR="005F2866" w:rsidRPr="00112933" w:rsidRDefault="005F2866" w:rsidP="00BF632A">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5F2866" w:rsidRPr="00112933" w14:paraId="1DFE4A5D" w14:textId="77777777" w:rsidTr="00D364A7">
        <w:trPr>
          <w:trHeight w:val="214"/>
        </w:trPr>
        <w:tc>
          <w:tcPr>
            <w:tcW w:w="5559" w:type="dxa"/>
            <w:noWrap/>
            <w:hideMark/>
          </w:tcPr>
          <w:p w14:paraId="1071DC77"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7B238DA7" w14:textId="7B7A86D8"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0.952755</w:t>
            </w:r>
          </w:p>
        </w:tc>
      </w:tr>
      <w:tr w:rsidR="005F2866" w:rsidRPr="00112933" w14:paraId="62D9F93B" w14:textId="77777777" w:rsidTr="00D364A7">
        <w:trPr>
          <w:trHeight w:val="214"/>
        </w:trPr>
        <w:tc>
          <w:tcPr>
            <w:tcW w:w="5559" w:type="dxa"/>
            <w:noWrap/>
            <w:hideMark/>
          </w:tcPr>
          <w:p w14:paraId="3F778DA7"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68821E86" w14:textId="16AEABB8"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0.907742</w:t>
            </w:r>
          </w:p>
        </w:tc>
      </w:tr>
      <w:tr w:rsidR="005F2866" w:rsidRPr="00112933" w14:paraId="2826CD8E" w14:textId="77777777" w:rsidTr="00D364A7">
        <w:trPr>
          <w:trHeight w:val="214"/>
        </w:trPr>
        <w:tc>
          <w:tcPr>
            <w:tcW w:w="5559" w:type="dxa"/>
            <w:noWrap/>
            <w:hideMark/>
          </w:tcPr>
          <w:p w14:paraId="5F3B449E" w14:textId="77777777" w:rsidR="005F2866" w:rsidRPr="00112933" w:rsidRDefault="005F2866" w:rsidP="00BF632A">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7FC448B9" w14:textId="4A53FA0A" w:rsidR="005F2866" w:rsidRPr="00112933" w:rsidRDefault="005F2866" w:rsidP="00BF632A">
            <w:pPr>
              <w:spacing w:line="360" w:lineRule="auto"/>
              <w:ind w:firstLine="709"/>
              <w:rPr>
                <w:rFonts w:eastAsiaTheme="minorHAnsi" w:cs="Times New Roman"/>
                <w:sz w:val="28"/>
                <w:szCs w:val="28"/>
                <w:lang w:val="uk-UA"/>
              </w:rPr>
            </w:pPr>
            <w:r w:rsidRPr="00112933">
              <w:rPr>
                <w:rFonts w:cs="Times New Roman"/>
                <w:sz w:val="28"/>
                <w:szCs w:val="28"/>
              </w:rPr>
              <w:t>0.904447</w:t>
            </w:r>
          </w:p>
        </w:tc>
      </w:tr>
      <w:tr w:rsidR="005F2866" w:rsidRPr="00112933" w14:paraId="272278DA" w14:textId="77777777" w:rsidTr="00D364A7">
        <w:trPr>
          <w:trHeight w:val="214"/>
        </w:trPr>
        <w:tc>
          <w:tcPr>
            <w:tcW w:w="5559" w:type="dxa"/>
            <w:noWrap/>
            <w:hideMark/>
          </w:tcPr>
          <w:p w14:paraId="73A88D3C" w14:textId="77777777" w:rsidR="005F2866" w:rsidRPr="00112933" w:rsidRDefault="005F2866" w:rsidP="00BF632A">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243F3008" w14:textId="739660E9" w:rsidR="005F2866" w:rsidRPr="00112933" w:rsidRDefault="005F2866" w:rsidP="00BF632A">
            <w:pPr>
              <w:spacing w:line="360" w:lineRule="auto"/>
              <w:ind w:firstLine="709"/>
              <w:rPr>
                <w:rFonts w:eastAsiaTheme="minorHAnsi" w:cs="Times New Roman"/>
                <w:sz w:val="28"/>
                <w:szCs w:val="28"/>
              </w:rPr>
            </w:pPr>
            <w:r w:rsidRPr="00112933">
              <w:rPr>
                <w:rFonts w:cs="Times New Roman"/>
                <w:sz w:val="28"/>
                <w:szCs w:val="28"/>
              </w:rPr>
              <w:t>0.724943</w:t>
            </w:r>
          </w:p>
        </w:tc>
      </w:tr>
      <w:tr w:rsidR="005F2866" w:rsidRPr="00112933" w14:paraId="253B98DD" w14:textId="77777777" w:rsidTr="00D364A7">
        <w:trPr>
          <w:trHeight w:val="226"/>
        </w:trPr>
        <w:tc>
          <w:tcPr>
            <w:tcW w:w="5559" w:type="dxa"/>
            <w:noWrap/>
            <w:hideMark/>
          </w:tcPr>
          <w:p w14:paraId="708303C8" w14:textId="77777777" w:rsidR="005F2866" w:rsidRPr="00112933" w:rsidRDefault="005F2866" w:rsidP="00BF632A">
            <w:pPr>
              <w:spacing w:before="100" w:beforeAutospacing="1"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6D34FF86" w14:textId="7A1288E4" w:rsidR="005F2866" w:rsidRPr="00112933" w:rsidRDefault="005F2866" w:rsidP="00BF632A">
            <w:pPr>
              <w:spacing w:before="100" w:beforeAutospacing="1" w:line="360" w:lineRule="auto"/>
              <w:ind w:firstLine="709"/>
              <w:rPr>
                <w:rFonts w:eastAsiaTheme="minorHAnsi" w:cs="Times New Roman"/>
                <w:sz w:val="28"/>
                <w:szCs w:val="28"/>
              </w:rPr>
            </w:pPr>
            <w:r w:rsidRPr="00112933">
              <w:rPr>
                <w:rFonts w:cs="Times New Roman"/>
                <w:sz w:val="28"/>
                <w:szCs w:val="28"/>
              </w:rPr>
              <w:t>30</w:t>
            </w:r>
          </w:p>
        </w:tc>
      </w:tr>
    </w:tbl>
    <w:p w14:paraId="1F5A229C" w14:textId="19E5D185" w:rsidR="00664BE9" w:rsidRPr="002A01E2" w:rsidRDefault="00217D8A" w:rsidP="00BF632A">
      <w:pPr>
        <w:spacing w:before="100" w:beforeAutospacing="1"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Звертає на себе увагу той факт, що коефіцієнт детермінації, позначений як R-квадрат, дорівнює 0.91, що вказує на стійку залежність між значенням вмісту відновленого глутатіону у ротовій рідині та ступенем запалення тканин пародонту та доводить що 91 % змінюваності одного параметру залежить від змінюваності іншого. Множинний </w:t>
      </w:r>
      <w:r w:rsidRPr="00112933">
        <w:rPr>
          <w:rFonts w:ascii="Times New Roman" w:hAnsi="Times New Roman" w:cs="Times New Roman"/>
          <w:sz w:val="28"/>
          <w:szCs w:val="28"/>
        </w:rPr>
        <w:t>R</w:t>
      </w:r>
      <w:r w:rsidRPr="00112933">
        <w:rPr>
          <w:rFonts w:ascii="Times New Roman" w:hAnsi="Times New Roman" w:cs="Times New Roman"/>
          <w:sz w:val="28"/>
          <w:szCs w:val="28"/>
          <w:lang w:val="uk-UA"/>
        </w:rPr>
        <w:t xml:space="preserve"> є коефіцієнтом кореляції та підтверджує залежність досілджуваних параметрів.</w:t>
      </w:r>
    </w:p>
    <w:p w14:paraId="782318F5" w14:textId="5F6DDDAB" w:rsidR="005F2866" w:rsidRPr="00112933" w:rsidRDefault="005F2866"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Табл</w:t>
      </w:r>
      <w:r w:rsidR="00E9728E" w:rsidRPr="00112933">
        <w:rPr>
          <w:rFonts w:ascii="Times New Roman" w:hAnsi="Times New Roman"/>
          <w:sz w:val="28"/>
          <w:szCs w:val="28"/>
          <w:lang w:val="uk-UA"/>
        </w:rPr>
        <w:t>иця 8</w:t>
      </w:r>
      <w:r w:rsidR="00C74BC5">
        <w:rPr>
          <w:rFonts w:ascii="Times New Roman" w:hAnsi="Times New Roman"/>
          <w:sz w:val="28"/>
          <w:szCs w:val="28"/>
          <w:lang w:val="uk-UA"/>
        </w:rPr>
        <w:t>.39</w:t>
      </w:r>
    </w:p>
    <w:p w14:paraId="758161B7" w14:textId="4A2F1D6B" w:rsidR="005F2866" w:rsidRPr="00112933" w:rsidRDefault="005F2866" w:rsidP="00C74BC5">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Дисперсійний аналіз регресійної статистики рівню глутатіону та індексу РМА у третій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5F2866" w:rsidRPr="00112933" w14:paraId="0CE86453" w14:textId="77777777" w:rsidTr="00D364A7">
        <w:trPr>
          <w:trHeight w:val="269"/>
        </w:trPr>
        <w:tc>
          <w:tcPr>
            <w:tcW w:w="1668" w:type="dxa"/>
            <w:noWrap/>
            <w:hideMark/>
          </w:tcPr>
          <w:p w14:paraId="7F8EAD47"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 </w:t>
            </w:r>
          </w:p>
        </w:tc>
        <w:tc>
          <w:tcPr>
            <w:tcW w:w="1141" w:type="dxa"/>
            <w:noWrap/>
            <w:hideMark/>
          </w:tcPr>
          <w:p w14:paraId="1F9A6A1E"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df</w:t>
            </w:r>
          </w:p>
        </w:tc>
        <w:tc>
          <w:tcPr>
            <w:tcW w:w="1505" w:type="dxa"/>
            <w:noWrap/>
            <w:hideMark/>
          </w:tcPr>
          <w:p w14:paraId="01E5B4FA"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SS</w:t>
            </w:r>
          </w:p>
        </w:tc>
        <w:tc>
          <w:tcPr>
            <w:tcW w:w="1505" w:type="dxa"/>
            <w:noWrap/>
            <w:hideMark/>
          </w:tcPr>
          <w:p w14:paraId="645C9783"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MS</w:t>
            </w:r>
          </w:p>
        </w:tc>
        <w:tc>
          <w:tcPr>
            <w:tcW w:w="1505" w:type="dxa"/>
            <w:noWrap/>
            <w:hideMark/>
          </w:tcPr>
          <w:p w14:paraId="4F2D5B60"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rPr>
              <w:t>F</w:t>
            </w:r>
          </w:p>
        </w:tc>
        <w:tc>
          <w:tcPr>
            <w:tcW w:w="1997" w:type="dxa"/>
            <w:noWrap/>
            <w:hideMark/>
          </w:tcPr>
          <w:p w14:paraId="1A175A1A" w14:textId="77777777" w:rsidR="005F2866" w:rsidRPr="00112933" w:rsidRDefault="005F2866" w:rsidP="002A01E2">
            <w:pPr>
              <w:spacing w:line="276" w:lineRule="auto"/>
              <w:jc w:val="center"/>
              <w:rPr>
                <w:rFonts w:eastAsia="Times New Roman"/>
                <w:i/>
                <w:iCs/>
                <w:sz w:val="28"/>
                <w:szCs w:val="28"/>
                <w:lang w:val="uk-UA"/>
              </w:rPr>
            </w:pPr>
            <w:r w:rsidRPr="00112933">
              <w:rPr>
                <w:rFonts w:eastAsia="Times New Roman"/>
                <w:i/>
                <w:iCs/>
                <w:sz w:val="28"/>
                <w:szCs w:val="28"/>
                <w:lang w:val="uk-UA"/>
              </w:rPr>
              <w:t xml:space="preserve">Значимість </w:t>
            </w:r>
            <w:r w:rsidRPr="00112933">
              <w:rPr>
                <w:rFonts w:eastAsia="Times New Roman"/>
                <w:i/>
                <w:iCs/>
                <w:sz w:val="28"/>
                <w:szCs w:val="28"/>
              </w:rPr>
              <w:t>F</w:t>
            </w:r>
          </w:p>
        </w:tc>
      </w:tr>
      <w:tr w:rsidR="005F2866" w:rsidRPr="00112933" w14:paraId="27F46CF8" w14:textId="77777777" w:rsidTr="00D364A7">
        <w:trPr>
          <w:trHeight w:val="269"/>
        </w:trPr>
        <w:tc>
          <w:tcPr>
            <w:tcW w:w="1668" w:type="dxa"/>
            <w:noWrap/>
            <w:hideMark/>
          </w:tcPr>
          <w:p w14:paraId="4A5D8590" w14:textId="77777777" w:rsidR="005F2866" w:rsidRPr="00112933" w:rsidRDefault="005F2866" w:rsidP="002A01E2">
            <w:pPr>
              <w:spacing w:line="276" w:lineRule="auto"/>
              <w:rPr>
                <w:rFonts w:eastAsiaTheme="minorHAnsi" w:cstheme="minorBidi"/>
                <w:sz w:val="28"/>
                <w:szCs w:val="28"/>
              </w:rPr>
            </w:pPr>
            <w:r w:rsidRPr="00112933">
              <w:rPr>
                <w:rFonts w:eastAsiaTheme="minorHAnsi" w:cstheme="minorBidi"/>
                <w:sz w:val="28"/>
                <w:szCs w:val="28"/>
                <w:lang w:val="uk-UA"/>
              </w:rPr>
              <w:t>Рег</w:t>
            </w:r>
            <w:r w:rsidRPr="00112933">
              <w:rPr>
                <w:rFonts w:eastAsiaTheme="minorHAnsi" w:cstheme="minorBidi"/>
                <w:sz w:val="28"/>
                <w:szCs w:val="28"/>
              </w:rPr>
              <w:t>ресія</w:t>
            </w:r>
          </w:p>
        </w:tc>
        <w:tc>
          <w:tcPr>
            <w:tcW w:w="1141" w:type="dxa"/>
            <w:noWrap/>
            <w:vAlign w:val="bottom"/>
            <w:hideMark/>
          </w:tcPr>
          <w:p w14:paraId="00D9D51C" w14:textId="7A89DFAE"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w:t>
            </w:r>
          </w:p>
        </w:tc>
        <w:tc>
          <w:tcPr>
            <w:tcW w:w="1505" w:type="dxa"/>
            <w:noWrap/>
            <w:vAlign w:val="bottom"/>
            <w:hideMark/>
          </w:tcPr>
          <w:p w14:paraId="3FD146F3" w14:textId="2434E727"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144.7848</w:t>
            </w:r>
          </w:p>
        </w:tc>
        <w:tc>
          <w:tcPr>
            <w:tcW w:w="1505" w:type="dxa"/>
            <w:noWrap/>
            <w:vAlign w:val="bottom"/>
            <w:hideMark/>
          </w:tcPr>
          <w:p w14:paraId="5A9B9F76" w14:textId="0A4FDECF"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144.7848</w:t>
            </w:r>
          </w:p>
        </w:tc>
        <w:tc>
          <w:tcPr>
            <w:tcW w:w="1505" w:type="dxa"/>
            <w:noWrap/>
            <w:vAlign w:val="bottom"/>
            <w:hideMark/>
          </w:tcPr>
          <w:p w14:paraId="1F41463D" w14:textId="2B6F27F1"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275.4963</w:t>
            </w:r>
          </w:p>
        </w:tc>
        <w:tc>
          <w:tcPr>
            <w:tcW w:w="1997" w:type="dxa"/>
            <w:noWrap/>
            <w:vAlign w:val="bottom"/>
            <w:hideMark/>
          </w:tcPr>
          <w:p w14:paraId="263059DE" w14:textId="7F4D79C9"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5.06E-16</w:t>
            </w:r>
          </w:p>
        </w:tc>
      </w:tr>
      <w:tr w:rsidR="005F2866" w:rsidRPr="00112933" w14:paraId="51CD755A" w14:textId="77777777" w:rsidTr="00D364A7">
        <w:trPr>
          <w:trHeight w:val="269"/>
        </w:trPr>
        <w:tc>
          <w:tcPr>
            <w:tcW w:w="1668" w:type="dxa"/>
            <w:noWrap/>
            <w:hideMark/>
          </w:tcPr>
          <w:p w14:paraId="67053F55" w14:textId="77777777" w:rsidR="005F2866" w:rsidRPr="00112933" w:rsidRDefault="005F2866" w:rsidP="002A01E2">
            <w:pPr>
              <w:spacing w:line="276" w:lineRule="auto"/>
              <w:rPr>
                <w:rFonts w:eastAsiaTheme="minorHAnsi" w:cstheme="minorBidi"/>
                <w:sz w:val="28"/>
                <w:szCs w:val="28"/>
              </w:rPr>
            </w:pPr>
            <w:r w:rsidRPr="00112933">
              <w:rPr>
                <w:rFonts w:eastAsiaTheme="minorHAnsi" w:cstheme="minorBidi"/>
                <w:sz w:val="28"/>
                <w:szCs w:val="28"/>
              </w:rPr>
              <w:t>Залишок</w:t>
            </w:r>
          </w:p>
        </w:tc>
        <w:tc>
          <w:tcPr>
            <w:tcW w:w="1141" w:type="dxa"/>
            <w:noWrap/>
            <w:vAlign w:val="bottom"/>
            <w:hideMark/>
          </w:tcPr>
          <w:p w14:paraId="4F5B8688" w14:textId="4F7F697D"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28</w:t>
            </w:r>
          </w:p>
        </w:tc>
        <w:tc>
          <w:tcPr>
            <w:tcW w:w="1505" w:type="dxa"/>
            <w:noWrap/>
            <w:vAlign w:val="bottom"/>
            <w:hideMark/>
          </w:tcPr>
          <w:p w14:paraId="0544E368" w14:textId="78169C9A"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14.71517</w:t>
            </w:r>
          </w:p>
        </w:tc>
        <w:tc>
          <w:tcPr>
            <w:tcW w:w="1505" w:type="dxa"/>
            <w:noWrap/>
            <w:vAlign w:val="bottom"/>
            <w:hideMark/>
          </w:tcPr>
          <w:p w14:paraId="3ED4B1A5" w14:textId="2D88CC37" w:rsidR="005F2866" w:rsidRPr="00112933" w:rsidRDefault="005F2866" w:rsidP="002A01E2">
            <w:pPr>
              <w:spacing w:line="276" w:lineRule="auto"/>
              <w:jc w:val="right"/>
              <w:rPr>
                <w:rFonts w:eastAsia="Times New Roman" w:cs="Times New Roman"/>
                <w:sz w:val="28"/>
                <w:szCs w:val="28"/>
              </w:rPr>
            </w:pPr>
            <w:r w:rsidRPr="00112933">
              <w:rPr>
                <w:rFonts w:cs="Times New Roman"/>
                <w:sz w:val="28"/>
                <w:szCs w:val="28"/>
              </w:rPr>
              <w:t>0.525542</w:t>
            </w:r>
          </w:p>
        </w:tc>
        <w:tc>
          <w:tcPr>
            <w:tcW w:w="1505" w:type="dxa"/>
            <w:noWrap/>
            <w:vAlign w:val="bottom"/>
            <w:hideMark/>
          </w:tcPr>
          <w:p w14:paraId="00AFEEDF" w14:textId="77777777" w:rsidR="005F2866" w:rsidRPr="00112933" w:rsidRDefault="005F2866" w:rsidP="002A01E2">
            <w:pPr>
              <w:spacing w:line="276" w:lineRule="auto"/>
              <w:jc w:val="right"/>
              <w:rPr>
                <w:rFonts w:eastAsia="Times New Roman" w:cs="Times New Roman"/>
                <w:sz w:val="28"/>
                <w:szCs w:val="28"/>
              </w:rPr>
            </w:pPr>
          </w:p>
        </w:tc>
        <w:tc>
          <w:tcPr>
            <w:tcW w:w="1997" w:type="dxa"/>
            <w:noWrap/>
            <w:vAlign w:val="bottom"/>
            <w:hideMark/>
          </w:tcPr>
          <w:p w14:paraId="786B9203" w14:textId="77777777" w:rsidR="005F2866" w:rsidRPr="00112933" w:rsidRDefault="005F2866" w:rsidP="002A01E2">
            <w:pPr>
              <w:spacing w:line="276" w:lineRule="auto"/>
              <w:rPr>
                <w:rFonts w:eastAsia="Times New Roman" w:cs="Times New Roman"/>
                <w:sz w:val="28"/>
                <w:szCs w:val="28"/>
              </w:rPr>
            </w:pPr>
          </w:p>
        </w:tc>
      </w:tr>
      <w:tr w:rsidR="005F2866" w:rsidRPr="002804DE" w14:paraId="130857A7" w14:textId="77777777" w:rsidTr="00D364A7">
        <w:trPr>
          <w:trHeight w:val="284"/>
        </w:trPr>
        <w:tc>
          <w:tcPr>
            <w:tcW w:w="1668" w:type="dxa"/>
            <w:noWrap/>
            <w:hideMark/>
          </w:tcPr>
          <w:p w14:paraId="521BD13D" w14:textId="77777777" w:rsidR="005F2866" w:rsidRPr="002804DE" w:rsidRDefault="005F2866" w:rsidP="002A01E2">
            <w:pPr>
              <w:spacing w:line="276" w:lineRule="auto"/>
              <w:rPr>
                <w:rFonts w:eastAsiaTheme="minorHAnsi" w:cstheme="minorBidi"/>
                <w:color w:val="222222"/>
                <w:sz w:val="28"/>
                <w:szCs w:val="28"/>
                <w:lang w:val="uk-UA"/>
              </w:rPr>
            </w:pPr>
            <w:r w:rsidRPr="002804DE">
              <w:rPr>
                <w:rFonts w:eastAsiaTheme="minorHAnsi" w:cstheme="minorBidi"/>
                <w:color w:val="222222"/>
                <w:sz w:val="28"/>
                <w:szCs w:val="28"/>
                <w:lang w:val="uk-UA"/>
              </w:rPr>
              <w:t>Разом</w:t>
            </w:r>
          </w:p>
        </w:tc>
        <w:tc>
          <w:tcPr>
            <w:tcW w:w="1141" w:type="dxa"/>
            <w:noWrap/>
            <w:vAlign w:val="bottom"/>
            <w:hideMark/>
          </w:tcPr>
          <w:p w14:paraId="1036FF4F" w14:textId="0543FC7A"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29</w:t>
            </w:r>
          </w:p>
        </w:tc>
        <w:tc>
          <w:tcPr>
            <w:tcW w:w="1505" w:type="dxa"/>
            <w:noWrap/>
            <w:vAlign w:val="bottom"/>
            <w:hideMark/>
          </w:tcPr>
          <w:p w14:paraId="28ED2DA0" w14:textId="63864C86"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159.5</w:t>
            </w:r>
          </w:p>
        </w:tc>
        <w:tc>
          <w:tcPr>
            <w:tcW w:w="1505" w:type="dxa"/>
            <w:noWrap/>
            <w:vAlign w:val="bottom"/>
            <w:hideMark/>
          </w:tcPr>
          <w:p w14:paraId="2DFC283F" w14:textId="5BF833F2"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c>
          <w:tcPr>
            <w:tcW w:w="1505" w:type="dxa"/>
            <w:noWrap/>
            <w:vAlign w:val="bottom"/>
            <w:hideMark/>
          </w:tcPr>
          <w:p w14:paraId="3DA0B98D" w14:textId="4B206062"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c>
          <w:tcPr>
            <w:tcW w:w="1997" w:type="dxa"/>
            <w:noWrap/>
            <w:vAlign w:val="bottom"/>
            <w:hideMark/>
          </w:tcPr>
          <w:p w14:paraId="59FB26B2" w14:textId="0D7AE8D4"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 </w:t>
            </w:r>
          </w:p>
        </w:tc>
      </w:tr>
    </w:tbl>
    <w:p w14:paraId="4217651B" w14:textId="77777777" w:rsidR="005F2866" w:rsidRPr="002804DE" w:rsidRDefault="005F2866" w:rsidP="00C74BC5">
      <w:pPr>
        <w:spacing w:after="0" w:line="360" w:lineRule="auto"/>
        <w:ind w:firstLine="709"/>
        <w:rPr>
          <w:rFonts w:ascii="Times New Roman" w:hAnsi="Times New Roman"/>
          <w:sz w:val="28"/>
          <w:szCs w:val="28"/>
          <w:lang w:val="ru-RU"/>
        </w:rPr>
      </w:pPr>
    </w:p>
    <w:p w14:paraId="168E8292" w14:textId="1E501DB8" w:rsidR="005F2866" w:rsidRDefault="00E9728E" w:rsidP="00C74BC5">
      <w:pPr>
        <w:spacing w:after="0" w:line="360" w:lineRule="auto"/>
        <w:ind w:firstLine="709"/>
        <w:jc w:val="right"/>
        <w:rPr>
          <w:rFonts w:ascii="Times New Roman" w:hAnsi="Times New Roman"/>
          <w:color w:val="222222"/>
          <w:sz w:val="28"/>
          <w:szCs w:val="28"/>
          <w:lang w:val="uk-UA"/>
        </w:rPr>
      </w:pPr>
      <w:r>
        <w:rPr>
          <w:rFonts w:ascii="Times New Roman" w:hAnsi="Times New Roman"/>
          <w:color w:val="222222"/>
          <w:sz w:val="28"/>
          <w:szCs w:val="28"/>
          <w:lang w:val="uk-UA"/>
        </w:rPr>
        <w:t>Таблиця 8.</w:t>
      </w:r>
      <w:r w:rsidR="00C74BC5">
        <w:rPr>
          <w:rFonts w:ascii="Times New Roman" w:hAnsi="Times New Roman"/>
          <w:color w:val="222222"/>
          <w:sz w:val="28"/>
          <w:szCs w:val="28"/>
          <w:lang w:val="uk-UA"/>
        </w:rPr>
        <w:t>40</w:t>
      </w:r>
    </w:p>
    <w:p w14:paraId="7433D2A2" w14:textId="77777777" w:rsidR="005F2866" w:rsidRPr="002804DE" w:rsidRDefault="005F2866" w:rsidP="00C74BC5">
      <w:pPr>
        <w:spacing w:after="0" w:line="360" w:lineRule="auto"/>
        <w:ind w:firstLine="709"/>
        <w:jc w:val="center"/>
        <w:rPr>
          <w:rFonts w:ascii="Times New Roman" w:hAnsi="Times New Roman"/>
          <w:color w:val="222222"/>
          <w:sz w:val="28"/>
          <w:szCs w:val="28"/>
          <w:lang w:val="uk-UA"/>
        </w:rPr>
      </w:pPr>
      <w:r w:rsidRPr="002804DE">
        <w:rPr>
          <w:rFonts w:ascii="Times New Roman" w:hAnsi="Times New Roman"/>
          <w:color w:val="222222"/>
          <w:sz w:val="28"/>
          <w:szCs w:val="28"/>
          <w:lang w:val="uk-UA"/>
        </w:rPr>
        <w:t>Визначення коефіцієнтів</w:t>
      </w:r>
      <w:r>
        <w:rPr>
          <w:rFonts w:ascii="Times New Roman" w:hAnsi="Times New Roman"/>
          <w:color w:val="222222"/>
          <w:sz w:val="28"/>
          <w:szCs w:val="28"/>
          <w:lang w:val="uk-UA"/>
        </w:rPr>
        <w:t xml:space="preserve"> регресійної статистики</w:t>
      </w:r>
    </w:p>
    <w:tbl>
      <w:tblPr>
        <w:tblStyle w:val="TableGrid"/>
        <w:tblW w:w="9520" w:type="dxa"/>
        <w:tblLook w:val="04A0" w:firstRow="1" w:lastRow="0" w:firstColumn="1" w:lastColumn="0" w:noHBand="0" w:noVBand="1"/>
      </w:tblPr>
      <w:tblGrid>
        <w:gridCol w:w="2021"/>
        <w:gridCol w:w="2254"/>
        <w:gridCol w:w="2021"/>
        <w:gridCol w:w="1859"/>
        <w:gridCol w:w="1365"/>
      </w:tblGrid>
      <w:tr w:rsidR="005F2866" w:rsidRPr="005F2866" w14:paraId="4DC88F6F" w14:textId="77777777" w:rsidTr="00D364A7">
        <w:trPr>
          <w:trHeight w:val="249"/>
        </w:trPr>
        <w:tc>
          <w:tcPr>
            <w:tcW w:w="2021" w:type="dxa"/>
            <w:noWrap/>
            <w:hideMark/>
          </w:tcPr>
          <w:p w14:paraId="03248884" w14:textId="77777777" w:rsidR="005F2866" w:rsidRPr="002804DE" w:rsidRDefault="005F2866" w:rsidP="002A01E2">
            <w:pPr>
              <w:spacing w:line="276" w:lineRule="auto"/>
              <w:jc w:val="center"/>
              <w:rPr>
                <w:rFonts w:eastAsia="Times New Roman"/>
                <w:i/>
                <w:iCs/>
                <w:sz w:val="28"/>
                <w:szCs w:val="28"/>
              </w:rPr>
            </w:pPr>
            <w:r w:rsidRPr="002804DE">
              <w:rPr>
                <w:rFonts w:eastAsia="Times New Roman"/>
                <w:i/>
                <w:iCs/>
                <w:sz w:val="28"/>
                <w:szCs w:val="28"/>
              </w:rPr>
              <w:t> </w:t>
            </w:r>
          </w:p>
        </w:tc>
        <w:tc>
          <w:tcPr>
            <w:tcW w:w="2254" w:type="dxa"/>
            <w:noWrap/>
            <w:hideMark/>
          </w:tcPr>
          <w:p w14:paraId="2B95E694" w14:textId="77777777" w:rsidR="005F2866" w:rsidRPr="002804DE" w:rsidRDefault="005F2866" w:rsidP="002A01E2">
            <w:pPr>
              <w:spacing w:line="276" w:lineRule="auto"/>
              <w:rPr>
                <w:rFonts w:eastAsiaTheme="minorHAnsi" w:cstheme="minorBidi"/>
                <w:i/>
                <w:iCs/>
                <w:color w:val="222222"/>
                <w:sz w:val="28"/>
                <w:szCs w:val="28"/>
                <w:lang w:val="uk-UA"/>
              </w:rPr>
            </w:pPr>
            <w:r w:rsidRPr="002804DE">
              <w:rPr>
                <w:rFonts w:eastAsiaTheme="minorHAnsi" w:cstheme="minorBidi"/>
                <w:i/>
                <w:iCs/>
                <w:color w:val="222222"/>
                <w:sz w:val="28"/>
                <w:szCs w:val="28"/>
                <w:lang w:val="uk-UA"/>
              </w:rPr>
              <w:t>Коефіцієнти</w:t>
            </w:r>
          </w:p>
        </w:tc>
        <w:tc>
          <w:tcPr>
            <w:tcW w:w="2021" w:type="dxa"/>
            <w:noWrap/>
            <w:hideMark/>
          </w:tcPr>
          <w:p w14:paraId="30BB7F34" w14:textId="77777777" w:rsidR="005F2866" w:rsidRPr="002804DE" w:rsidRDefault="005F2866" w:rsidP="002A01E2">
            <w:pPr>
              <w:spacing w:line="276" w:lineRule="auto"/>
              <w:rPr>
                <w:rFonts w:eastAsiaTheme="minorHAnsi" w:cstheme="minorBidi"/>
                <w:i/>
                <w:iCs/>
                <w:color w:val="222222"/>
                <w:sz w:val="28"/>
                <w:szCs w:val="28"/>
                <w:lang w:val="uk-UA"/>
              </w:rPr>
            </w:pPr>
            <w:r w:rsidRPr="002804DE">
              <w:rPr>
                <w:rFonts w:eastAsiaTheme="minorHAnsi" w:cstheme="minorBidi"/>
                <w:i/>
                <w:iCs/>
                <w:color w:val="222222"/>
                <w:sz w:val="28"/>
                <w:szCs w:val="28"/>
                <w:lang w:val="uk-UA"/>
              </w:rPr>
              <w:t>Стандартна помилка</w:t>
            </w:r>
          </w:p>
        </w:tc>
        <w:tc>
          <w:tcPr>
            <w:tcW w:w="1859" w:type="dxa"/>
            <w:noWrap/>
            <w:hideMark/>
          </w:tcPr>
          <w:p w14:paraId="240BCAA7" w14:textId="77777777" w:rsidR="005F2866" w:rsidRPr="002804DE" w:rsidRDefault="005F2866" w:rsidP="002A01E2">
            <w:pPr>
              <w:spacing w:line="276" w:lineRule="auto"/>
              <w:ind w:firstLine="709"/>
              <w:rPr>
                <w:rFonts w:eastAsiaTheme="minorHAnsi" w:cstheme="minorBidi"/>
                <w:i/>
                <w:iCs/>
                <w:color w:val="222222"/>
                <w:sz w:val="28"/>
                <w:szCs w:val="28"/>
              </w:rPr>
            </w:pPr>
            <w:r w:rsidRPr="002804DE">
              <w:rPr>
                <w:rFonts w:eastAsiaTheme="minorHAnsi" w:cstheme="minorBidi"/>
                <w:i/>
                <w:iCs/>
                <w:color w:val="222222"/>
                <w:sz w:val="28"/>
                <w:szCs w:val="28"/>
              </w:rPr>
              <w:t>t-статистика</w:t>
            </w:r>
          </w:p>
        </w:tc>
        <w:tc>
          <w:tcPr>
            <w:tcW w:w="1365" w:type="dxa"/>
            <w:noWrap/>
            <w:hideMark/>
          </w:tcPr>
          <w:p w14:paraId="736A3D8F" w14:textId="77777777" w:rsidR="005F2866" w:rsidRPr="002804DE" w:rsidRDefault="005F2866" w:rsidP="002A01E2">
            <w:pPr>
              <w:spacing w:line="276" w:lineRule="auto"/>
              <w:ind w:firstLine="709"/>
              <w:rPr>
                <w:rFonts w:eastAsiaTheme="minorHAnsi" w:cstheme="minorBidi"/>
                <w:i/>
                <w:iCs/>
                <w:color w:val="222222"/>
                <w:sz w:val="28"/>
                <w:szCs w:val="28"/>
                <w:lang w:val="uk-UA"/>
              </w:rPr>
            </w:pPr>
            <w:r w:rsidRPr="002804DE">
              <w:rPr>
                <w:rFonts w:eastAsiaTheme="minorHAnsi" w:cstheme="minorBidi"/>
                <w:i/>
                <w:iCs/>
                <w:color w:val="222222"/>
                <w:sz w:val="28"/>
                <w:szCs w:val="28"/>
              </w:rPr>
              <w:t>P-</w:t>
            </w:r>
            <w:r w:rsidRPr="002804DE">
              <w:rPr>
                <w:rFonts w:eastAsiaTheme="minorHAnsi" w:cstheme="minorBidi"/>
                <w:i/>
                <w:iCs/>
                <w:color w:val="222222"/>
                <w:sz w:val="28"/>
                <w:szCs w:val="28"/>
                <w:lang w:val="uk-UA"/>
              </w:rPr>
              <w:t>значення</w:t>
            </w:r>
          </w:p>
        </w:tc>
      </w:tr>
      <w:tr w:rsidR="005F2866" w:rsidRPr="002804DE" w14:paraId="55232B25" w14:textId="77777777" w:rsidTr="00D364A7">
        <w:trPr>
          <w:trHeight w:val="249"/>
        </w:trPr>
        <w:tc>
          <w:tcPr>
            <w:tcW w:w="2021" w:type="dxa"/>
            <w:noWrap/>
            <w:hideMark/>
          </w:tcPr>
          <w:p w14:paraId="2233722A" w14:textId="77777777" w:rsidR="005F2866" w:rsidRPr="002804DE" w:rsidRDefault="005F2866" w:rsidP="002A01E2">
            <w:pPr>
              <w:spacing w:line="276" w:lineRule="auto"/>
              <w:rPr>
                <w:rFonts w:eastAsiaTheme="minorHAnsi" w:cstheme="minorBidi"/>
                <w:color w:val="222222"/>
                <w:sz w:val="28"/>
                <w:szCs w:val="28"/>
              </w:rPr>
            </w:pPr>
            <w:r w:rsidRPr="002804DE">
              <w:rPr>
                <w:rFonts w:eastAsiaTheme="minorHAnsi" w:cstheme="minorBidi"/>
                <w:color w:val="222222"/>
                <w:sz w:val="28"/>
                <w:szCs w:val="28"/>
              </w:rPr>
              <w:t>Y-пересічення</w:t>
            </w:r>
          </w:p>
        </w:tc>
        <w:tc>
          <w:tcPr>
            <w:tcW w:w="2254" w:type="dxa"/>
            <w:noWrap/>
            <w:vAlign w:val="bottom"/>
            <w:hideMark/>
          </w:tcPr>
          <w:p w14:paraId="2AAF6AC2" w14:textId="24700A71"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40.97408</w:t>
            </w:r>
          </w:p>
        </w:tc>
        <w:tc>
          <w:tcPr>
            <w:tcW w:w="2021" w:type="dxa"/>
            <w:noWrap/>
            <w:vAlign w:val="bottom"/>
            <w:hideMark/>
          </w:tcPr>
          <w:p w14:paraId="269F627B" w14:textId="29BA021F"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0.355369</w:t>
            </w:r>
          </w:p>
        </w:tc>
        <w:tc>
          <w:tcPr>
            <w:tcW w:w="1859" w:type="dxa"/>
            <w:noWrap/>
            <w:vAlign w:val="bottom"/>
            <w:hideMark/>
          </w:tcPr>
          <w:p w14:paraId="4B91BF88" w14:textId="1DCB6C1F"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115.3</w:t>
            </w:r>
          </w:p>
        </w:tc>
        <w:tc>
          <w:tcPr>
            <w:tcW w:w="1365" w:type="dxa"/>
            <w:noWrap/>
            <w:vAlign w:val="bottom"/>
            <w:hideMark/>
          </w:tcPr>
          <w:p w14:paraId="316D9CBF" w14:textId="2AE8A91C"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4.91E-39</w:t>
            </w:r>
          </w:p>
        </w:tc>
      </w:tr>
      <w:tr w:rsidR="005F2866" w:rsidRPr="002804DE" w14:paraId="150A171D" w14:textId="77777777" w:rsidTr="00D364A7">
        <w:trPr>
          <w:trHeight w:val="264"/>
        </w:trPr>
        <w:tc>
          <w:tcPr>
            <w:tcW w:w="2021" w:type="dxa"/>
            <w:noWrap/>
            <w:hideMark/>
          </w:tcPr>
          <w:p w14:paraId="413B0987" w14:textId="77777777" w:rsidR="005F2866" w:rsidRPr="002804DE" w:rsidRDefault="005F2866" w:rsidP="002A01E2">
            <w:pPr>
              <w:spacing w:line="276" w:lineRule="auto"/>
              <w:rPr>
                <w:rFonts w:eastAsiaTheme="minorHAnsi" w:cstheme="minorBidi"/>
                <w:color w:val="222222"/>
                <w:sz w:val="28"/>
                <w:szCs w:val="28"/>
              </w:rPr>
            </w:pPr>
            <w:r w:rsidRPr="002804DE">
              <w:rPr>
                <w:rFonts w:eastAsiaTheme="minorHAnsi" w:cstheme="minorBidi"/>
                <w:color w:val="222222"/>
                <w:sz w:val="28"/>
                <w:szCs w:val="28"/>
                <w:lang w:val="uk-UA"/>
              </w:rPr>
              <w:t>Змінна</w:t>
            </w:r>
            <w:r w:rsidRPr="002804DE">
              <w:rPr>
                <w:rFonts w:eastAsiaTheme="minorHAnsi" w:cstheme="minorBidi"/>
                <w:color w:val="222222"/>
                <w:sz w:val="28"/>
                <w:szCs w:val="28"/>
              </w:rPr>
              <w:t xml:space="preserve"> X 1</w:t>
            </w:r>
          </w:p>
        </w:tc>
        <w:tc>
          <w:tcPr>
            <w:tcW w:w="2254" w:type="dxa"/>
            <w:noWrap/>
            <w:vAlign w:val="bottom"/>
            <w:hideMark/>
          </w:tcPr>
          <w:p w14:paraId="10E946C7" w14:textId="025BEA14"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-2.49199</w:t>
            </w:r>
          </w:p>
        </w:tc>
        <w:tc>
          <w:tcPr>
            <w:tcW w:w="2021" w:type="dxa"/>
            <w:noWrap/>
            <w:vAlign w:val="bottom"/>
            <w:hideMark/>
          </w:tcPr>
          <w:p w14:paraId="604D05C0" w14:textId="1143E28B"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0.150137</w:t>
            </w:r>
          </w:p>
        </w:tc>
        <w:tc>
          <w:tcPr>
            <w:tcW w:w="1859" w:type="dxa"/>
            <w:noWrap/>
            <w:vAlign w:val="bottom"/>
            <w:hideMark/>
          </w:tcPr>
          <w:p w14:paraId="05E27F34" w14:textId="3D621EAB" w:rsidR="005F2866" w:rsidRPr="005F2866" w:rsidRDefault="005F2866" w:rsidP="002A01E2">
            <w:pPr>
              <w:spacing w:line="276" w:lineRule="auto"/>
              <w:rPr>
                <w:rFonts w:eastAsia="Times New Roman" w:cs="Times New Roman"/>
                <w:sz w:val="28"/>
                <w:szCs w:val="28"/>
              </w:rPr>
            </w:pPr>
            <w:r w:rsidRPr="005F2866">
              <w:rPr>
                <w:rFonts w:cs="Times New Roman"/>
                <w:sz w:val="28"/>
                <w:szCs w:val="28"/>
              </w:rPr>
              <w:t>-16.5981</w:t>
            </w:r>
          </w:p>
        </w:tc>
        <w:tc>
          <w:tcPr>
            <w:tcW w:w="1365" w:type="dxa"/>
            <w:noWrap/>
            <w:vAlign w:val="bottom"/>
            <w:hideMark/>
          </w:tcPr>
          <w:p w14:paraId="5D36A94F" w14:textId="3279703B" w:rsidR="005F2866" w:rsidRPr="005F2866" w:rsidRDefault="005F2866" w:rsidP="002A01E2">
            <w:pPr>
              <w:spacing w:line="276" w:lineRule="auto"/>
              <w:jc w:val="right"/>
              <w:rPr>
                <w:rFonts w:eastAsia="Times New Roman" w:cs="Times New Roman"/>
                <w:sz w:val="28"/>
                <w:szCs w:val="28"/>
              </w:rPr>
            </w:pPr>
            <w:r w:rsidRPr="005F2866">
              <w:rPr>
                <w:rFonts w:cs="Times New Roman"/>
                <w:sz w:val="28"/>
                <w:szCs w:val="28"/>
              </w:rPr>
              <w:t>5.06E-16</w:t>
            </w:r>
          </w:p>
        </w:tc>
      </w:tr>
    </w:tbl>
    <w:p w14:paraId="3F257E17" w14:textId="77777777" w:rsidR="005F2866" w:rsidRDefault="005F2866" w:rsidP="00C74BC5">
      <w:pPr>
        <w:spacing w:after="0" w:line="360" w:lineRule="auto"/>
        <w:jc w:val="both"/>
        <w:rPr>
          <w:rFonts w:ascii="Times New Roman" w:hAnsi="Times New Roman" w:cs="Times New Roman"/>
          <w:sz w:val="28"/>
          <w:szCs w:val="28"/>
          <w:lang w:val="uk-UA"/>
        </w:rPr>
      </w:pPr>
    </w:p>
    <w:p w14:paraId="4710A358" w14:textId="2A805FBE" w:rsidR="00D61D5E" w:rsidRPr="00AD0D6B" w:rsidRDefault="00D61D5E" w:rsidP="002A01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стандартної помилки та Р-значення вказує на достовірність побудованого рівняння лінійно</w:t>
      </w:r>
      <w:r w:rsidR="002A01E2">
        <w:rPr>
          <w:rFonts w:ascii="Times New Roman" w:hAnsi="Times New Roman" w:cs="Times New Roman"/>
          <w:sz w:val="28"/>
          <w:szCs w:val="28"/>
          <w:lang w:val="uk-UA"/>
        </w:rPr>
        <w:t xml:space="preserve">ї регресії. </w:t>
      </w:r>
      <w:r w:rsidRPr="00AD0D6B">
        <w:rPr>
          <w:rFonts w:ascii="Times New Roman" w:hAnsi="Times New Roman" w:cs="Times New Roman"/>
          <w:sz w:val="28"/>
          <w:szCs w:val="28"/>
          <w:lang w:val="uk-UA"/>
        </w:rPr>
        <w:t xml:space="preserve">Наведені коефіцієнти регресії показують, що залежність змінної Х (ступінь запалення тканин пародонту) обратно залежна від значень </w:t>
      </w:r>
      <w:r w:rsidRPr="00AD0D6B">
        <w:rPr>
          <w:rFonts w:ascii="Times New Roman" w:hAnsi="Times New Roman" w:cs="Times New Roman"/>
          <w:sz w:val="28"/>
          <w:szCs w:val="28"/>
        </w:rPr>
        <w:t>Y</w:t>
      </w:r>
      <w:r w:rsidRPr="00AD0D6B">
        <w:rPr>
          <w:rFonts w:ascii="Times New Roman" w:hAnsi="Times New Roman" w:cs="Times New Roman"/>
          <w:sz w:val="28"/>
          <w:szCs w:val="28"/>
          <w:lang w:val="uk-UA"/>
        </w:rPr>
        <w:t xml:space="preserve"> (рівню відновленого глутатіону).</w:t>
      </w:r>
    </w:p>
    <w:p w14:paraId="2F5E2ED2" w14:textId="2336B29D" w:rsidR="00E9728E" w:rsidRPr="00AD0D6B" w:rsidRDefault="00D61D5E" w:rsidP="00C74BC5">
      <w:pPr>
        <w:spacing w:after="0" w:line="360" w:lineRule="auto"/>
        <w:ind w:firstLine="709"/>
        <w:jc w:val="both"/>
        <w:rPr>
          <w:rFonts w:ascii="Times New Roman" w:hAnsi="Times New Roman" w:cs="Times New Roman"/>
          <w:sz w:val="28"/>
          <w:szCs w:val="28"/>
          <w:lang w:val="uk-UA"/>
        </w:rPr>
      </w:pPr>
      <w:r w:rsidRPr="00AD0D6B">
        <w:rPr>
          <w:rFonts w:ascii="Times New Roman" w:hAnsi="Times New Roman" w:cs="Times New Roman"/>
          <w:sz w:val="28"/>
          <w:szCs w:val="28"/>
          <w:lang w:val="uk-UA"/>
        </w:rPr>
        <w:t xml:space="preserve">Таким чином, регресійний аналіз даних показав, що побудована прогностична модель має необхідну адекватність, </w:t>
      </w:r>
      <w:r w:rsidR="009141C4">
        <w:rPr>
          <w:rFonts w:ascii="Times New Roman" w:hAnsi="Times New Roman" w:cs="Times New Roman"/>
          <w:sz w:val="28"/>
          <w:szCs w:val="28"/>
          <w:lang w:val="uk-UA"/>
        </w:rPr>
        <w:t>прогностичні</w:t>
      </w:r>
      <w:r w:rsidRPr="00AD0D6B">
        <w:rPr>
          <w:rFonts w:ascii="Times New Roman" w:hAnsi="Times New Roman" w:cs="Times New Roman"/>
          <w:sz w:val="28"/>
          <w:szCs w:val="28"/>
          <w:lang w:val="uk-UA"/>
        </w:rPr>
        <w:t xml:space="preserve"> значення можуть бути застосовані як предиктивні для характеризування ступеню запалення тканин пародонту. У результаті пров</w:t>
      </w:r>
      <w:r w:rsidR="00AD0D6B">
        <w:rPr>
          <w:rFonts w:ascii="Times New Roman" w:hAnsi="Times New Roman" w:cs="Times New Roman"/>
          <w:sz w:val="28"/>
          <w:szCs w:val="28"/>
          <w:lang w:val="uk-UA"/>
        </w:rPr>
        <w:t>е</w:t>
      </w:r>
      <w:r w:rsidRPr="00AD0D6B">
        <w:rPr>
          <w:rFonts w:ascii="Times New Roman" w:hAnsi="Times New Roman" w:cs="Times New Roman"/>
          <w:sz w:val="28"/>
          <w:szCs w:val="28"/>
          <w:lang w:val="uk-UA"/>
        </w:rPr>
        <w:t xml:space="preserve">деного аналізу визначено коефіцієнт детермінації, який показав, що 91 % змінюваності рівню глутатіону залежить від зміни рівню запалення за індексом РМА; на 9 % припадає вплив інших факторів. Отже, </w:t>
      </w:r>
      <w:r w:rsidR="00D04631" w:rsidRPr="00AD0D6B">
        <w:rPr>
          <w:rFonts w:ascii="Times New Roman" w:hAnsi="Times New Roman" w:cs="Times New Roman"/>
          <w:sz w:val="28"/>
          <w:szCs w:val="28"/>
          <w:lang w:val="uk-UA"/>
        </w:rPr>
        <w:t>рівень відновленого глутатіону може бути рекомендований як предиктивний та діагнос</w:t>
      </w:r>
      <w:r w:rsidR="00AD0D6B">
        <w:rPr>
          <w:rFonts w:ascii="Times New Roman" w:hAnsi="Times New Roman" w:cs="Times New Roman"/>
          <w:sz w:val="28"/>
          <w:szCs w:val="28"/>
          <w:lang w:val="uk-UA"/>
        </w:rPr>
        <w:t>т</w:t>
      </w:r>
      <w:r w:rsidR="00D04631" w:rsidRPr="00AD0D6B">
        <w:rPr>
          <w:rFonts w:ascii="Times New Roman" w:hAnsi="Times New Roman" w:cs="Times New Roman"/>
          <w:sz w:val="28"/>
          <w:szCs w:val="28"/>
          <w:lang w:val="uk-UA"/>
        </w:rPr>
        <w:t xml:space="preserve">ичний біомаркер запалення тканин пародонту у дітей з атопічними </w:t>
      </w:r>
      <w:r w:rsidR="00E9728E" w:rsidRPr="00AD0D6B">
        <w:rPr>
          <w:rFonts w:ascii="Times New Roman" w:hAnsi="Times New Roman" w:cs="Times New Roman"/>
          <w:sz w:val="28"/>
          <w:szCs w:val="28"/>
          <w:lang w:val="uk-UA"/>
        </w:rPr>
        <w:t>захворюваннями.</w:t>
      </w:r>
    </w:p>
    <w:p w14:paraId="00949FAE" w14:textId="03500FCD" w:rsidR="00D61D5E" w:rsidRPr="00112933" w:rsidRDefault="00FE335F" w:rsidP="00C74BC5">
      <w:pPr>
        <w:spacing w:after="0" w:line="360" w:lineRule="auto"/>
        <w:ind w:firstLine="709"/>
        <w:jc w:val="both"/>
        <w:rPr>
          <w:rFonts w:ascii="Times New Roman" w:hAnsi="Times New Roman" w:cs="Times New Roman"/>
          <w:sz w:val="28"/>
          <w:szCs w:val="28"/>
          <w:lang w:val="uk-UA"/>
        </w:rPr>
      </w:pPr>
      <w:r w:rsidRPr="00AD0D6B">
        <w:rPr>
          <w:rFonts w:ascii="Times New Roman" w:hAnsi="Times New Roman" w:cs="Times New Roman"/>
          <w:sz w:val="28"/>
          <w:szCs w:val="28"/>
          <w:lang w:val="uk-UA"/>
        </w:rPr>
        <w:t xml:space="preserve">Ще одним </w:t>
      </w:r>
      <w:r w:rsidRPr="00112933">
        <w:rPr>
          <w:rFonts w:ascii="Times New Roman" w:hAnsi="Times New Roman" w:cs="Times New Roman"/>
          <w:sz w:val="28"/>
          <w:szCs w:val="28"/>
          <w:lang w:val="uk-UA"/>
        </w:rPr>
        <w:t>параметром, який характеризую стан антиоксидантної системи, був рівень каталази, який був нами досліджений у ротові рідині. Рівень каталази достовірно не відрізнявся серед груп дітей з атопічними захворюваннями,  незалежно від наявності у них виражених ознак хронічного гінгівіту. Для регресійного аналізу нами були оброблені дані другої групи пацієнтів, у яких рівень каталази на початку дослідження дорівнював 1.93 ± 0.54 кат / л, а рівень запалення тканин пародонту відповідав 6.86 ± 1.53 %.</w:t>
      </w:r>
    </w:p>
    <w:p w14:paraId="23B8CAFD" w14:textId="5B6858D5" w:rsidR="00FE335F" w:rsidRPr="00112933" w:rsidRDefault="00FE335F" w:rsidP="00C74BC5">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Дані регресійного аналізу, а саме значення коефіцієнту детермінації, свідчили про неможливість використання побудованої прогностичної моделі та відсутність необхідності у визначенні коефіцієнтів регресії. От</w:t>
      </w:r>
      <w:r w:rsidR="00E9728E" w:rsidRPr="00112933">
        <w:rPr>
          <w:rFonts w:ascii="Times New Roman" w:hAnsi="Times New Roman" w:cs="Times New Roman"/>
          <w:sz w:val="28"/>
          <w:szCs w:val="28"/>
          <w:lang w:val="uk-UA"/>
        </w:rPr>
        <w:t>рим</w:t>
      </w:r>
      <w:r w:rsidR="00C74BC5">
        <w:rPr>
          <w:rFonts w:ascii="Times New Roman" w:hAnsi="Times New Roman" w:cs="Times New Roman"/>
          <w:sz w:val="28"/>
          <w:szCs w:val="28"/>
          <w:lang w:val="uk-UA"/>
        </w:rPr>
        <w:t>ані дані наведені у таблиці 8.42, 8.43</w:t>
      </w:r>
      <w:r w:rsidR="00E9728E" w:rsidRPr="00112933">
        <w:rPr>
          <w:rFonts w:ascii="Times New Roman" w:hAnsi="Times New Roman" w:cs="Times New Roman"/>
          <w:sz w:val="28"/>
          <w:szCs w:val="28"/>
          <w:lang w:val="uk-UA"/>
        </w:rPr>
        <w:t>, 8</w:t>
      </w:r>
      <w:r w:rsidR="00C74BC5">
        <w:rPr>
          <w:rFonts w:ascii="Times New Roman" w:hAnsi="Times New Roman" w:cs="Times New Roman"/>
          <w:sz w:val="28"/>
          <w:szCs w:val="28"/>
          <w:lang w:val="uk-UA"/>
        </w:rPr>
        <w:t>.44</w:t>
      </w:r>
      <w:r w:rsidRPr="00112933">
        <w:rPr>
          <w:rFonts w:ascii="Times New Roman" w:hAnsi="Times New Roman" w:cs="Times New Roman"/>
          <w:sz w:val="28"/>
          <w:szCs w:val="28"/>
          <w:lang w:val="uk-UA"/>
        </w:rPr>
        <w:t>.</w:t>
      </w:r>
    </w:p>
    <w:p w14:paraId="03A285B8" w14:textId="38F38B44" w:rsidR="00FE335F" w:rsidRPr="00112933" w:rsidRDefault="00FE335F" w:rsidP="00C74BC5">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9728E" w:rsidRPr="00112933">
        <w:rPr>
          <w:rFonts w:ascii="Times New Roman" w:hAnsi="Times New Roman"/>
          <w:sz w:val="28"/>
          <w:szCs w:val="28"/>
          <w:lang w:val="uk-UA"/>
        </w:rPr>
        <w:t>8</w:t>
      </w:r>
      <w:r w:rsidR="00C74BC5">
        <w:rPr>
          <w:rFonts w:ascii="Times New Roman" w:hAnsi="Times New Roman"/>
          <w:sz w:val="28"/>
          <w:szCs w:val="28"/>
          <w:lang w:val="uk-UA"/>
        </w:rPr>
        <w:t>.42</w:t>
      </w:r>
    </w:p>
    <w:p w14:paraId="0CF0912E" w14:textId="3471978A" w:rsidR="00FE335F" w:rsidRPr="00112933" w:rsidRDefault="00FE335F"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каталази та індексу РМА у другій групі пацієнтів</w:t>
      </w:r>
    </w:p>
    <w:tbl>
      <w:tblPr>
        <w:tblStyle w:val="TableGrid"/>
        <w:tblW w:w="0" w:type="auto"/>
        <w:tblLook w:val="04A0" w:firstRow="1" w:lastRow="0" w:firstColumn="1" w:lastColumn="0" w:noHBand="0" w:noVBand="1"/>
      </w:tblPr>
      <w:tblGrid>
        <w:gridCol w:w="5559"/>
        <w:gridCol w:w="3756"/>
      </w:tblGrid>
      <w:tr w:rsidR="00FE335F" w:rsidRPr="00112933" w14:paraId="4C12FB39" w14:textId="77777777" w:rsidTr="00D364A7">
        <w:trPr>
          <w:trHeight w:val="214"/>
        </w:trPr>
        <w:tc>
          <w:tcPr>
            <w:tcW w:w="9315" w:type="dxa"/>
            <w:gridSpan w:val="2"/>
            <w:noWrap/>
            <w:hideMark/>
          </w:tcPr>
          <w:p w14:paraId="03FE4112" w14:textId="77777777" w:rsidR="00FE335F" w:rsidRPr="00112933" w:rsidRDefault="00FE335F" w:rsidP="002A01E2">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FE335F" w:rsidRPr="00112933" w14:paraId="0232D598" w14:textId="77777777" w:rsidTr="00D364A7">
        <w:trPr>
          <w:trHeight w:val="214"/>
        </w:trPr>
        <w:tc>
          <w:tcPr>
            <w:tcW w:w="5559" w:type="dxa"/>
            <w:noWrap/>
            <w:hideMark/>
          </w:tcPr>
          <w:p w14:paraId="0F3C8F94"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215CDA63" w14:textId="7A28DB4D"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0.65835</w:t>
            </w:r>
          </w:p>
        </w:tc>
      </w:tr>
      <w:tr w:rsidR="00FE335F" w:rsidRPr="00112933" w14:paraId="4CC79AA6" w14:textId="77777777" w:rsidTr="00D364A7">
        <w:trPr>
          <w:trHeight w:val="214"/>
        </w:trPr>
        <w:tc>
          <w:tcPr>
            <w:tcW w:w="5559" w:type="dxa"/>
            <w:noWrap/>
            <w:hideMark/>
          </w:tcPr>
          <w:p w14:paraId="7338E296"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68598170" w14:textId="0F764E19"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0.433425</w:t>
            </w:r>
          </w:p>
        </w:tc>
      </w:tr>
      <w:tr w:rsidR="00FE335F" w:rsidRPr="00112933" w14:paraId="4BE29AA3" w14:textId="77777777" w:rsidTr="00D364A7">
        <w:trPr>
          <w:trHeight w:val="214"/>
        </w:trPr>
        <w:tc>
          <w:tcPr>
            <w:tcW w:w="5559" w:type="dxa"/>
            <w:noWrap/>
            <w:hideMark/>
          </w:tcPr>
          <w:p w14:paraId="2084C0E7" w14:textId="77777777" w:rsidR="00FE335F" w:rsidRPr="00112933" w:rsidRDefault="00FE335F"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1FE9154B" w14:textId="0D251746" w:rsidR="00FE335F" w:rsidRPr="00112933" w:rsidRDefault="00FE335F" w:rsidP="002A01E2">
            <w:pPr>
              <w:spacing w:line="360" w:lineRule="auto"/>
              <w:ind w:firstLine="709"/>
              <w:rPr>
                <w:rFonts w:eastAsiaTheme="minorHAnsi" w:cs="Times New Roman"/>
                <w:sz w:val="28"/>
                <w:szCs w:val="28"/>
                <w:lang w:val="uk-UA"/>
              </w:rPr>
            </w:pPr>
            <w:r w:rsidRPr="00112933">
              <w:rPr>
                <w:rFonts w:cs="Times New Roman"/>
                <w:sz w:val="28"/>
                <w:szCs w:val="28"/>
              </w:rPr>
              <w:t>0.421621</w:t>
            </w:r>
          </w:p>
        </w:tc>
      </w:tr>
      <w:tr w:rsidR="00FE335F" w:rsidRPr="00112933" w14:paraId="2366E458" w14:textId="77777777" w:rsidTr="00D364A7">
        <w:trPr>
          <w:trHeight w:val="214"/>
        </w:trPr>
        <w:tc>
          <w:tcPr>
            <w:tcW w:w="5559" w:type="dxa"/>
            <w:noWrap/>
            <w:hideMark/>
          </w:tcPr>
          <w:p w14:paraId="4F53487D" w14:textId="77777777" w:rsidR="00FE335F" w:rsidRPr="00112933" w:rsidRDefault="00FE335F" w:rsidP="002A01E2">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4910C51E" w14:textId="40C1F5DC" w:rsidR="00FE335F" w:rsidRPr="00112933" w:rsidRDefault="00FE335F" w:rsidP="002A01E2">
            <w:pPr>
              <w:spacing w:line="360" w:lineRule="auto"/>
              <w:ind w:firstLine="709"/>
              <w:rPr>
                <w:rFonts w:eastAsiaTheme="minorHAnsi" w:cs="Times New Roman"/>
                <w:sz w:val="28"/>
                <w:szCs w:val="28"/>
              </w:rPr>
            </w:pPr>
            <w:r w:rsidRPr="00112933">
              <w:rPr>
                <w:rFonts w:cs="Times New Roman"/>
                <w:sz w:val="28"/>
                <w:szCs w:val="28"/>
              </w:rPr>
              <w:t>1.160109</w:t>
            </w:r>
          </w:p>
        </w:tc>
      </w:tr>
      <w:tr w:rsidR="00FE335F" w:rsidRPr="00112933" w14:paraId="031BE5B2" w14:textId="77777777" w:rsidTr="00D364A7">
        <w:trPr>
          <w:trHeight w:val="226"/>
        </w:trPr>
        <w:tc>
          <w:tcPr>
            <w:tcW w:w="5559" w:type="dxa"/>
            <w:noWrap/>
            <w:hideMark/>
          </w:tcPr>
          <w:p w14:paraId="3D52D2A5" w14:textId="77777777" w:rsidR="00FE335F" w:rsidRPr="00112933" w:rsidRDefault="00FE335F" w:rsidP="00BF632A">
            <w:pPr>
              <w:spacing w:before="100" w:beforeAutospacing="1"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2D67D324" w14:textId="1B8105B7" w:rsidR="00FE335F" w:rsidRPr="00112933" w:rsidRDefault="00FE335F" w:rsidP="00BF632A">
            <w:pPr>
              <w:spacing w:before="100" w:beforeAutospacing="1" w:line="360" w:lineRule="auto"/>
              <w:ind w:firstLine="709"/>
              <w:rPr>
                <w:rFonts w:eastAsiaTheme="minorHAnsi" w:cs="Times New Roman"/>
                <w:sz w:val="28"/>
                <w:szCs w:val="28"/>
              </w:rPr>
            </w:pPr>
            <w:r w:rsidRPr="00112933">
              <w:rPr>
                <w:rFonts w:cs="Times New Roman"/>
                <w:sz w:val="28"/>
                <w:szCs w:val="28"/>
              </w:rPr>
              <w:t>50</w:t>
            </w:r>
          </w:p>
        </w:tc>
      </w:tr>
    </w:tbl>
    <w:p w14:paraId="4CA19C5B" w14:textId="046EE471" w:rsidR="00112933" w:rsidRPr="00D32A04" w:rsidRDefault="00FE335F" w:rsidP="00BF632A">
      <w:pPr>
        <w:spacing w:before="100" w:beforeAutospacing="1" w:after="0" w:line="360" w:lineRule="auto"/>
        <w:ind w:firstLine="567"/>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Як видно з представлених даних, коефіцієнт детермінації, позначений як R-квадрат, дорівнює 0.42, що вказує на слабкий рівень залежності між </w:t>
      </w:r>
      <w:r w:rsidR="00DB3440" w:rsidRPr="00112933">
        <w:rPr>
          <w:rFonts w:ascii="Times New Roman" w:hAnsi="Times New Roman" w:cs="Times New Roman"/>
          <w:sz w:val="28"/>
          <w:szCs w:val="28"/>
          <w:lang w:val="uk-UA"/>
        </w:rPr>
        <w:t>активністю каталазт</w:t>
      </w:r>
      <w:r w:rsidRPr="00112933">
        <w:rPr>
          <w:rFonts w:ascii="Times New Roman" w:hAnsi="Times New Roman" w:cs="Times New Roman"/>
          <w:sz w:val="28"/>
          <w:szCs w:val="28"/>
          <w:lang w:val="uk-UA"/>
        </w:rPr>
        <w:t xml:space="preserve"> у ротовій рідині та ступенем запалення тканин пародонту</w:t>
      </w:r>
      <w:r w:rsidR="00DB3440" w:rsidRPr="00112933">
        <w:rPr>
          <w:rFonts w:ascii="Times New Roman" w:hAnsi="Times New Roman" w:cs="Times New Roman"/>
          <w:sz w:val="28"/>
          <w:szCs w:val="28"/>
          <w:lang w:val="uk-UA"/>
        </w:rPr>
        <w:t>. У зв’язку з визначенням коефіцієнту детермінації використання інших параметрів регресійної статистики, а саме коефіцієнтів регресії, є неможливим, оскільки прогностичні значення, отримані у результаті виконання рівняння регресії, не матимуть необхідної значимості.</w:t>
      </w:r>
    </w:p>
    <w:p w14:paraId="2C247796" w14:textId="42EE4940" w:rsidR="00FE335F" w:rsidRPr="00112933" w:rsidRDefault="00E9728E" w:rsidP="002A01E2">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Таблиця 8</w:t>
      </w:r>
      <w:r w:rsidR="00C74BC5">
        <w:rPr>
          <w:rFonts w:ascii="Times New Roman" w:hAnsi="Times New Roman"/>
          <w:sz w:val="28"/>
          <w:szCs w:val="28"/>
          <w:lang w:val="uk-UA"/>
        </w:rPr>
        <w:t>.43</w:t>
      </w:r>
    </w:p>
    <w:p w14:paraId="0E0C82BF" w14:textId="12980103" w:rsidR="00FE335F" w:rsidRPr="00112933" w:rsidRDefault="00FE335F" w:rsidP="002A01E2">
      <w:pPr>
        <w:spacing w:after="0" w:line="360" w:lineRule="auto"/>
        <w:jc w:val="center"/>
        <w:rPr>
          <w:rFonts w:ascii="Times New Roman" w:hAnsi="Times New Roman"/>
          <w:sz w:val="28"/>
          <w:szCs w:val="28"/>
          <w:lang w:val="uk-UA"/>
        </w:rPr>
      </w:pPr>
      <w:r w:rsidRPr="00112933">
        <w:rPr>
          <w:rFonts w:ascii="Times New Roman" w:hAnsi="Times New Roman"/>
          <w:sz w:val="28"/>
          <w:szCs w:val="28"/>
          <w:lang w:val="uk-UA"/>
        </w:rPr>
        <w:t>Дисперсійний аналіз регресійної статистики рівню каталази та індексу РМА у другій групі пацієнтів</w:t>
      </w:r>
    </w:p>
    <w:tbl>
      <w:tblPr>
        <w:tblStyle w:val="TableGrid"/>
        <w:tblW w:w="9321" w:type="dxa"/>
        <w:tblLook w:val="04A0" w:firstRow="1" w:lastRow="0" w:firstColumn="1" w:lastColumn="0" w:noHBand="0" w:noVBand="1"/>
      </w:tblPr>
      <w:tblGrid>
        <w:gridCol w:w="1668"/>
        <w:gridCol w:w="1141"/>
        <w:gridCol w:w="1505"/>
        <w:gridCol w:w="1505"/>
        <w:gridCol w:w="1505"/>
        <w:gridCol w:w="1997"/>
      </w:tblGrid>
      <w:tr w:rsidR="00FE335F" w:rsidRPr="00112933" w14:paraId="6669AF4C" w14:textId="77777777" w:rsidTr="00D364A7">
        <w:trPr>
          <w:trHeight w:val="269"/>
        </w:trPr>
        <w:tc>
          <w:tcPr>
            <w:tcW w:w="1668" w:type="dxa"/>
            <w:noWrap/>
            <w:hideMark/>
          </w:tcPr>
          <w:p w14:paraId="11009748"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 </w:t>
            </w:r>
          </w:p>
        </w:tc>
        <w:tc>
          <w:tcPr>
            <w:tcW w:w="1141" w:type="dxa"/>
            <w:noWrap/>
            <w:hideMark/>
          </w:tcPr>
          <w:p w14:paraId="5EB859FB"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df</w:t>
            </w:r>
          </w:p>
        </w:tc>
        <w:tc>
          <w:tcPr>
            <w:tcW w:w="1505" w:type="dxa"/>
            <w:noWrap/>
            <w:hideMark/>
          </w:tcPr>
          <w:p w14:paraId="6160CE32"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SS</w:t>
            </w:r>
          </w:p>
        </w:tc>
        <w:tc>
          <w:tcPr>
            <w:tcW w:w="1505" w:type="dxa"/>
            <w:noWrap/>
            <w:hideMark/>
          </w:tcPr>
          <w:p w14:paraId="59D3301A"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MS</w:t>
            </w:r>
          </w:p>
        </w:tc>
        <w:tc>
          <w:tcPr>
            <w:tcW w:w="1505" w:type="dxa"/>
            <w:noWrap/>
            <w:hideMark/>
          </w:tcPr>
          <w:p w14:paraId="15E92A6B"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rPr>
              <w:t>F</w:t>
            </w:r>
          </w:p>
        </w:tc>
        <w:tc>
          <w:tcPr>
            <w:tcW w:w="1997" w:type="dxa"/>
            <w:noWrap/>
            <w:hideMark/>
          </w:tcPr>
          <w:p w14:paraId="2D0CFD99" w14:textId="77777777" w:rsidR="00FE335F" w:rsidRPr="00112933" w:rsidRDefault="00FE335F" w:rsidP="002A01E2">
            <w:pPr>
              <w:spacing w:line="360" w:lineRule="auto"/>
              <w:jc w:val="center"/>
              <w:rPr>
                <w:rFonts w:eastAsia="Times New Roman"/>
                <w:i/>
                <w:iCs/>
                <w:sz w:val="28"/>
                <w:szCs w:val="28"/>
                <w:lang w:val="uk-UA"/>
              </w:rPr>
            </w:pPr>
            <w:r w:rsidRPr="00112933">
              <w:rPr>
                <w:rFonts w:eastAsia="Times New Roman"/>
                <w:i/>
                <w:iCs/>
                <w:sz w:val="28"/>
                <w:szCs w:val="28"/>
                <w:lang w:val="uk-UA"/>
              </w:rPr>
              <w:t xml:space="preserve">Значимість </w:t>
            </w:r>
            <w:r w:rsidRPr="00112933">
              <w:rPr>
                <w:rFonts w:eastAsia="Times New Roman"/>
                <w:i/>
                <w:iCs/>
                <w:sz w:val="28"/>
                <w:szCs w:val="28"/>
              </w:rPr>
              <w:t>F</w:t>
            </w:r>
          </w:p>
        </w:tc>
      </w:tr>
      <w:tr w:rsidR="00FE335F" w:rsidRPr="00112933" w14:paraId="07638729" w14:textId="77777777" w:rsidTr="00D364A7">
        <w:trPr>
          <w:trHeight w:val="269"/>
        </w:trPr>
        <w:tc>
          <w:tcPr>
            <w:tcW w:w="1668" w:type="dxa"/>
            <w:noWrap/>
            <w:hideMark/>
          </w:tcPr>
          <w:p w14:paraId="7F76D2D8"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lang w:val="uk-UA"/>
              </w:rPr>
              <w:t>Рег</w:t>
            </w:r>
            <w:r w:rsidRPr="00112933">
              <w:rPr>
                <w:rFonts w:eastAsiaTheme="minorHAnsi" w:cstheme="minorBidi"/>
                <w:sz w:val="28"/>
                <w:szCs w:val="28"/>
              </w:rPr>
              <w:t>ресія</w:t>
            </w:r>
          </w:p>
        </w:tc>
        <w:tc>
          <w:tcPr>
            <w:tcW w:w="1141" w:type="dxa"/>
            <w:noWrap/>
            <w:vAlign w:val="bottom"/>
            <w:hideMark/>
          </w:tcPr>
          <w:p w14:paraId="0C839950" w14:textId="5E24E3AE"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1</w:t>
            </w:r>
          </w:p>
        </w:tc>
        <w:tc>
          <w:tcPr>
            <w:tcW w:w="1505" w:type="dxa"/>
            <w:noWrap/>
            <w:vAlign w:val="bottom"/>
            <w:hideMark/>
          </w:tcPr>
          <w:p w14:paraId="2F9D5AD2" w14:textId="42F3D823"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49.41907</w:t>
            </w:r>
          </w:p>
        </w:tc>
        <w:tc>
          <w:tcPr>
            <w:tcW w:w="1505" w:type="dxa"/>
            <w:noWrap/>
            <w:vAlign w:val="bottom"/>
            <w:hideMark/>
          </w:tcPr>
          <w:p w14:paraId="42B1EC14" w14:textId="5EE3F84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49.41907</w:t>
            </w:r>
          </w:p>
        </w:tc>
        <w:tc>
          <w:tcPr>
            <w:tcW w:w="1505" w:type="dxa"/>
            <w:noWrap/>
            <w:vAlign w:val="bottom"/>
            <w:hideMark/>
          </w:tcPr>
          <w:p w14:paraId="3EBA812D" w14:textId="2C27A6DB"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36.71953</w:t>
            </w:r>
          </w:p>
        </w:tc>
        <w:tc>
          <w:tcPr>
            <w:tcW w:w="1997" w:type="dxa"/>
            <w:noWrap/>
            <w:vAlign w:val="bottom"/>
            <w:hideMark/>
          </w:tcPr>
          <w:p w14:paraId="13FA60E2" w14:textId="08A2BF5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2.03E-07</w:t>
            </w:r>
          </w:p>
        </w:tc>
      </w:tr>
      <w:tr w:rsidR="00FE335F" w:rsidRPr="00112933" w14:paraId="0310FE3E" w14:textId="77777777" w:rsidTr="00D364A7">
        <w:trPr>
          <w:trHeight w:val="269"/>
        </w:trPr>
        <w:tc>
          <w:tcPr>
            <w:tcW w:w="1668" w:type="dxa"/>
            <w:noWrap/>
            <w:hideMark/>
          </w:tcPr>
          <w:p w14:paraId="1044E732"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rPr>
              <w:t>Залишок</w:t>
            </w:r>
          </w:p>
        </w:tc>
        <w:tc>
          <w:tcPr>
            <w:tcW w:w="1141" w:type="dxa"/>
            <w:noWrap/>
            <w:vAlign w:val="bottom"/>
            <w:hideMark/>
          </w:tcPr>
          <w:p w14:paraId="3E661E97" w14:textId="1B807FFA"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48</w:t>
            </w:r>
          </w:p>
        </w:tc>
        <w:tc>
          <w:tcPr>
            <w:tcW w:w="1505" w:type="dxa"/>
            <w:noWrap/>
            <w:vAlign w:val="bottom"/>
            <w:hideMark/>
          </w:tcPr>
          <w:p w14:paraId="6EB04DE3" w14:textId="279592DE"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64.60093</w:t>
            </w:r>
          </w:p>
        </w:tc>
        <w:tc>
          <w:tcPr>
            <w:tcW w:w="1505" w:type="dxa"/>
            <w:noWrap/>
            <w:vAlign w:val="bottom"/>
            <w:hideMark/>
          </w:tcPr>
          <w:p w14:paraId="7CA8DECB" w14:textId="3E0A8912" w:rsidR="00FE335F" w:rsidRPr="00112933" w:rsidRDefault="00FE335F" w:rsidP="002A01E2">
            <w:pPr>
              <w:spacing w:line="360" w:lineRule="auto"/>
              <w:jc w:val="right"/>
              <w:rPr>
                <w:rFonts w:eastAsia="Times New Roman" w:cs="Times New Roman"/>
                <w:sz w:val="28"/>
                <w:szCs w:val="28"/>
              </w:rPr>
            </w:pPr>
            <w:r w:rsidRPr="00112933">
              <w:rPr>
                <w:rFonts w:cs="Times New Roman"/>
                <w:sz w:val="28"/>
                <w:szCs w:val="28"/>
              </w:rPr>
              <w:t>1.345853</w:t>
            </w:r>
          </w:p>
        </w:tc>
        <w:tc>
          <w:tcPr>
            <w:tcW w:w="1505" w:type="dxa"/>
            <w:noWrap/>
            <w:vAlign w:val="bottom"/>
            <w:hideMark/>
          </w:tcPr>
          <w:p w14:paraId="75781026" w14:textId="77777777" w:rsidR="00FE335F" w:rsidRPr="00112933" w:rsidRDefault="00FE335F" w:rsidP="002A01E2">
            <w:pPr>
              <w:spacing w:line="360" w:lineRule="auto"/>
              <w:jc w:val="right"/>
              <w:rPr>
                <w:rFonts w:eastAsia="Times New Roman" w:cs="Times New Roman"/>
                <w:sz w:val="28"/>
                <w:szCs w:val="28"/>
              </w:rPr>
            </w:pPr>
          </w:p>
        </w:tc>
        <w:tc>
          <w:tcPr>
            <w:tcW w:w="1997" w:type="dxa"/>
            <w:noWrap/>
            <w:vAlign w:val="bottom"/>
            <w:hideMark/>
          </w:tcPr>
          <w:p w14:paraId="1A106C21" w14:textId="77777777" w:rsidR="00FE335F" w:rsidRPr="00112933" w:rsidRDefault="00FE335F" w:rsidP="002A01E2">
            <w:pPr>
              <w:spacing w:line="360" w:lineRule="auto"/>
              <w:rPr>
                <w:rFonts w:eastAsia="Times New Roman" w:cs="Times New Roman"/>
                <w:sz w:val="28"/>
                <w:szCs w:val="28"/>
              </w:rPr>
            </w:pPr>
          </w:p>
        </w:tc>
      </w:tr>
      <w:tr w:rsidR="00FE335F" w:rsidRPr="00112933" w14:paraId="015BC194" w14:textId="77777777" w:rsidTr="00D364A7">
        <w:trPr>
          <w:trHeight w:val="284"/>
        </w:trPr>
        <w:tc>
          <w:tcPr>
            <w:tcW w:w="1668" w:type="dxa"/>
            <w:noWrap/>
            <w:hideMark/>
          </w:tcPr>
          <w:p w14:paraId="3DF6323E" w14:textId="77777777" w:rsidR="00FE335F" w:rsidRPr="00112933" w:rsidRDefault="00FE335F" w:rsidP="00BF632A">
            <w:pPr>
              <w:spacing w:before="100" w:beforeAutospacing="1" w:line="360" w:lineRule="auto"/>
              <w:rPr>
                <w:rFonts w:eastAsiaTheme="minorHAnsi" w:cstheme="minorBidi"/>
                <w:sz w:val="28"/>
                <w:szCs w:val="28"/>
                <w:lang w:val="uk-UA"/>
              </w:rPr>
            </w:pPr>
            <w:r w:rsidRPr="00112933">
              <w:rPr>
                <w:rFonts w:eastAsiaTheme="minorHAnsi" w:cstheme="minorBidi"/>
                <w:sz w:val="28"/>
                <w:szCs w:val="28"/>
                <w:lang w:val="uk-UA"/>
              </w:rPr>
              <w:t>Разом</w:t>
            </w:r>
          </w:p>
        </w:tc>
        <w:tc>
          <w:tcPr>
            <w:tcW w:w="1141" w:type="dxa"/>
            <w:noWrap/>
            <w:vAlign w:val="bottom"/>
            <w:hideMark/>
          </w:tcPr>
          <w:p w14:paraId="28F24453" w14:textId="73F0BC87" w:rsidR="00FE335F" w:rsidRPr="00112933" w:rsidRDefault="00FE335F" w:rsidP="00BF632A">
            <w:pPr>
              <w:spacing w:before="100" w:beforeAutospacing="1" w:line="360" w:lineRule="auto"/>
              <w:jc w:val="right"/>
              <w:rPr>
                <w:rFonts w:eastAsia="Times New Roman" w:cs="Times New Roman"/>
                <w:sz w:val="28"/>
                <w:szCs w:val="28"/>
              </w:rPr>
            </w:pPr>
            <w:r w:rsidRPr="00112933">
              <w:rPr>
                <w:rFonts w:cs="Times New Roman"/>
                <w:sz w:val="28"/>
                <w:szCs w:val="28"/>
              </w:rPr>
              <w:t>49</w:t>
            </w:r>
          </w:p>
        </w:tc>
        <w:tc>
          <w:tcPr>
            <w:tcW w:w="1505" w:type="dxa"/>
            <w:noWrap/>
            <w:vAlign w:val="bottom"/>
            <w:hideMark/>
          </w:tcPr>
          <w:p w14:paraId="7133FFC9" w14:textId="690E2C69" w:rsidR="00FE335F" w:rsidRPr="00112933" w:rsidRDefault="00FE335F" w:rsidP="00BF632A">
            <w:pPr>
              <w:spacing w:before="100" w:beforeAutospacing="1" w:line="360" w:lineRule="auto"/>
              <w:jc w:val="right"/>
              <w:rPr>
                <w:rFonts w:eastAsia="Times New Roman" w:cs="Times New Roman"/>
                <w:sz w:val="28"/>
                <w:szCs w:val="28"/>
              </w:rPr>
            </w:pPr>
            <w:r w:rsidRPr="00112933">
              <w:rPr>
                <w:rFonts w:cs="Times New Roman"/>
                <w:sz w:val="28"/>
                <w:szCs w:val="28"/>
              </w:rPr>
              <w:t>114.02</w:t>
            </w:r>
          </w:p>
        </w:tc>
        <w:tc>
          <w:tcPr>
            <w:tcW w:w="1505" w:type="dxa"/>
            <w:noWrap/>
            <w:vAlign w:val="bottom"/>
            <w:hideMark/>
          </w:tcPr>
          <w:p w14:paraId="72E8C7D7" w14:textId="7D8DD155"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c>
          <w:tcPr>
            <w:tcW w:w="1505" w:type="dxa"/>
            <w:noWrap/>
            <w:vAlign w:val="bottom"/>
            <w:hideMark/>
          </w:tcPr>
          <w:p w14:paraId="67476CD4" w14:textId="7891623D"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c>
          <w:tcPr>
            <w:tcW w:w="1997" w:type="dxa"/>
            <w:noWrap/>
            <w:vAlign w:val="bottom"/>
            <w:hideMark/>
          </w:tcPr>
          <w:p w14:paraId="3A26E63F" w14:textId="59A75FFA" w:rsidR="00FE335F" w:rsidRPr="00112933" w:rsidRDefault="00FE335F" w:rsidP="00BF632A">
            <w:pPr>
              <w:spacing w:before="100" w:beforeAutospacing="1" w:line="360" w:lineRule="auto"/>
              <w:rPr>
                <w:rFonts w:eastAsia="Times New Roman" w:cs="Times New Roman"/>
                <w:sz w:val="28"/>
                <w:szCs w:val="28"/>
              </w:rPr>
            </w:pPr>
            <w:r w:rsidRPr="00112933">
              <w:rPr>
                <w:rFonts w:cs="Times New Roman"/>
                <w:sz w:val="28"/>
                <w:szCs w:val="28"/>
              </w:rPr>
              <w:t> </w:t>
            </w:r>
          </w:p>
        </w:tc>
      </w:tr>
    </w:tbl>
    <w:p w14:paraId="6FBB38B2" w14:textId="154A7141" w:rsidR="00FE335F" w:rsidRPr="00112933" w:rsidRDefault="00E9728E" w:rsidP="00BF632A">
      <w:pPr>
        <w:spacing w:before="100" w:beforeAutospacing="1" w:after="0" w:line="360" w:lineRule="auto"/>
        <w:jc w:val="right"/>
        <w:rPr>
          <w:rFonts w:ascii="Times New Roman" w:hAnsi="Times New Roman"/>
          <w:sz w:val="28"/>
          <w:szCs w:val="28"/>
          <w:lang w:val="uk-UA"/>
        </w:rPr>
      </w:pPr>
      <w:r w:rsidRPr="00112933">
        <w:rPr>
          <w:rFonts w:ascii="Times New Roman" w:hAnsi="Times New Roman"/>
          <w:sz w:val="28"/>
          <w:szCs w:val="28"/>
          <w:lang w:val="uk-UA"/>
        </w:rPr>
        <w:t>Таблиця 8</w:t>
      </w:r>
      <w:r w:rsidR="00C74BC5">
        <w:rPr>
          <w:rFonts w:ascii="Times New Roman" w:hAnsi="Times New Roman"/>
          <w:sz w:val="28"/>
          <w:szCs w:val="28"/>
          <w:lang w:val="uk-UA"/>
        </w:rPr>
        <w:t>.44</w:t>
      </w:r>
    </w:p>
    <w:p w14:paraId="7C7B040A" w14:textId="725E51F5" w:rsidR="00FE335F" w:rsidRPr="00112933" w:rsidRDefault="00FE335F" w:rsidP="002A01E2">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Визначення коефіцієнтів регресії</w:t>
      </w:r>
    </w:p>
    <w:tbl>
      <w:tblPr>
        <w:tblStyle w:val="TableGrid"/>
        <w:tblW w:w="9520" w:type="dxa"/>
        <w:tblLook w:val="04A0" w:firstRow="1" w:lastRow="0" w:firstColumn="1" w:lastColumn="0" w:noHBand="0" w:noVBand="1"/>
      </w:tblPr>
      <w:tblGrid>
        <w:gridCol w:w="2021"/>
        <w:gridCol w:w="2254"/>
        <w:gridCol w:w="2021"/>
        <w:gridCol w:w="1859"/>
        <w:gridCol w:w="1365"/>
      </w:tblGrid>
      <w:tr w:rsidR="00FE335F" w:rsidRPr="00112933" w14:paraId="73DD7798" w14:textId="77777777" w:rsidTr="00D364A7">
        <w:trPr>
          <w:trHeight w:val="249"/>
        </w:trPr>
        <w:tc>
          <w:tcPr>
            <w:tcW w:w="2021" w:type="dxa"/>
            <w:noWrap/>
            <w:hideMark/>
          </w:tcPr>
          <w:p w14:paraId="1656EBBF" w14:textId="77777777" w:rsidR="00FE335F" w:rsidRPr="00112933" w:rsidRDefault="00FE335F" w:rsidP="002A01E2">
            <w:pPr>
              <w:jc w:val="center"/>
              <w:rPr>
                <w:rFonts w:eastAsia="Times New Roman"/>
                <w:i/>
                <w:iCs/>
                <w:sz w:val="28"/>
                <w:szCs w:val="28"/>
              </w:rPr>
            </w:pPr>
            <w:r w:rsidRPr="00112933">
              <w:rPr>
                <w:rFonts w:eastAsia="Times New Roman"/>
                <w:i/>
                <w:iCs/>
                <w:sz w:val="28"/>
                <w:szCs w:val="28"/>
              </w:rPr>
              <w:t> </w:t>
            </w:r>
          </w:p>
        </w:tc>
        <w:tc>
          <w:tcPr>
            <w:tcW w:w="2254" w:type="dxa"/>
            <w:noWrap/>
            <w:hideMark/>
          </w:tcPr>
          <w:p w14:paraId="1F9EB875" w14:textId="77777777" w:rsidR="00FE335F" w:rsidRPr="00112933" w:rsidRDefault="00FE335F" w:rsidP="002A01E2">
            <w:pPr>
              <w:spacing w:line="360" w:lineRule="auto"/>
              <w:rPr>
                <w:rFonts w:eastAsiaTheme="minorHAnsi" w:cstheme="minorBidi"/>
                <w:i/>
                <w:iCs/>
                <w:sz w:val="28"/>
                <w:szCs w:val="28"/>
                <w:lang w:val="uk-UA"/>
              </w:rPr>
            </w:pPr>
            <w:r w:rsidRPr="00112933">
              <w:rPr>
                <w:rFonts w:eastAsiaTheme="minorHAnsi" w:cstheme="minorBidi"/>
                <w:i/>
                <w:iCs/>
                <w:sz w:val="28"/>
                <w:szCs w:val="28"/>
                <w:lang w:val="uk-UA"/>
              </w:rPr>
              <w:t>Коефіцієнти</w:t>
            </w:r>
          </w:p>
        </w:tc>
        <w:tc>
          <w:tcPr>
            <w:tcW w:w="2021" w:type="dxa"/>
            <w:noWrap/>
            <w:hideMark/>
          </w:tcPr>
          <w:p w14:paraId="27173194" w14:textId="77777777" w:rsidR="00FE335F" w:rsidRPr="00112933" w:rsidRDefault="00FE335F" w:rsidP="002A01E2">
            <w:pPr>
              <w:spacing w:line="360" w:lineRule="auto"/>
              <w:rPr>
                <w:rFonts w:eastAsiaTheme="minorHAnsi" w:cstheme="minorBidi"/>
                <w:i/>
                <w:iCs/>
                <w:sz w:val="28"/>
                <w:szCs w:val="28"/>
                <w:lang w:val="uk-UA"/>
              </w:rPr>
            </w:pPr>
            <w:r w:rsidRPr="00112933">
              <w:rPr>
                <w:rFonts w:eastAsiaTheme="minorHAnsi" w:cstheme="minorBidi"/>
                <w:i/>
                <w:iCs/>
                <w:sz w:val="28"/>
                <w:szCs w:val="28"/>
                <w:lang w:val="uk-UA"/>
              </w:rPr>
              <w:t>Стандартна помилка</w:t>
            </w:r>
          </w:p>
        </w:tc>
        <w:tc>
          <w:tcPr>
            <w:tcW w:w="1859" w:type="dxa"/>
            <w:noWrap/>
            <w:hideMark/>
          </w:tcPr>
          <w:p w14:paraId="3FD5C2C6" w14:textId="77777777" w:rsidR="00FE335F" w:rsidRPr="00112933" w:rsidRDefault="00FE335F" w:rsidP="002A01E2">
            <w:pPr>
              <w:spacing w:line="360" w:lineRule="auto"/>
              <w:ind w:firstLine="709"/>
              <w:rPr>
                <w:rFonts w:eastAsiaTheme="minorHAnsi" w:cstheme="minorBidi"/>
                <w:i/>
                <w:iCs/>
                <w:sz w:val="28"/>
                <w:szCs w:val="28"/>
              </w:rPr>
            </w:pPr>
            <w:r w:rsidRPr="00112933">
              <w:rPr>
                <w:rFonts w:eastAsiaTheme="minorHAnsi" w:cstheme="minorBidi"/>
                <w:i/>
                <w:iCs/>
                <w:sz w:val="28"/>
                <w:szCs w:val="28"/>
              </w:rPr>
              <w:t>t-статистика</w:t>
            </w:r>
          </w:p>
        </w:tc>
        <w:tc>
          <w:tcPr>
            <w:tcW w:w="1365" w:type="dxa"/>
            <w:noWrap/>
            <w:hideMark/>
          </w:tcPr>
          <w:p w14:paraId="069DEEC4" w14:textId="77777777" w:rsidR="00FE335F" w:rsidRPr="00112933" w:rsidRDefault="00FE335F" w:rsidP="002A01E2">
            <w:pPr>
              <w:spacing w:line="360" w:lineRule="auto"/>
              <w:ind w:firstLine="709"/>
              <w:rPr>
                <w:rFonts w:eastAsiaTheme="minorHAnsi" w:cstheme="minorBidi"/>
                <w:i/>
                <w:iCs/>
                <w:sz w:val="28"/>
                <w:szCs w:val="28"/>
                <w:lang w:val="uk-UA"/>
              </w:rPr>
            </w:pPr>
            <w:r w:rsidRPr="00112933">
              <w:rPr>
                <w:rFonts w:eastAsiaTheme="minorHAnsi" w:cstheme="minorBidi"/>
                <w:i/>
                <w:iCs/>
                <w:sz w:val="28"/>
                <w:szCs w:val="28"/>
              </w:rPr>
              <w:t>P-</w:t>
            </w:r>
            <w:r w:rsidRPr="00112933">
              <w:rPr>
                <w:rFonts w:eastAsiaTheme="minorHAnsi" w:cstheme="minorBidi"/>
                <w:i/>
                <w:iCs/>
                <w:sz w:val="28"/>
                <w:szCs w:val="28"/>
                <w:lang w:val="uk-UA"/>
              </w:rPr>
              <w:t>значення</w:t>
            </w:r>
          </w:p>
        </w:tc>
      </w:tr>
      <w:tr w:rsidR="00FE335F" w:rsidRPr="00112933" w14:paraId="14AF4CC3" w14:textId="77777777" w:rsidTr="00D364A7">
        <w:trPr>
          <w:trHeight w:val="249"/>
        </w:trPr>
        <w:tc>
          <w:tcPr>
            <w:tcW w:w="2021" w:type="dxa"/>
            <w:noWrap/>
            <w:hideMark/>
          </w:tcPr>
          <w:p w14:paraId="1241EA5F"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rPr>
              <w:t>Y-пересічення</w:t>
            </w:r>
          </w:p>
        </w:tc>
        <w:tc>
          <w:tcPr>
            <w:tcW w:w="2254" w:type="dxa"/>
            <w:noWrap/>
            <w:vAlign w:val="bottom"/>
            <w:hideMark/>
          </w:tcPr>
          <w:p w14:paraId="05C90493" w14:textId="0B9DC639" w:rsidR="00FE335F" w:rsidRPr="00112933" w:rsidRDefault="00FE335F" w:rsidP="002A01E2">
            <w:pPr>
              <w:rPr>
                <w:rFonts w:eastAsia="Times New Roman" w:cs="Times New Roman"/>
                <w:sz w:val="28"/>
                <w:szCs w:val="28"/>
              </w:rPr>
            </w:pPr>
            <w:r w:rsidRPr="00112933">
              <w:rPr>
                <w:rFonts w:cs="Times New Roman"/>
                <w:sz w:val="28"/>
                <w:szCs w:val="28"/>
              </w:rPr>
              <w:t>11.37319</w:t>
            </w:r>
          </w:p>
        </w:tc>
        <w:tc>
          <w:tcPr>
            <w:tcW w:w="2021" w:type="dxa"/>
            <w:noWrap/>
            <w:vAlign w:val="bottom"/>
            <w:hideMark/>
          </w:tcPr>
          <w:p w14:paraId="0BC12883" w14:textId="6D6414DD" w:rsidR="00FE335F" w:rsidRPr="00112933" w:rsidRDefault="00FE335F" w:rsidP="002A01E2">
            <w:pPr>
              <w:rPr>
                <w:rFonts w:eastAsia="Times New Roman" w:cs="Times New Roman"/>
                <w:sz w:val="28"/>
                <w:szCs w:val="28"/>
              </w:rPr>
            </w:pPr>
            <w:r w:rsidRPr="00112933">
              <w:rPr>
                <w:rFonts w:cs="Times New Roman"/>
                <w:sz w:val="28"/>
                <w:szCs w:val="28"/>
              </w:rPr>
              <w:t>0.762649</w:t>
            </w:r>
          </w:p>
        </w:tc>
        <w:tc>
          <w:tcPr>
            <w:tcW w:w="1859" w:type="dxa"/>
            <w:noWrap/>
            <w:vAlign w:val="bottom"/>
            <w:hideMark/>
          </w:tcPr>
          <w:p w14:paraId="0C3BEA68" w14:textId="045336AE" w:rsidR="00FE335F" w:rsidRPr="00112933" w:rsidRDefault="00FE335F" w:rsidP="002A01E2">
            <w:pPr>
              <w:rPr>
                <w:rFonts w:eastAsia="Times New Roman" w:cs="Times New Roman"/>
                <w:sz w:val="28"/>
                <w:szCs w:val="28"/>
              </w:rPr>
            </w:pPr>
            <w:r w:rsidRPr="00112933">
              <w:rPr>
                <w:rFonts w:cs="Times New Roman"/>
                <w:sz w:val="28"/>
                <w:szCs w:val="28"/>
              </w:rPr>
              <w:t>14.91276</w:t>
            </w:r>
          </w:p>
        </w:tc>
        <w:tc>
          <w:tcPr>
            <w:tcW w:w="1365" w:type="dxa"/>
            <w:noWrap/>
            <w:vAlign w:val="bottom"/>
            <w:hideMark/>
          </w:tcPr>
          <w:p w14:paraId="719C4FD3" w14:textId="582DA199" w:rsidR="00FE335F" w:rsidRPr="00112933" w:rsidRDefault="00FE335F" w:rsidP="002A01E2">
            <w:pPr>
              <w:jc w:val="right"/>
              <w:rPr>
                <w:rFonts w:eastAsia="Times New Roman" w:cs="Times New Roman"/>
                <w:sz w:val="28"/>
                <w:szCs w:val="28"/>
              </w:rPr>
            </w:pPr>
            <w:r w:rsidRPr="00112933">
              <w:rPr>
                <w:rFonts w:cs="Times New Roman"/>
                <w:sz w:val="28"/>
                <w:szCs w:val="28"/>
              </w:rPr>
              <w:t>1.21E-19</w:t>
            </w:r>
          </w:p>
        </w:tc>
      </w:tr>
      <w:tr w:rsidR="00FE335F" w:rsidRPr="00112933" w14:paraId="451E2F1C" w14:textId="77777777" w:rsidTr="00D364A7">
        <w:trPr>
          <w:trHeight w:val="264"/>
        </w:trPr>
        <w:tc>
          <w:tcPr>
            <w:tcW w:w="2021" w:type="dxa"/>
            <w:noWrap/>
            <w:hideMark/>
          </w:tcPr>
          <w:p w14:paraId="2420991A" w14:textId="77777777" w:rsidR="00FE335F" w:rsidRPr="00112933" w:rsidRDefault="00FE335F" w:rsidP="002A01E2">
            <w:pPr>
              <w:spacing w:line="360" w:lineRule="auto"/>
              <w:rPr>
                <w:rFonts w:eastAsiaTheme="minorHAnsi" w:cstheme="minorBidi"/>
                <w:sz w:val="28"/>
                <w:szCs w:val="28"/>
              </w:rPr>
            </w:pPr>
            <w:r w:rsidRPr="00112933">
              <w:rPr>
                <w:rFonts w:eastAsiaTheme="minorHAnsi" w:cstheme="minorBidi"/>
                <w:sz w:val="28"/>
                <w:szCs w:val="28"/>
                <w:lang w:val="uk-UA"/>
              </w:rPr>
              <w:t>Змінна</w:t>
            </w:r>
            <w:r w:rsidRPr="00112933">
              <w:rPr>
                <w:rFonts w:eastAsiaTheme="minorHAnsi" w:cstheme="minorBidi"/>
                <w:sz w:val="28"/>
                <w:szCs w:val="28"/>
              </w:rPr>
              <w:t xml:space="preserve"> X 1</w:t>
            </w:r>
          </w:p>
        </w:tc>
        <w:tc>
          <w:tcPr>
            <w:tcW w:w="2254" w:type="dxa"/>
            <w:noWrap/>
            <w:vAlign w:val="bottom"/>
            <w:hideMark/>
          </w:tcPr>
          <w:p w14:paraId="119E4022" w14:textId="551F6953" w:rsidR="00FE335F" w:rsidRPr="00112933" w:rsidRDefault="00FE335F" w:rsidP="002A01E2">
            <w:pPr>
              <w:rPr>
                <w:rFonts w:eastAsia="Times New Roman" w:cs="Times New Roman"/>
                <w:sz w:val="28"/>
                <w:szCs w:val="28"/>
              </w:rPr>
            </w:pPr>
            <w:r w:rsidRPr="00112933">
              <w:rPr>
                <w:rFonts w:cs="Times New Roman"/>
                <w:sz w:val="28"/>
                <w:szCs w:val="28"/>
              </w:rPr>
              <w:t>-1.68367</w:t>
            </w:r>
          </w:p>
        </w:tc>
        <w:tc>
          <w:tcPr>
            <w:tcW w:w="2021" w:type="dxa"/>
            <w:noWrap/>
            <w:vAlign w:val="bottom"/>
            <w:hideMark/>
          </w:tcPr>
          <w:p w14:paraId="7F0F08FA" w14:textId="102D860C" w:rsidR="00FE335F" w:rsidRPr="00112933" w:rsidRDefault="00FE335F" w:rsidP="002A01E2">
            <w:pPr>
              <w:rPr>
                <w:rFonts w:eastAsia="Times New Roman" w:cs="Times New Roman"/>
                <w:sz w:val="28"/>
                <w:szCs w:val="28"/>
              </w:rPr>
            </w:pPr>
            <w:r w:rsidRPr="00112933">
              <w:rPr>
                <w:rFonts w:cs="Times New Roman"/>
                <w:sz w:val="28"/>
                <w:szCs w:val="28"/>
              </w:rPr>
              <w:t>0.277848</w:t>
            </w:r>
          </w:p>
        </w:tc>
        <w:tc>
          <w:tcPr>
            <w:tcW w:w="1859" w:type="dxa"/>
            <w:noWrap/>
            <w:vAlign w:val="bottom"/>
            <w:hideMark/>
          </w:tcPr>
          <w:p w14:paraId="7ED85A99" w14:textId="5E39B075" w:rsidR="00FE335F" w:rsidRPr="00112933" w:rsidRDefault="00FE335F" w:rsidP="002A01E2">
            <w:pPr>
              <w:rPr>
                <w:rFonts w:eastAsia="Times New Roman" w:cs="Times New Roman"/>
                <w:sz w:val="28"/>
                <w:szCs w:val="28"/>
              </w:rPr>
            </w:pPr>
            <w:r w:rsidRPr="00112933">
              <w:rPr>
                <w:rFonts w:cs="Times New Roman"/>
                <w:sz w:val="28"/>
                <w:szCs w:val="28"/>
              </w:rPr>
              <w:t>-6.05966</w:t>
            </w:r>
          </w:p>
        </w:tc>
        <w:tc>
          <w:tcPr>
            <w:tcW w:w="1365" w:type="dxa"/>
            <w:noWrap/>
            <w:vAlign w:val="bottom"/>
            <w:hideMark/>
          </w:tcPr>
          <w:p w14:paraId="4D18A27B" w14:textId="5D96C159" w:rsidR="00FE335F" w:rsidRPr="00112933" w:rsidRDefault="00FE335F" w:rsidP="002A01E2">
            <w:pPr>
              <w:jc w:val="right"/>
              <w:rPr>
                <w:rFonts w:eastAsia="Times New Roman" w:cs="Times New Roman"/>
                <w:sz w:val="28"/>
                <w:szCs w:val="28"/>
              </w:rPr>
            </w:pPr>
            <w:r w:rsidRPr="00112933">
              <w:rPr>
                <w:rFonts w:cs="Times New Roman"/>
                <w:sz w:val="28"/>
                <w:szCs w:val="28"/>
              </w:rPr>
              <w:t>2.03E-07</w:t>
            </w:r>
          </w:p>
        </w:tc>
      </w:tr>
    </w:tbl>
    <w:p w14:paraId="5B2443F1" w14:textId="3CB69196" w:rsidR="00FE335F" w:rsidRPr="00112933" w:rsidRDefault="00DB3440"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Таким чином, використання каталази як прогностичного та діагностичного маркеру запалення тканин пародонту є недоцільним. Визначення коефіцієнту детермінації показало, що даний параметр антиоксидантного захисту має слабке прогностичне значення.</w:t>
      </w:r>
    </w:p>
    <w:p w14:paraId="7139426F" w14:textId="559D68BC" w:rsidR="00DB3440" w:rsidRPr="00112933" w:rsidRDefault="00DB3440"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Так само слабке діагностичне значення, згідно з результатми регресійного аналізу даних, має рівень уреази. Як було описано раніше, рівень </w:t>
      </w:r>
      <w:r w:rsidR="00512BFE" w:rsidRPr="00112933">
        <w:rPr>
          <w:rFonts w:ascii="Times New Roman" w:hAnsi="Times New Roman" w:cs="Times New Roman"/>
          <w:sz w:val="28"/>
          <w:szCs w:val="28"/>
          <w:lang w:val="uk-UA"/>
        </w:rPr>
        <w:t xml:space="preserve">активності </w:t>
      </w:r>
      <w:r w:rsidRPr="00112933">
        <w:rPr>
          <w:rFonts w:ascii="Times New Roman" w:hAnsi="Times New Roman" w:cs="Times New Roman"/>
          <w:sz w:val="28"/>
          <w:szCs w:val="28"/>
          <w:lang w:val="uk-UA"/>
        </w:rPr>
        <w:t>уреази був підвищений серед пацієнтів даної групи</w:t>
      </w:r>
      <w:r w:rsidR="00512BFE" w:rsidRPr="00112933">
        <w:rPr>
          <w:rFonts w:ascii="Times New Roman" w:hAnsi="Times New Roman" w:cs="Times New Roman"/>
          <w:sz w:val="28"/>
          <w:szCs w:val="28"/>
          <w:lang w:val="uk-UA"/>
        </w:rPr>
        <w:t xml:space="preserve"> та дорівнював 5.40 ± 1.47 мкмоль / хв / л.</w:t>
      </w:r>
      <w:r w:rsidRPr="00112933">
        <w:rPr>
          <w:rFonts w:ascii="Times New Roman" w:hAnsi="Times New Roman" w:cs="Times New Roman"/>
          <w:sz w:val="28"/>
          <w:szCs w:val="28"/>
          <w:lang w:val="uk-UA"/>
        </w:rPr>
        <w:t xml:space="preserve"> Визначення коефіцієнту детермінації залежності рівню РМ</w:t>
      </w:r>
      <w:r w:rsidR="00E9728E" w:rsidRPr="00112933">
        <w:rPr>
          <w:rFonts w:ascii="Times New Roman" w:hAnsi="Times New Roman" w:cs="Times New Roman"/>
          <w:sz w:val="28"/>
          <w:szCs w:val="28"/>
          <w:lang w:val="uk-UA"/>
        </w:rPr>
        <w:t>А та уреази наведено у таблиці 8</w:t>
      </w:r>
      <w:r w:rsidR="00C74BC5">
        <w:rPr>
          <w:rFonts w:ascii="Times New Roman" w:hAnsi="Times New Roman" w:cs="Times New Roman"/>
          <w:sz w:val="28"/>
          <w:szCs w:val="28"/>
          <w:lang w:val="uk-UA"/>
        </w:rPr>
        <w:t>.45</w:t>
      </w:r>
      <w:r w:rsidRPr="00112933">
        <w:rPr>
          <w:rFonts w:ascii="Times New Roman" w:hAnsi="Times New Roman" w:cs="Times New Roman"/>
          <w:sz w:val="28"/>
          <w:szCs w:val="28"/>
          <w:lang w:val="uk-UA"/>
        </w:rPr>
        <w:t xml:space="preserve">. </w:t>
      </w:r>
    </w:p>
    <w:p w14:paraId="30B50B7C" w14:textId="77777777" w:rsidR="00BF632A" w:rsidRDefault="00BF632A" w:rsidP="00BF632A">
      <w:pPr>
        <w:spacing w:after="0" w:line="360" w:lineRule="auto"/>
        <w:rPr>
          <w:rFonts w:ascii="Times New Roman" w:hAnsi="Times New Roman"/>
          <w:sz w:val="28"/>
          <w:szCs w:val="28"/>
          <w:lang w:val="uk-UA"/>
        </w:rPr>
      </w:pPr>
    </w:p>
    <w:p w14:paraId="342F88C5" w14:textId="71057861" w:rsidR="00DB3440" w:rsidRPr="00112933" w:rsidRDefault="00DB3440" w:rsidP="002A01E2">
      <w:pPr>
        <w:spacing w:after="0" w:line="360" w:lineRule="auto"/>
        <w:ind w:firstLine="709"/>
        <w:jc w:val="right"/>
        <w:rPr>
          <w:rFonts w:ascii="Times New Roman" w:hAnsi="Times New Roman"/>
          <w:sz w:val="28"/>
          <w:szCs w:val="28"/>
          <w:lang w:val="uk-UA"/>
        </w:rPr>
      </w:pPr>
      <w:r w:rsidRPr="00112933">
        <w:rPr>
          <w:rFonts w:ascii="Times New Roman" w:hAnsi="Times New Roman"/>
          <w:sz w:val="28"/>
          <w:szCs w:val="28"/>
          <w:lang w:val="uk-UA"/>
        </w:rPr>
        <w:t xml:space="preserve">Таблиця </w:t>
      </w:r>
      <w:r w:rsidR="00E6538B" w:rsidRPr="00112933">
        <w:rPr>
          <w:rFonts w:ascii="Times New Roman" w:hAnsi="Times New Roman"/>
          <w:sz w:val="28"/>
          <w:szCs w:val="28"/>
          <w:lang w:val="uk-UA"/>
        </w:rPr>
        <w:t>8</w:t>
      </w:r>
      <w:r w:rsidR="00C74BC5">
        <w:rPr>
          <w:rFonts w:ascii="Times New Roman" w:hAnsi="Times New Roman"/>
          <w:sz w:val="28"/>
          <w:szCs w:val="28"/>
          <w:lang w:val="uk-UA"/>
        </w:rPr>
        <w:t>.45</w:t>
      </w:r>
    </w:p>
    <w:p w14:paraId="1E9EB2F4" w14:textId="359DC357" w:rsidR="00DB3440" w:rsidRPr="00112933" w:rsidRDefault="00DB3440" w:rsidP="002A01E2">
      <w:pPr>
        <w:spacing w:after="0" w:line="360" w:lineRule="auto"/>
        <w:ind w:firstLine="709"/>
        <w:jc w:val="center"/>
        <w:rPr>
          <w:rFonts w:ascii="Times New Roman" w:hAnsi="Times New Roman"/>
          <w:sz w:val="28"/>
          <w:szCs w:val="28"/>
          <w:lang w:val="uk-UA"/>
        </w:rPr>
      </w:pPr>
      <w:r w:rsidRPr="00112933">
        <w:rPr>
          <w:rFonts w:ascii="Times New Roman" w:hAnsi="Times New Roman"/>
          <w:sz w:val="28"/>
          <w:szCs w:val="28"/>
          <w:lang w:val="uk-UA"/>
        </w:rPr>
        <w:t>Регресійна статистика рівню уреази та індексу РМА у третій групі пацієнтів</w:t>
      </w:r>
    </w:p>
    <w:tbl>
      <w:tblPr>
        <w:tblStyle w:val="TableGrid"/>
        <w:tblW w:w="0" w:type="auto"/>
        <w:tblLook w:val="04A0" w:firstRow="1" w:lastRow="0" w:firstColumn="1" w:lastColumn="0" w:noHBand="0" w:noVBand="1"/>
      </w:tblPr>
      <w:tblGrid>
        <w:gridCol w:w="5559"/>
        <w:gridCol w:w="3756"/>
      </w:tblGrid>
      <w:tr w:rsidR="00DB3440" w:rsidRPr="00112933" w14:paraId="4F37F961" w14:textId="77777777" w:rsidTr="00D364A7">
        <w:trPr>
          <w:trHeight w:val="214"/>
        </w:trPr>
        <w:tc>
          <w:tcPr>
            <w:tcW w:w="9315" w:type="dxa"/>
            <w:gridSpan w:val="2"/>
            <w:noWrap/>
            <w:hideMark/>
          </w:tcPr>
          <w:p w14:paraId="4943F5C2" w14:textId="77777777" w:rsidR="00DB3440" w:rsidRPr="00112933" w:rsidRDefault="00DB3440" w:rsidP="002A01E2">
            <w:pPr>
              <w:spacing w:line="360" w:lineRule="auto"/>
              <w:ind w:firstLine="709"/>
              <w:rPr>
                <w:rFonts w:eastAsiaTheme="minorHAnsi"/>
                <w:i/>
                <w:iCs/>
                <w:sz w:val="28"/>
                <w:szCs w:val="28"/>
                <w:lang w:val="uk-UA"/>
              </w:rPr>
            </w:pPr>
            <w:r w:rsidRPr="00112933">
              <w:rPr>
                <w:rFonts w:eastAsiaTheme="minorHAnsi"/>
                <w:i/>
                <w:iCs/>
                <w:sz w:val="28"/>
                <w:szCs w:val="28"/>
                <w:lang w:val="uk-UA"/>
              </w:rPr>
              <w:t>Регресійна статистика</w:t>
            </w:r>
          </w:p>
        </w:tc>
      </w:tr>
      <w:tr w:rsidR="00DB3440" w:rsidRPr="00112933" w14:paraId="0C6D96D5" w14:textId="77777777" w:rsidTr="00D364A7">
        <w:trPr>
          <w:trHeight w:val="214"/>
        </w:trPr>
        <w:tc>
          <w:tcPr>
            <w:tcW w:w="5559" w:type="dxa"/>
            <w:noWrap/>
            <w:hideMark/>
          </w:tcPr>
          <w:p w14:paraId="3166D947"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Множинний </w:t>
            </w:r>
            <w:r w:rsidRPr="00112933">
              <w:rPr>
                <w:rFonts w:eastAsiaTheme="minorHAnsi" w:cstheme="minorBidi"/>
                <w:sz w:val="28"/>
                <w:szCs w:val="28"/>
              </w:rPr>
              <w:t>R</w:t>
            </w:r>
          </w:p>
        </w:tc>
        <w:tc>
          <w:tcPr>
            <w:tcW w:w="3756" w:type="dxa"/>
            <w:noWrap/>
            <w:vAlign w:val="bottom"/>
            <w:hideMark/>
          </w:tcPr>
          <w:p w14:paraId="51AA46DE" w14:textId="6B07C674"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0.306916</w:t>
            </w:r>
          </w:p>
        </w:tc>
      </w:tr>
      <w:tr w:rsidR="00DB3440" w:rsidRPr="00112933" w14:paraId="183CDE07" w14:textId="77777777" w:rsidTr="00D364A7">
        <w:trPr>
          <w:trHeight w:val="214"/>
        </w:trPr>
        <w:tc>
          <w:tcPr>
            <w:tcW w:w="5559" w:type="dxa"/>
            <w:noWrap/>
            <w:hideMark/>
          </w:tcPr>
          <w:p w14:paraId="6340173C"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2CC838EE" w14:textId="785F8D0F"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0.094198</w:t>
            </w:r>
          </w:p>
        </w:tc>
      </w:tr>
      <w:tr w:rsidR="00DB3440" w:rsidRPr="00112933" w14:paraId="56CBE5C4" w14:textId="77777777" w:rsidTr="00D364A7">
        <w:trPr>
          <w:trHeight w:val="214"/>
        </w:trPr>
        <w:tc>
          <w:tcPr>
            <w:tcW w:w="5559" w:type="dxa"/>
            <w:noWrap/>
            <w:hideMark/>
          </w:tcPr>
          <w:p w14:paraId="721E64AB" w14:textId="77777777" w:rsidR="00DB3440" w:rsidRPr="00112933" w:rsidRDefault="00DB3440" w:rsidP="002A01E2">
            <w:pPr>
              <w:spacing w:line="360" w:lineRule="auto"/>
              <w:ind w:firstLine="709"/>
              <w:rPr>
                <w:rFonts w:eastAsiaTheme="minorHAnsi" w:cstheme="minorBidi"/>
                <w:sz w:val="28"/>
                <w:szCs w:val="28"/>
                <w:lang w:val="uk-UA"/>
              </w:rPr>
            </w:pPr>
            <w:r w:rsidRPr="00112933">
              <w:rPr>
                <w:rFonts w:eastAsiaTheme="minorHAnsi" w:cstheme="minorBidi"/>
                <w:sz w:val="28"/>
                <w:szCs w:val="28"/>
                <w:lang w:val="uk-UA"/>
              </w:rPr>
              <w:t xml:space="preserve">Нормований </w:t>
            </w:r>
            <w:r w:rsidRPr="00112933">
              <w:rPr>
                <w:rFonts w:eastAsiaTheme="minorHAnsi" w:cstheme="minorBidi"/>
                <w:sz w:val="28"/>
                <w:szCs w:val="28"/>
              </w:rPr>
              <w:t>R</w:t>
            </w:r>
            <w:r w:rsidRPr="00112933">
              <w:rPr>
                <w:rFonts w:eastAsiaTheme="minorHAnsi" w:cstheme="minorBidi"/>
                <w:sz w:val="28"/>
                <w:szCs w:val="28"/>
                <w:lang w:val="uk-UA"/>
              </w:rPr>
              <w:t>-квадрат</w:t>
            </w:r>
          </w:p>
        </w:tc>
        <w:tc>
          <w:tcPr>
            <w:tcW w:w="3756" w:type="dxa"/>
            <w:noWrap/>
            <w:vAlign w:val="bottom"/>
            <w:hideMark/>
          </w:tcPr>
          <w:p w14:paraId="1308E1D2" w14:textId="70263EA8" w:rsidR="00DB3440" w:rsidRPr="00112933" w:rsidRDefault="00DB3440" w:rsidP="002A01E2">
            <w:pPr>
              <w:spacing w:line="360" w:lineRule="auto"/>
              <w:ind w:firstLine="709"/>
              <w:rPr>
                <w:rFonts w:eastAsiaTheme="minorHAnsi" w:cs="Times New Roman"/>
                <w:sz w:val="28"/>
                <w:szCs w:val="28"/>
                <w:lang w:val="uk-UA"/>
              </w:rPr>
            </w:pPr>
            <w:r w:rsidRPr="00112933">
              <w:rPr>
                <w:rFonts w:cs="Times New Roman"/>
                <w:sz w:val="28"/>
                <w:szCs w:val="28"/>
              </w:rPr>
              <w:t>0.057965</w:t>
            </w:r>
          </w:p>
        </w:tc>
      </w:tr>
      <w:tr w:rsidR="00DB3440" w:rsidRPr="00112933" w14:paraId="5BA15F51" w14:textId="77777777" w:rsidTr="00D364A7">
        <w:trPr>
          <w:trHeight w:val="214"/>
        </w:trPr>
        <w:tc>
          <w:tcPr>
            <w:tcW w:w="5559" w:type="dxa"/>
            <w:noWrap/>
            <w:hideMark/>
          </w:tcPr>
          <w:p w14:paraId="673A7E0C" w14:textId="77777777" w:rsidR="00DB3440" w:rsidRPr="00112933" w:rsidRDefault="00DB3440" w:rsidP="002A01E2">
            <w:pPr>
              <w:spacing w:line="360" w:lineRule="auto"/>
              <w:ind w:firstLine="709"/>
              <w:rPr>
                <w:rFonts w:eastAsiaTheme="minorHAnsi" w:cstheme="minorBidi"/>
                <w:sz w:val="28"/>
                <w:szCs w:val="28"/>
              </w:rPr>
            </w:pPr>
            <w:r w:rsidRPr="00112933">
              <w:rPr>
                <w:rFonts w:eastAsiaTheme="minorHAnsi" w:cstheme="minorBidi"/>
                <w:sz w:val="28"/>
                <w:szCs w:val="28"/>
              </w:rPr>
              <w:t>Стандартна помилка</w:t>
            </w:r>
          </w:p>
        </w:tc>
        <w:tc>
          <w:tcPr>
            <w:tcW w:w="3756" w:type="dxa"/>
            <w:noWrap/>
            <w:vAlign w:val="bottom"/>
            <w:hideMark/>
          </w:tcPr>
          <w:p w14:paraId="4A027723" w14:textId="2CB70A68" w:rsidR="00DB3440" w:rsidRPr="00112933" w:rsidRDefault="00DB3440" w:rsidP="002A01E2">
            <w:pPr>
              <w:spacing w:line="360" w:lineRule="auto"/>
              <w:ind w:firstLine="709"/>
              <w:rPr>
                <w:rFonts w:eastAsiaTheme="minorHAnsi" w:cs="Times New Roman"/>
                <w:sz w:val="28"/>
                <w:szCs w:val="28"/>
              </w:rPr>
            </w:pPr>
            <w:r w:rsidRPr="00112933">
              <w:rPr>
                <w:rFonts w:cs="Times New Roman"/>
                <w:sz w:val="28"/>
                <w:szCs w:val="28"/>
              </w:rPr>
              <w:t>2.098678</w:t>
            </w:r>
          </w:p>
        </w:tc>
      </w:tr>
      <w:tr w:rsidR="00DB3440" w:rsidRPr="00112933" w14:paraId="3571FD35" w14:textId="77777777" w:rsidTr="00D364A7">
        <w:trPr>
          <w:trHeight w:val="226"/>
        </w:trPr>
        <w:tc>
          <w:tcPr>
            <w:tcW w:w="5559" w:type="dxa"/>
            <w:noWrap/>
            <w:hideMark/>
          </w:tcPr>
          <w:p w14:paraId="58D28BF4" w14:textId="77777777" w:rsidR="00DB3440" w:rsidRPr="00112933" w:rsidRDefault="00DB3440" w:rsidP="002A01E2">
            <w:pPr>
              <w:spacing w:line="360" w:lineRule="auto"/>
              <w:ind w:firstLine="709"/>
              <w:rPr>
                <w:rFonts w:eastAsiaTheme="minorHAnsi" w:cstheme="minorBidi"/>
                <w:sz w:val="28"/>
                <w:szCs w:val="28"/>
              </w:rPr>
            </w:pPr>
            <w:r w:rsidRPr="00112933">
              <w:rPr>
                <w:rFonts w:eastAsiaTheme="minorHAnsi" w:cstheme="minorBidi"/>
                <w:sz w:val="28"/>
                <w:szCs w:val="28"/>
              </w:rPr>
              <w:t>Спостереження</w:t>
            </w:r>
          </w:p>
        </w:tc>
        <w:tc>
          <w:tcPr>
            <w:tcW w:w="3756" w:type="dxa"/>
            <w:noWrap/>
            <w:vAlign w:val="bottom"/>
            <w:hideMark/>
          </w:tcPr>
          <w:p w14:paraId="204FEE34" w14:textId="113C5CC1" w:rsidR="00DB3440" w:rsidRPr="00112933" w:rsidRDefault="00DB3440" w:rsidP="002A01E2">
            <w:pPr>
              <w:spacing w:line="360" w:lineRule="auto"/>
              <w:ind w:firstLine="709"/>
              <w:rPr>
                <w:rFonts w:eastAsiaTheme="minorHAnsi" w:cs="Times New Roman"/>
                <w:sz w:val="28"/>
                <w:szCs w:val="28"/>
              </w:rPr>
            </w:pPr>
            <w:r w:rsidRPr="00112933">
              <w:rPr>
                <w:rFonts w:cs="Times New Roman"/>
                <w:sz w:val="28"/>
                <w:szCs w:val="28"/>
              </w:rPr>
              <w:t>30</w:t>
            </w:r>
          </w:p>
        </w:tc>
      </w:tr>
    </w:tbl>
    <w:p w14:paraId="4CF43D59" w14:textId="77777777" w:rsidR="00664BE9" w:rsidRDefault="00664BE9" w:rsidP="002A01E2">
      <w:pPr>
        <w:spacing w:after="0" w:line="360" w:lineRule="auto"/>
        <w:ind w:firstLine="709"/>
        <w:jc w:val="both"/>
        <w:rPr>
          <w:rFonts w:ascii="Times New Roman" w:hAnsi="Times New Roman" w:cs="Times New Roman"/>
          <w:sz w:val="28"/>
          <w:szCs w:val="28"/>
          <w:lang w:val="uk-UA"/>
        </w:rPr>
      </w:pPr>
    </w:p>
    <w:p w14:paraId="5DD1707D" w14:textId="2D3E6764" w:rsidR="00112933" w:rsidRPr="00D32A04" w:rsidRDefault="00512BFE" w:rsidP="002A01E2">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Отже, даний показник показує наявність антиоксидантного дисбалансу у дітей на тлі атопічних захворювань та хронічного гінгівіту, проте не може бути використаний для прогнозу рівня запалення тканин пародонту.</w:t>
      </w:r>
    </w:p>
    <w:p w14:paraId="5FEE83F3" w14:textId="50E2562C" w:rsidR="00664BE9" w:rsidRPr="00664BE9" w:rsidRDefault="00963B98" w:rsidP="002A01E2">
      <w:pPr>
        <w:spacing w:after="0" w:line="360" w:lineRule="auto"/>
        <w:ind w:firstLine="709"/>
        <w:jc w:val="both"/>
        <w:rPr>
          <w:rFonts w:ascii="Times New Roman" w:hAnsi="Times New Roman" w:cs="Times New Roman"/>
          <w:color w:val="222222"/>
          <w:sz w:val="28"/>
          <w:szCs w:val="28"/>
          <w:lang w:val="uk-UA"/>
        </w:rPr>
      </w:pPr>
      <w:r w:rsidRPr="00112933">
        <w:rPr>
          <w:rFonts w:ascii="Times New Roman" w:hAnsi="Times New Roman" w:cs="Times New Roman"/>
          <w:sz w:val="28"/>
          <w:szCs w:val="28"/>
          <w:lang w:val="uk-UA"/>
        </w:rPr>
        <w:t>Дане дослідження було проведене для оцінки стану перекисного окислення ліпідів у ротовій рідині та стану пародонту та для виявлення кореляції між рівнем антиоксидантів у дітей та запаленням у тканинах пародонту. Результати показали зміни антиоксидантного балансу у дітей з атопією, які були виражені у збільшенні</w:t>
      </w:r>
      <w:r w:rsidR="00512BFE" w:rsidRPr="00112933">
        <w:rPr>
          <w:rFonts w:ascii="Times New Roman" w:hAnsi="Times New Roman" w:cs="Times New Roman"/>
          <w:sz w:val="28"/>
          <w:szCs w:val="28"/>
          <w:lang w:val="uk-UA"/>
        </w:rPr>
        <w:t xml:space="preserve"> рівню малонового диальдегіду та уреази,</w:t>
      </w:r>
      <w:r w:rsidRPr="00112933">
        <w:rPr>
          <w:rFonts w:ascii="Times New Roman" w:hAnsi="Times New Roman" w:cs="Times New Roman"/>
          <w:sz w:val="28"/>
          <w:szCs w:val="28"/>
          <w:lang w:val="uk-UA"/>
        </w:rPr>
        <w:t xml:space="preserve"> зниженні активності супероксиддисмутази</w:t>
      </w:r>
      <w:r w:rsidR="00512BFE" w:rsidRPr="00112933">
        <w:rPr>
          <w:rFonts w:ascii="Times New Roman" w:hAnsi="Times New Roman" w:cs="Times New Roman"/>
          <w:sz w:val="28"/>
          <w:szCs w:val="28"/>
          <w:lang w:val="uk-UA"/>
        </w:rPr>
        <w:t xml:space="preserve"> та рівню відновленого глутатіону.</w:t>
      </w:r>
      <w:r w:rsidRPr="00112933">
        <w:rPr>
          <w:rFonts w:ascii="Times New Roman" w:hAnsi="Times New Roman" w:cs="Times New Roman"/>
          <w:sz w:val="28"/>
          <w:szCs w:val="28"/>
          <w:lang w:val="uk-UA"/>
        </w:rPr>
        <w:t xml:space="preserve"> Дані показники можна вважати біологічними маркерами розвитку </w:t>
      </w:r>
      <w:r w:rsidR="00512BFE" w:rsidRPr="00112933">
        <w:rPr>
          <w:rFonts w:ascii="Times New Roman" w:hAnsi="Times New Roman" w:cs="Times New Roman"/>
          <w:sz w:val="28"/>
          <w:szCs w:val="28"/>
          <w:lang w:val="uk-UA"/>
        </w:rPr>
        <w:t>гінгівіту на доклінічній стадії</w:t>
      </w:r>
      <w:r w:rsidRPr="00112933">
        <w:rPr>
          <w:rFonts w:ascii="Times New Roman" w:hAnsi="Times New Roman" w:cs="Times New Roman"/>
          <w:sz w:val="28"/>
          <w:szCs w:val="28"/>
          <w:lang w:val="uk-UA"/>
        </w:rPr>
        <w:t xml:space="preserve"> у дітей на тлі атопічних захворювань</w:t>
      </w:r>
      <w:r w:rsidR="00512BFE" w:rsidRPr="00112933">
        <w:rPr>
          <w:rFonts w:ascii="Times New Roman" w:hAnsi="Times New Roman" w:cs="Times New Roman"/>
          <w:sz w:val="28"/>
          <w:szCs w:val="28"/>
          <w:lang w:val="uk-UA"/>
        </w:rPr>
        <w:t xml:space="preserve">. Проте найбільш </w:t>
      </w:r>
      <w:r w:rsidR="00512BFE">
        <w:rPr>
          <w:rFonts w:ascii="Times New Roman" w:hAnsi="Times New Roman" w:cs="Times New Roman"/>
          <w:sz w:val="28"/>
          <w:szCs w:val="28"/>
          <w:lang w:val="uk-UA"/>
        </w:rPr>
        <w:t>ціннмим для прогнозу та діагностики є рівень відновленого глутатіону у ротовій рідині. Регреійний аналіз даних показав найбільшу залежність ступеню запалення тканин пародонту, а саме 91 %, від зміни рівню відновленого глутатіону. На основі даних регресійного аналізу було побудоване рівняння регресії, визначені її коефіцієнти, що дозволяє математично прогнозувати ступінь запалення тканин пародонту при зміні рівню глутатіону у ротовій рідині.</w:t>
      </w:r>
    </w:p>
    <w:p w14:paraId="2FBD16A7" w14:textId="0CD485A7" w:rsidR="009860FF" w:rsidRDefault="009860FF" w:rsidP="00C74BC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61C76A71" w14:textId="2A172CA4" w:rsidR="009860FF" w:rsidRPr="009860FF" w:rsidRDefault="009860FF" w:rsidP="00C74BC5">
      <w:pPr>
        <w:pStyle w:val="ListParagraph"/>
        <w:numPr>
          <w:ilvl w:val="0"/>
          <w:numId w:val="14"/>
        </w:numPr>
        <w:spacing w:after="0" w:line="360" w:lineRule="auto"/>
        <w:jc w:val="both"/>
        <w:rPr>
          <w:rFonts w:ascii="Times New Roman" w:hAnsi="Times New Roman"/>
          <w:sz w:val="28"/>
          <w:szCs w:val="28"/>
          <w:lang w:val="ru-RU"/>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Л. С. Кривенко, Р. С. Назарян // Вісник проблем медицини та біології. – 2016. – № 3. – С. 132-138.</w:t>
      </w:r>
    </w:p>
    <w:p w14:paraId="79AEFA06" w14:textId="3AD66849" w:rsidR="009860FF" w:rsidRDefault="009860FF" w:rsidP="00C74BC5">
      <w:pPr>
        <w:pStyle w:val="ListParagraph"/>
        <w:numPr>
          <w:ilvl w:val="0"/>
          <w:numId w:val="14"/>
        </w:numPr>
        <w:spacing w:after="0"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11169183" w14:textId="29D911A7" w:rsidR="006A4C62" w:rsidRPr="006A4C62" w:rsidRDefault="006A4C62" w:rsidP="00C74BC5">
      <w:pPr>
        <w:pStyle w:val="ListParagraph"/>
        <w:numPr>
          <w:ilvl w:val="0"/>
          <w:numId w:val="14"/>
        </w:numPr>
        <w:spacing w:after="0" w:line="360" w:lineRule="auto"/>
        <w:jc w:val="both"/>
        <w:rPr>
          <w:rFonts w:ascii="Times New Roman" w:hAnsi="Times New Roman"/>
          <w:sz w:val="28"/>
          <w:szCs w:val="28"/>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726F8D7E" w14:textId="4867A8D9" w:rsidR="009860FF" w:rsidRPr="005A47B1" w:rsidRDefault="009860FF" w:rsidP="00C74BC5">
      <w:pPr>
        <w:pStyle w:val="ListParagraph"/>
        <w:numPr>
          <w:ilvl w:val="0"/>
          <w:numId w:val="14"/>
        </w:numPr>
        <w:spacing w:after="0" w:line="360" w:lineRule="auto"/>
        <w:jc w:val="both"/>
        <w:rPr>
          <w:rFonts w:ascii="Times New Roman" w:hAnsi="Times New Roman"/>
          <w:sz w:val="28"/>
          <w:szCs w:val="28"/>
        </w:rPr>
      </w:pPr>
      <w:r w:rsidRPr="009860FF">
        <w:rPr>
          <w:rFonts w:ascii="Times New Roman" w:hAnsi="Times New Roman"/>
          <w:sz w:val="28"/>
          <w:szCs w:val="28"/>
          <w:lang w:val="ru-RU"/>
        </w:rPr>
        <w:t>Кривенко</w:t>
      </w:r>
      <w:r w:rsidRPr="005A47B1">
        <w:rPr>
          <w:rFonts w:ascii="Times New Roman" w:hAnsi="Times New Roman"/>
          <w:sz w:val="28"/>
          <w:szCs w:val="28"/>
        </w:rPr>
        <w:t xml:space="preserve">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Прогностичні</w:t>
      </w:r>
      <w:r w:rsidRPr="005A47B1">
        <w:rPr>
          <w:rFonts w:ascii="Times New Roman" w:hAnsi="Times New Roman"/>
          <w:sz w:val="28"/>
          <w:szCs w:val="28"/>
        </w:rPr>
        <w:t xml:space="preserve"> </w:t>
      </w:r>
      <w:r w:rsidRPr="009860FF">
        <w:rPr>
          <w:rFonts w:ascii="Times New Roman" w:hAnsi="Times New Roman"/>
          <w:sz w:val="28"/>
          <w:szCs w:val="28"/>
          <w:lang w:val="ru-RU"/>
        </w:rPr>
        <w:t>біомаркери</w:t>
      </w:r>
      <w:r w:rsidRPr="005A47B1">
        <w:rPr>
          <w:rFonts w:ascii="Times New Roman" w:hAnsi="Times New Roman"/>
          <w:sz w:val="28"/>
          <w:szCs w:val="28"/>
        </w:rPr>
        <w:t xml:space="preserve"> </w:t>
      </w:r>
      <w:r w:rsidRPr="009860FF">
        <w:rPr>
          <w:rFonts w:ascii="Times New Roman" w:hAnsi="Times New Roman"/>
          <w:sz w:val="28"/>
          <w:szCs w:val="28"/>
          <w:lang w:val="ru-RU"/>
        </w:rPr>
        <w:t>хронічного</w:t>
      </w:r>
      <w:r w:rsidRPr="005A47B1">
        <w:rPr>
          <w:rFonts w:ascii="Times New Roman" w:hAnsi="Times New Roman"/>
          <w:sz w:val="28"/>
          <w:szCs w:val="28"/>
        </w:rPr>
        <w:t xml:space="preserve"> </w:t>
      </w:r>
      <w:r w:rsidRPr="009860FF">
        <w:rPr>
          <w:rFonts w:ascii="Times New Roman" w:hAnsi="Times New Roman"/>
          <w:sz w:val="28"/>
          <w:szCs w:val="28"/>
          <w:lang w:val="ru-RU"/>
        </w:rPr>
        <w:t>гінгівіту</w:t>
      </w:r>
      <w:r w:rsidRPr="005A47B1">
        <w:rPr>
          <w:rFonts w:ascii="Times New Roman" w:hAnsi="Times New Roman"/>
          <w:sz w:val="28"/>
          <w:szCs w:val="28"/>
        </w:rPr>
        <w:t xml:space="preserve"> </w:t>
      </w:r>
      <w:r w:rsidRPr="009860FF">
        <w:rPr>
          <w:rFonts w:ascii="Times New Roman" w:hAnsi="Times New Roman"/>
          <w:sz w:val="28"/>
          <w:szCs w:val="28"/>
          <w:lang w:val="ru-RU"/>
        </w:rPr>
        <w:t>у</w:t>
      </w:r>
      <w:r w:rsidRPr="005A47B1">
        <w:rPr>
          <w:rFonts w:ascii="Times New Roman" w:hAnsi="Times New Roman"/>
          <w:sz w:val="28"/>
          <w:szCs w:val="28"/>
        </w:rPr>
        <w:t xml:space="preserve"> </w:t>
      </w:r>
      <w:r w:rsidRPr="009860FF">
        <w:rPr>
          <w:rFonts w:ascii="Times New Roman" w:hAnsi="Times New Roman"/>
          <w:sz w:val="28"/>
          <w:szCs w:val="28"/>
          <w:lang w:val="ru-RU"/>
        </w:rPr>
        <w:t>ротовій</w:t>
      </w:r>
      <w:r w:rsidRPr="005A47B1">
        <w:rPr>
          <w:rFonts w:ascii="Times New Roman" w:hAnsi="Times New Roman"/>
          <w:sz w:val="28"/>
          <w:szCs w:val="28"/>
        </w:rPr>
        <w:t xml:space="preserve"> </w:t>
      </w:r>
      <w:r w:rsidRPr="009860FF">
        <w:rPr>
          <w:rFonts w:ascii="Times New Roman" w:hAnsi="Times New Roman"/>
          <w:sz w:val="28"/>
          <w:szCs w:val="28"/>
          <w:lang w:val="ru-RU"/>
        </w:rPr>
        <w:t>рідині</w:t>
      </w:r>
      <w:r w:rsidRPr="005A47B1">
        <w:rPr>
          <w:rFonts w:ascii="Times New Roman" w:hAnsi="Times New Roman"/>
          <w:sz w:val="28"/>
          <w:szCs w:val="28"/>
        </w:rPr>
        <w:t xml:space="preserve"> </w:t>
      </w:r>
      <w:r w:rsidRPr="009860FF">
        <w:rPr>
          <w:rFonts w:ascii="Times New Roman" w:hAnsi="Times New Roman"/>
          <w:sz w:val="28"/>
          <w:szCs w:val="28"/>
          <w:lang w:val="ru-RU"/>
        </w:rPr>
        <w:t>дітей</w:t>
      </w:r>
      <w:r w:rsidRPr="005A47B1">
        <w:rPr>
          <w:rFonts w:ascii="Times New Roman" w:hAnsi="Times New Roman"/>
          <w:sz w:val="28"/>
          <w:szCs w:val="28"/>
        </w:rPr>
        <w:t xml:space="preserve"> </w:t>
      </w:r>
      <w:r w:rsidRPr="009860FF">
        <w:rPr>
          <w:rFonts w:ascii="Times New Roman" w:hAnsi="Times New Roman"/>
          <w:sz w:val="28"/>
          <w:szCs w:val="28"/>
          <w:lang w:val="ru-RU"/>
        </w:rPr>
        <w:t>з</w:t>
      </w:r>
      <w:r w:rsidRPr="005A47B1">
        <w:rPr>
          <w:rFonts w:ascii="Times New Roman" w:hAnsi="Times New Roman"/>
          <w:sz w:val="28"/>
          <w:szCs w:val="28"/>
        </w:rPr>
        <w:t xml:space="preserve"> </w:t>
      </w:r>
      <w:r w:rsidRPr="009860FF">
        <w:rPr>
          <w:rFonts w:ascii="Times New Roman" w:hAnsi="Times New Roman"/>
          <w:sz w:val="28"/>
          <w:szCs w:val="28"/>
          <w:lang w:val="ru-RU"/>
        </w:rPr>
        <w:t>атопічними</w:t>
      </w:r>
      <w:r w:rsidRPr="005A47B1">
        <w:rPr>
          <w:rFonts w:ascii="Times New Roman" w:hAnsi="Times New Roman"/>
          <w:sz w:val="28"/>
          <w:szCs w:val="28"/>
        </w:rPr>
        <w:t xml:space="preserve"> </w:t>
      </w:r>
      <w:r w:rsidRPr="009860FF">
        <w:rPr>
          <w:rFonts w:ascii="Times New Roman" w:hAnsi="Times New Roman"/>
          <w:sz w:val="28"/>
          <w:szCs w:val="28"/>
          <w:lang w:val="ru-RU"/>
        </w:rPr>
        <w:t>захворюваннями</w:t>
      </w:r>
      <w:r w:rsidRPr="005A47B1">
        <w:rPr>
          <w:rFonts w:ascii="Times New Roman" w:hAnsi="Times New Roman"/>
          <w:sz w:val="28"/>
          <w:szCs w:val="28"/>
        </w:rPr>
        <w:t xml:space="preserve"> /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Кривенко</w:t>
      </w:r>
      <w:r w:rsidRPr="005A47B1">
        <w:rPr>
          <w:rFonts w:ascii="Times New Roman" w:hAnsi="Times New Roman"/>
          <w:sz w:val="28"/>
          <w:szCs w:val="28"/>
        </w:rPr>
        <w:t xml:space="preserve"> // </w:t>
      </w:r>
      <w:r w:rsidRPr="009860FF">
        <w:rPr>
          <w:rFonts w:ascii="Times New Roman" w:hAnsi="Times New Roman"/>
          <w:sz w:val="28"/>
          <w:szCs w:val="28"/>
          <w:lang w:val="ru-RU"/>
        </w:rPr>
        <w:t>Новини</w:t>
      </w:r>
      <w:r w:rsidRPr="005A47B1">
        <w:rPr>
          <w:rFonts w:ascii="Times New Roman" w:hAnsi="Times New Roman"/>
          <w:sz w:val="28"/>
          <w:szCs w:val="28"/>
        </w:rPr>
        <w:t xml:space="preserve"> </w:t>
      </w:r>
      <w:r w:rsidRPr="009860FF">
        <w:rPr>
          <w:rFonts w:ascii="Times New Roman" w:hAnsi="Times New Roman"/>
          <w:sz w:val="28"/>
          <w:szCs w:val="28"/>
          <w:lang w:val="ru-RU"/>
        </w:rPr>
        <w:t>стоматології</w:t>
      </w:r>
      <w:r w:rsidRPr="005A47B1">
        <w:rPr>
          <w:rFonts w:ascii="Times New Roman" w:hAnsi="Times New Roman"/>
          <w:sz w:val="28"/>
          <w:szCs w:val="28"/>
        </w:rPr>
        <w:t xml:space="preserve">. – 2017. – №3 (92). – </w:t>
      </w:r>
      <w:r w:rsidRPr="009860FF">
        <w:rPr>
          <w:rFonts w:ascii="Times New Roman" w:hAnsi="Times New Roman"/>
          <w:sz w:val="28"/>
          <w:szCs w:val="28"/>
          <w:lang w:val="ru-RU"/>
        </w:rPr>
        <w:t>С</w:t>
      </w:r>
      <w:r w:rsidRPr="005A47B1">
        <w:rPr>
          <w:rFonts w:ascii="Times New Roman" w:hAnsi="Times New Roman"/>
          <w:sz w:val="28"/>
          <w:szCs w:val="28"/>
        </w:rPr>
        <w:t>.88-91.</w:t>
      </w:r>
    </w:p>
    <w:p w14:paraId="7187690E" w14:textId="68D7B352" w:rsidR="009860FF" w:rsidRPr="009860FF" w:rsidRDefault="009860FF" w:rsidP="00C74BC5">
      <w:pPr>
        <w:pStyle w:val="ListParagraph"/>
        <w:numPr>
          <w:ilvl w:val="0"/>
          <w:numId w:val="14"/>
        </w:numPr>
        <w:spacing w:after="0" w:line="360" w:lineRule="auto"/>
        <w:jc w:val="both"/>
        <w:rPr>
          <w:rFonts w:ascii="Times New Roman" w:hAnsi="Times New Roman"/>
          <w:sz w:val="28"/>
          <w:szCs w:val="28"/>
          <w:lang w:val="ru-RU"/>
        </w:rPr>
      </w:pPr>
      <w:r w:rsidRPr="009860FF">
        <w:rPr>
          <w:rFonts w:ascii="Times New Roman" w:hAnsi="Times New Roman"/>
          <w:sz w:val="28"/>
          <w:szCs w:val="28"/>
          <w:lang w:val="ru-RU"/>
        </w:rPr>
        <w:t>Кривенко Л. С. Діагностична та прогностична значущість маркерів запалення тканин пародонту у дітей з атопічними захворюваннями / Л. С. Кривенко // Новини стоматології. – 2017. – №4 (93). – С.72-74.</w:t>
      </w:r>
    </w:p>
    <w:p w14:paraId="5017FF01" w14:textId="0D67CA45" w:rsidR="009860FF" w:rsidRPr="009860FF" w:rsidRDefault="009860FF" w:rsidP="00C74BC5">
      <w:pPr>
        <w:pStyle w:val="ListParagraph"/>
        <w:numPr>
          <w:ilvl w:val="0"/>
          <w:numId w:val="14"/>
        </w:numPr>
        <w:spacing w:after="0" w:line="360" w:lineRule="auto"/>
        <w:jc w:val="both"/>
        <w:rPr>
          <w:rFonts w:ascii="Times New Roman" w:hAnsi="Times New Roman"/>
          <w:sz w:val="28"/>
          <w:szCs w:val="28"/>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w:t>
      </w:r>
    </w:p>
    <w:p w14:paraId="2EFDA089" w14:textId="53047791" w:rsidR="0087146D" w:rsidRDefault="0087146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E4F6432" w14:textId="2979D7CE" w:rsidR="00112933" w:rsidRDefault="00112933" w:rsidP="00112933">
      <w:pPr>
        <w:pStyle w:val="Heading1"/>
        <w:spacing w:before="0" w:line="360" w:lineRule="auto"/>
        <w:jc w:val="center"/>
        <w:rPr>
          <w:rFonts w:ascii="Times New Roman" w:hAnsi="Times New Roman" w:cs="Times New Roman"/>
          <w:color w:val="auto"/>
          <w:sz w:val="28"/>
          <w:szCs w:val="28"/>
          <w:lang w:val="uk-UA"/>
        </w:rPr>
      </w:pPr>
      <w:bookmarkStart w:id="36" w:name="_Toc507575329"/>
      <w:r>
        <w:rPr>
          <w:rFonts w:ascii="Times New Roman" w:hAnsi="Times New Roman" w:cs="Times New Roman"/>
          <w:color w:val="auto"/>
          <w:sz w:val="28"/>
          <w:szCs w:val="28"/>
          <w:lang w:val="uk-UA"/>
        </w:rPr>
        <w:t>РОЗДІЛ 9</w:t>
      </w:r>
      <w:bookmarkEnd w:id="36"/>
    </w:p>
    <w:p w14:paraId="74DC1959" w14:textId="77777777" w:rsidR="00112933" w:rsidRPr="00112933" w:rsidRDefault="00112933" w:rsidP="00112933">
      <w:pPr>
        <w:rPr>
          <w:lang w:val="uk-UA"/>
        </w:rPr>
      </w:pPr>
    </w:p>
    <w:p w14:paraId="5DF0CDA6" w14:textId="56C3B212" w:rsidR="0087146D" w:rsidRDefault="00112933" w:rsidP="00112933">
      <w:pPr>
        <w:pStyle w:val="Heading1"/>
        <w:spacing w:before="0" w:line="360" w:lineRule="auto"/>
        <w:jc w:val="center"/>
        <w:rPr>
          <w:rFonts w:ascii="Times New Roman" w:hAnsi="Times New Roman" w:cs="Times New Roman"/>
          <w:color w:val="auto"/>
          <w:sz w:val="28"/>
          <w:szCs w:val="28"/>
          <w:lang w:val="uk-UA"/>
        </w:rPr>
      </w:pPr>
      <w:bookmarkStart w:id="37" w:name="_Toc507575330"/>
      <w:r w:rsidRPr="00112933">
        <w:rPr>
          <w:rFonts w:ascii="Times New Roman" w:hAnsi="Times New Roman" w:cs="Times New Roman"/>
          <w:color w:val="auto"/>
          <w:sz w:val="28"/>
          <w:szCs w:val="28"/>
          <w:lang w:val="uk-UA"/>
        </w:rPr>
        <w:t>ОБҐРУНТУВАННЯ КОМПЛЕКСНОЇ КОНЦЕПТУАЛЬНО НОВОЇ ПРОГРАМИ ПРОФІЛАКТИКИ ТА ЛІКУВАННЯ ХРОНІЧНОГО ГІНГІВІТУ У ДІТЕЙ З АТОПІЧНИМИ ЗАХВОРЮВАННЯМИ</w:t>
      </w:r>
      <w:bookmarkEnd w:id="37"/>
    </w:p>
    <w:p w14:paraId="3AC570DB" w14:textId="77777777" w:rsidR="00112933" w:rsidRPr="00112933" w:rsidRDefault="00112933" w:rsidP="00112933">
      <w:pPr>
        <w:rPr>
          <w:lang w:val="uk-UA"/>
        </w:rPr>
      </w:pPr>
    </w:p>
    <w:p w14:paraId="222B0503" w14:textId="77777777" w:rsidR="00BE0990" w:rsidRDefault="0087146D" w:rsidP="0087146D">
      <w:pPr>
        <w:spacing w:after="0" w:line="360" w:lineRule="auto"/>
        <w:ind w:firstLine="709"/>
        <w:jc w:val="both"/>
        <w:rPr>
          <w:rFonts w:ascii="Times New Roman" w:hAnsi="Times New Roman" w:cs="Times New Roman"/>
          <w:sz w:val="28"/>
          <w:szCs w:val="28"/>
          <w:lang w:val="uk-UA"/>
        </w:rPr>
      </w:pPr>
      <w:r w:rsidRPr="0087146D">
        <w:rPr>
          <w:rFonts w:ascii="Times New Roman" w:hAnsi="Times New Roman" w:cs="Times New Roman"/>
          <w:sz w:val="28"/>
          <w:szCs w:val="28"/>
          <w:lang w:val="uk-UA"/>
        </w:rPr>
        <w:t xml:space="preserve">З метою обґрунтування лікувально-профілактичних комплексів у дітей з </w:t>
      </w:r>
      <w:r w:rsidR="00292C37">
        <w:rPr>
          <w:rFonts w:ascii="Times New Roman" w:hAnsi="Times New Roman" w:cs="Times New Roman"/>
          <w:sz w:val="28"/>
          <w:szCs w:val="28"/>
          <w:lang w:val="uk-UA"/>
        </w:rPr>
        <w:t>гінгівітом на тлі атопічних захворювань</w:t>
      </w:r>
      <w:r w:rsidRPr="0087146D">
        <w:rPr>
          <w:rFonts w:ascii="Times New Roman" w:hAnsi="Times New Roman" w:cs="Times New Roman"/>
          <w:sz w:val="28"/>
          <w:szCs w:val="28"/>
          <w:lang w:val="uk-UA"/>
        </w:rPr>
        <w:t xml:space="preserve"> нами був здійснений аналіз сучасної наукової літератури з визначенням найбільш значимих патогенетичних змін, притаманних </w:t>
      </w:r>
      <w:r w:rsidR="00292C37">
        <w:rPr>
          <w:rFonts w:ascii="Times New Roman" w:hAnsi="Times New Roman" w:cs="Times New Roman"/>
          <w:sz w:val="28"/>
          <w:szCs w:val="28"/>
          <w:lang w:val="uk-UA"/>
        </w:rPr>
        <w:t>хронічному гінгівіту</w:t>
      </w:r>
      <w:r w:rsidRPr="0087146D">
        <w:rPr>
          <w:rFonts w:ascii="Times New Roman" w:hAnsi="Times New Roman" w:cs="Times New Roman"/>
          <w:sz w:val="28"/>
          <w:szCs w:val="28"/>
          <w:lang w:val="uk-UA"/>
        </w:rPr>
        <w:t xml:space="preserve"> у дітей, та актуальних підходів до вибору методів їх корекції і проведений аналіз результатів власних досліджень, що стосується впливу факторів ризику формування та прогресування захворювання, </w:t>
      </w:r>
      <w:r w:rsidR="00292C37">
        <w:rPr>
          <w:rFonts w:ascii="Times New Roman" w:hAnsi="Times New Roman" w:cs="Times New Roman"/>
          <w:sz w:val="28"/>
          <w:szCs w:val="28"/>
          <w:lang w:val="uk-UA"/>
        </w:rPr>
        <w:t>клінічних, імунологічних та</w:t>
      </w:r>
      <w:r w:rsidRPr="0087146D">
        <w:rPr>
          <w:rFonts w:ascii="Times New Roman" w:hAnsi="Times New Roman" w:cs="Times New Roman"/>
          <w:sz w:val="28"/>
          <w:szCs w:val="28"/>
          <w:lang w:val="uk-UA"/>
        </w:rPr>
        <w:t xml:space="preserve"> біохімічних змін ротової рідини. </w:t>
      </w:r>
      <w:r w:rsidR="00292C37">
        <w:rPr>
          <w:rFonts w:ascii="Times New Roman" w:hAnsi="Times New Roman" w:cs="Times New Roman"/>
          <w:sz w:val="28"/>
          <w:szCs w:val="28"/>
          <w:lang w:val="uk-UA"/>
        </w:rPr>
        <w:t>Вивчені</w:t>
      </w:r>
      <w:r w:rsidR="00292C37" w:rsidRPr="00D131B6">
        <w:rPr>
          <w:rFonts w:ascii="Times New Roman" w:hAnsi="Times New Roman" w:cs="Times New Roman"/>
          <w:sz w:val="28"/>
          <w:szCs w:val="28"/>
          <w:lang w:val="uk-UA"/>
        </w:rPr>
        <w:t xml:space="preserve"> показники клінічного стоматологічного статусу у дітей з гінгівітом та</w:t>
      </w:r>
      <w:r w:rsidR="00292C37">
        <w:rPr>
          <w:rFonts w:ascii="Times New Roman" w:hAnsi="Times New Roman" w:cs="Times New Roman"/>
          <w:sz w:val="28"/>
          <w:szCs w:val="28"/>
          <w:lang w:val="uk-UA"/>
        </w:rPr>
        <w:t xml:space="preserve"> провідні</w:t>
      </w:r>
      <w:r w:rsidR="00292C37" w:rsidRPr="00D131B6">
        <w:rPr>
          <w:rFonts w:ascii="Times New Roman" w:hAnsi="Times New Roman" w:cs="Times New Roman"/>
          <w:sz w:val="28"/>
          <w:szCs w:val="28"/>
          <w:lang w:val="uk-UA"/>
        </w:rPr>
        <w:t xml:space="preserve"> </w:t>
      </w:r>
      <w:r w:rsidR="00BE0990">
        <w:rPr>
          <w:rFonts w:ascii="Times New Roman" w:hAnsi="Times New Roman" w:cs="Times New Roman"/>
          <w:sz w:val="28"/>
          <w:szCs w:val="28"/>
          <w:lang w:val="uk-UA"/>
        </w:rPr>
        <w:t>патогенетичні</w:t>
      </w:r>
      <w:r w:rsidR="00292C37" w:rsidRPr="00D131B6">
        <w:rPr>
          <w:rFonts w:ascii="Times New Roman" w:hAnsi="Times New Roman" w:cs="Times New Roman"/>
          <w:sz w:val="28"/>
          <w:szCs w:val="28"/>
          <w:lang w:val="uk-UA"/>
        </w:rPr>
        <w:t xml:space="preserve"> чинники розвитку гінгівіту у дітей на тлі атопічних захворювань</w:t>
      </w:r>
      <w:r w:rsidR="00292C37">
        <w:rPr>
          <w:rFonts w:ascii="Times New Roman" w:hAnsi="Times New Roman" w:cs="Times New Roman"/>
          <w:sz w:val="28"/>
          <w:szCs w:val="28"/>
          <w:lang w:val="uk-UA"/>
        </w:rPr>
        <w:t xml:space="preserve">. </w:t>
      </w:r>
    </w:p>
    <w:p w14:paraId="6BCF92EF" w14:textId="2202AF97" w:rsidR="00292C37" w:rsidRPr="00BE0990" w:rsidRDefault="00BE0990" w:rsidP="00BE09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проведеного дослідження зроблено висновок</w:t>
      </w:r>
      <w:r w:rsidR="00292C37">
        <w:rPr>
          <w:rFonts w:ascii="Times New Roman" w:hAnsi="Times New Roman" w:cs="Times New Roman"/>
          <w:sz w:val="28"/>
          <w:szCs w:val="28"/>
          <w:lang w:val="uk-UA"/>
        </w:rPr>
        <w:t>, що у дітей з атопічними захворюваннями ступінь запале</w:t>
      </w:r>
      <w:r>
        <w:rPr>
          <w:rFonts w:ascii="Times New Roman" w:hAnsi="Times New Roman" w:cs="Times New Roman"/>
          <w:sz w:val="28"/>
          <w:szCs w:val="28"/>
          <w:lang w:val="uk-UA"/>
        </w:rPr>
        <w:t>ння тканин пародонту за пародонтологічними індексами</w:t>
      </w:r>
      <w:r w:rsidR="00292C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92C37">
        <w:rPr>
          <w:rFonts w:ascii="Times New Roman" w:hAnsi="Times New Roman" w:cs="Times New Roman"/>
          <w:sz w:val="28"/>
          <w:szCs w:val="28"/>
        </w:rPr>
        <w:t>SBI</w:t>
      </w:r>
      <w:r w:rsidR="00292C37" w:rsidRPr="000F6B89">
        <w:rPr>
          <w:rFonts w:ascii="Times New Roman" w:hAnsi="Times New Roman" w:cs="Times New Roman"/>
          <w:sz w:val="28"/>
          <w:szCs w:val="28"/>
          <w:lang w:val="uk-UA"/>
        </w:rPr>
        <w:t xml:space="preserve"> </w:t>
      </w:r>
      <w:r w:rsidR="00292C37">
        <w:rPr>
          <w:rFonts w:ascii="Times New Roman" w:hAnsi="Times New Roman" w:cs="Times New Roman"/>
          <w:sz w:val="28"/>
          <w:szCs w:val="28"/>
          <w:lang w:val="uk-UA"/>
        </w:rPr>
        <w:t>та РМА</w:t>
      </w:r>
      <w:r>
        <w:rPr>
          <w:rFonts w:ascii="Times New Roman" w:hAnsi="Times New Roman" w:cs="Times New Roman"/>
          <w:sz w:val="28"/>
          <w:szCs w:val="28"/>
          <w:lang w:val="uk-UA"/>
        </w:rPr>
        <w:t>)</w:t>
      </w:r>
      <w:r w:rsidR="00292C37">
        <w:rPr>
          <w:rFonts w:ascii="Times New Roman" w:hAnsi="Times New Roman" w:cs="Times New Roman"/>
          <w:sz w:val="28"/>
          <w:szCs w:val="28"/>
          <w:lang w:val="uk-UA"/>
        </w:rPr>
        <w:t xml:space="preserve"> достовірно вищий, ніж у дітей без соматичної патології, так само як і гігієнічний стан ротової порожнини згідно з індексом </w:t>
      </w:r>
      <w:r w:rsidR="00292C37">
        <w:rPr>
          <w:rFonts w:ascii="Times New Roman" w:hAnsi="Times New Roman" w:cs="Times New Roman"/>
          <w:sz w:val="28"/>
          <w:szCs w:val="28"/>
        </w:rPr>
        <w:t>OHI</w:t>
      </w:r>
      <w:r w:rsidR="00292C37" w:rsidRPr="000F6B89">
        <w:rPr>
          <w:rFonts w:ascii="Times New Roman" w:hAnsi="Times New Roman" w:cs="Times New Roman"/>
          <w:sz w:val="28"/>
          <w:szCs w:val="28"/>
          <w:lang w:val="uk-UA"/>
        </w:rPr>
        <w:t>-</w:t>
      </w:r>
      <w:r w:rsidR="00292C37">
        <w:rPr>
          <w:rFonts w:ascii="Times New Roman" w:hAnsi="Times New Roman" w:cs="Times New Roman"/>
          <w:sz w:val="28"/>
          <w:szCs w:val="28"/>
        </w:rPr>
        <w:t>S</w:t>
      </w:r>
      <w:r w:rsidR="00292C37">
        <w:rPr>
          <w:rFonts w:ascii="Times New Roman" w:hAnsi="Times New Roman" w:cs="Times New Roman"/>
          <w:sz w:val="28"/>
          <w:szCs w:val="28"/>
          <w:lang w:val="uk-UA"/>
        </w:rPr>
        <w:t xml:space="preserve">. Також спостерігали зміни у властивостях ротової рідини, які полягали у підвищенні кислотності та збільшенні рівню муцину. </w:t>
      </w:r>
      <w:r>
        <w:rPr>
          <w:rFonts w:ascii="Times New Roman" w:hAnsi="Times New Roman" w:cs="Times New Roman"/>
          <w:sz w:val="28"/>
          <w:szCs w:val="28"/>
          <w:lang w:val="uk-UA"/>
        </w:rPr>
        <w:t>Надзвичйно важливим клінічним спостережнням, з нашої точки зору було те,</w:t>
      </w:r>
      <w:r w:rsidR="00292C37">
        <w:rPr>
          <w:rFonts w:ascii="Times New Roman" w:hAnsi="Times New Roman" w:cs="Times New Roman"/>
          <w:sz w:val="28"/>
          <w:szCs w:val="28"/>
          <w:lang w:val="uk-UA"/>
        </w:rPr>
        <w:t xml:space="preserve"> що у групі пацієнтів з атопічними захворюваннями при мінімальних значеннях показників, що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w:t>
      </w:r>
      <w:r>
        <w:rPr>
          <w:rFonts w:ascii="Times New Roman" w:hAnsi="Times New Roman" w:cs="Times New Roman"/>
          <w:sz w:val="28"/>
          <w:szCs w:val="28"/>
          <w:lang w:val="uk-UA"/>
        </w:rPr>
        <w:t>Нами були комплексно проаналізовані показники стану імунної системи та встановлено</w:t>
      </w:r>
      <w:r w:rsidR="00292C37">
        <w:rPr>
          <w:rFonts w:ascii="Times New Roman" w:hAnsi="Times New Roman" w:cs="Times New Roman"/>
          <w:sz w:val="28"/>
          <w:szCs w:val="28"/>
          <w:lang w:val="uk-UA"/>
        </w:rPr>
        <w:t xml:space="preserve">, що незалежно від рівня запалення, спостерігається зниження рівня імуноглобулінів класу А, </w:t>
      </w:r>
      <w:r w:rsidR="00292C37">
        <w:rPr>
          <w:rFonts w:ascii="Times New Roman" w:hAnsi="Times New Roman" w:cs="Times New Roman"/>
          <w:sz w:val="28"/>
          <w:szCs w:val="28"/>
        </w:rPr>
        <w:t>G</w:t>
      </w:r>
      <w:r w:rsidR="00292C37" w:rsidRPr="002F00A8">
        <w:rPr>
          <w:rFonts w:ascii="Times New Roman" w:hAnsi="Times New Roman" w:cs="Times New Roman"/>
          <w:sz w:val="28"/>
          <w:szCs w:val="28"/>
          <w:lang w:val="uk-UA"/>
        </w:rPr>
        <w:t>,</w:t>
      </w:r>
      <w:r w:rsidR="00292C37">
        <w:rPr>
          <w:rFonts w:ascii="Times New Roman" w:hAnsi="Times New Roman" w:cs="Times New Roman"/>
          <w:sz w:val="28"/>
          <w:szCs w:val="28"/>
          <w:lang w:val="uk-UA"/>
        </w:rPr>
        <w:t xml:space="preserve"> М та </w:t>
      </w:r>
      <w:r w:rsidR="00292C37">
        <w:rPr>
          <w:rFonts w:ascii="Times New Roman" w:hAnsi="Times New Roman"/>
          <w:sz w:val="28"/>
          <w:szCs w:val="28"/>
          <w:lang w:val="uk-UA"/>
        </w:rPr>
        <w:t>зниження</w:t>
      </w:r>
      <w:r w:rsidR="00292C37" w:rsidRPr="00753B12">
        <w:rPr>
          <w:rFonts w:ascii="Times New Roman" w:hAnsi="Times New Roman"/>
          <w:sz w:val="28"/>
          <w:szCs w:val="28"/>
          <w:lang w:val="uk-UA"/>
        </w:rPr>
        <w:t xml:space="preserve"> активності СОД</w:t>
      </w:r>
      <w:r w:rsidR="00292C37">
        <w:rPr>
          <w:rFonts w:ascii="Times New Roman" w:hAnsi="Times New Roman"/>
          <w:sz w:val="28"/>
          <w:szCs w:val="28"/>
          <w:lang w:val="uk-UA"/>
        </w:rPr>
        <w:t xml:space="preserve">, </w:t>
      </w:r>
      <w:r w:rsidR="00292C37" w:rsidRPr="002804DE">
        <w:rPr>
          <w:rFonts w:ascii="Times New Roman" w:hAnsi="Times New Roman"/>
          <w:sz w:val="28"/>
          <w:szCs w:val="28"/>
          <w:lang w:val="uk-UA"/>
        </w:rPr>
        <w:t>зростання концентрації МДА</w:t>
      </w:r>
      <w:r w:rsidR="00292C37">
        <w:rPr>
          <w:rFonts w:ascii="Times New Roman" w:hAnsi="Times New Roman"/>
          <w:sz w:val="28"/>
          <w:szCs w:val="28"/>
          <w:lang w:val="uk-UA"/>
        </w:rPr>
        <w:t xml:space="preserve">, знижується вміст каталази та глутатіону. </w:t>
      </w:r>
    </w:p>
    <w:p w14:paraId="7A4ADA55" w14:textId="0C93E8F3" w:rsidR="00292C37" w:rsidRPr="00292C37" w:rsidRDefault="00BE0990" w:rsidP="00292C3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За результатами наших досліджень, очевидним є те, що п</w:t>
      </w:r>
      <w:r w:rsidR="00292C37">
        <w:rPr>
          <w:rFonts w:ascii="Times New Roman" w:hAnsi="Times New Roman"/>
          <w:sz w:val="28"/>
          <w:szCs w:val="28"/>
          <w:lang w:val="uk-UA"/>
        </w:rPr>
        <w:t xml:space="preserve">ровідними чинниками гінгівіту у дітей з атопічними захворюваннями є наявність імунометаболічного дисбалансу. </w:t>
      </w:r>
      <w:r w:rsidR="0087146D" w:rsidRPr="0087146D">
        <w:rPr>
          <w:rFonts w:ascii="Times New Roman" w:hAnsi="Times New Roman" w:cs="Times New Roman"/>
          <w:sz w:val="28"/>
          <w:szCs w:val="28"/>
          <w:lang w:val="uk-UA"/>
        </w:rPr>
        <w:t xml:space="preserve">В результаті проведеного аналізу значимості факторів ризику формування та прогресування </w:t>
      </w:r>
      <w:r w:rsidR="00292C37">
        <w:rPr>
          <w:rFonts w:ascii="Times New Roman" w:hAnsi="Times New Roman" w:cs="Times New Roman"/>
          <w:sz w:val="28"/>
          <w:szCs w:val="28"/>
          <w:lang w:val="uk-UA"/>
        </w:rPr>
        <w:t>хронічного гінгівіту</w:t>
      </w:r>
      <w:r w:rsidR="0087146D" w:rsidRPr="0087146D">
        <w:rPr>
          <w:rFonts w:ascii="Times New Roman" w:hAnsi="Times New Roman" w:cs="Times New Roman"/>
          <w:sz w:val="28"/>
          <w:szCs w:val="28"/>
          <w:lang w:val="uk-UA"/>
        </w:rPr>
        <w:t xml:space="preserve"> у дітей були виявлені найбільш значимі </w:t>
      </w:r>
      <w:r w:rsidR="00292C37">
        <w:rPr>
          <w:rFonts w:ascii="Times New Roman" w:hAnsi="Times New Roman" w:cs="Times New Roman"/>
          <w:sz w:val="28"/>
          <w:szCs w:val="28"/>
          <w:lang w:val="uk-UA"/>
        </w:rPr>
        <w:t>керовані чинники.</w:t>
      </w:r>
      <w:r w:rsidR="0087146D" w:rsidRPr="008714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досягнення даної мети був використаний регересійний аналіз отриманих даних, який дозволив визначити ступінь залежності клінічних та імунометаболічних показників. </w:t>
      </w:r>
      <w:r w:rsidR="009A7869">
        <w:rPr>
          <w:rFonts w:ascii="Times New Roman" w:hAnsi="Times New Roman" w:cs="Times New Roman"/>
          <w:sz w:val="28"/>
          <w:szCs w:val="28"/>
          <w:lang w:val="uk-UA"/>
        </w:rPr>
        <w:t>Під час дослідження ми встановили</w:t>
      </w:r>
      <w:r w:rsidR="00292C37" w:rsidRPr="00292C37">
        <w:rPr>
          <w:rFonts w:ascii="Times New Roman" w:hAnsi="Times New Roman" w:cs="Times New Roman"/>
          <w:sz w:val="28"/>
          <w:szCs w:val="28"/>
          <w:lang w:val="uk-UA"/>
        </w:rPr>
        <w:t xml:space="preserve"> найбільш інформативні неінвазивні скринінгові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w:t>
      </w:r>
      <w:r w:rsidR="009A7869">
        <w:rPr>
          <w:rFonts w:ascii="Times New Roman" w:hAnsi="Times New Roman" w:cs="Times New Roman"/>
          <w:sz w:val="28"/>
          <w:szCs w:val="28"/>
          <w:lang w:val="uk-UA"/>
        </w:rPr>
        <w:t>Нами була побудована прогностична</w:t>
      </w:r>
      <w:r w:rsidR="00292C37" w:rsidRPr="00292C37">
        <w:rPr>
          <w:rFonts w:ascii="Times New Roman" w:hAnsi="Times New Roman" w:cs="Times New Roman"/>
          <w:sz w:val="28"/>
          <w:szCs w:val="28"/>
          <w:lang w:val="uk-UA"/>
        </w:rPr>
        <w:t xml:space="preserve"> модель запальних захворювань пародонту на основі виділених у процесі дослідження найбільш інформативних біомаркерів за</w:t>
      </w:r>
      <w:r w:rsidR="009A7869">
        <w:rPr>
          <w:rFonts w:ascii="Times New Roman" w:hAnsi="Times New Roman" w:cs="Times New Roman"/>
          <w:sz w:val="28"/>
          <w:szCs w:val="28"/>
          <w:lang w:val="uk-UA"/>
        </w:rPr>
        <w:t>палення; побудоване</w:t>
      </w:r>
      <w:r w:rsidR="00292C37" w:rsidRPr="00292C37">
        <w:rPr>
          <w:rFonts w:ascii="Times New Roman" w:hAnsi="Times New Roman" w:cs="Times New Roman"/>
          <w:sz w:val="28"/>
          <w:szCs w:val="28"/>
          <w:lang w:val="uk-UA"/>
        </w:rPr>
        <w:t xml:space="preserve"> рівняння лінійної регресії, за допомогою якого можливе цифрове визначення </w:t>
      </w:r>
      <w:r w:rsidR="009141C4">
        <w:rPr>
          <w:rFonts w:ascii="Times New Roman" w:hAnsi="Times New Roman" w:cs="Times New Roman"/>
          <w:sz w:val="28"/>
          <w:szCs w:val="28"/>
          <w:lang w:val="uk-UA"/>
        </w:rPr>
        <w:t>прогностичних</w:t>
      </w:r>
      <w:r w:rsidR="00292C37" w:rsidRPr="00292C37">
        <w:rPr>
          <w:rFonts w:ascii="Times New Roman" w:hAnsi="Times New Roman" w:cs="Times New Roman"/>
          <w:sz w:val="28"/>
          <w:szCs w:val="28"/>
          <w:lang w:val="uk-UA"/>
        </w:rPr>
        <w:t xml:space="preserve">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РМА від рівню імуноглобуліну А, які дорівнюють мінус 1,63 та 10,85; за рівнем індексу кровоточивості залежність від рівню секреторного імуноглобуліну А - мінус 88,7 та 50,6; від рівню імуноглобуліну G - мінус 0,32 та 0,98. </w:t>
      </w:r>
    </w:p>
    <w:p w14:paraId="6C3DE187" w14:textId="508D7D97" w:rsidR="0087146D" w:rsidRPr="00292C37" w:rsidRDefault="009A7869" w:rsidP="00292C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нами було в</w:t>
      </w:r>
      <w:r w:rsidR="00292C37" w:rsidRPr="00292C37">
        <w:rPr>
          <w:rFonts w:ascii="Times New Roman" w:hAnsi="Times New Roman" w:cs="Times New Roman"/>
          <w:sz w:val="28"/>
          <w:szCs w:val="28"/>
          <w:lang w:val="uk-UA"/>
        </w:rPr>
        <w:t xml:space="preserve">изначено, що найбільш інформативним біомаркером, який характеризує антиоксидантний статус та дає змогу прогнозувати ступінь запалення тканин пародонту є рівень глутатіону у ротовій рідині, коефіцієнт детермінації складає 91%. </w:t>
      </w:r>
      <w:r>
        <w:rPr>
          <w:rFonts w:ascii="Times New Roman" w:hAnsi="Times New Roman" w:cs="Times New Roman"/>
          <w:sz w:val="28"/>
          <w:szCs w:val="28"/>
          <w:lang w:val="uk-UA"/>
        </w:rPr>
        <w:t>Попередніми дослідженнями встановлена участь глутатіону у антиоксидантних процесах за паявності пародонтологічної патології, проте атопічні захворювання створюють певні патогенетичні особливості. Нами в</w:t>
      </w:r>
      <w:r w:rsidR="00292C37" w:rsidRPr="00292C37">
        <w:rPr>
          <w:rFonts w:ascii="Times New Roman" w:hAnsi="Times New Roman" w:cs="Times New Roman"/>
          <w:sz w:val="28"/>
          <w:szCs w:val="28"/>
          <w:lang w:val="uk-UA"/>
        </w:rPr>
        <w:t>становлено, що коефіцієнт детермінації залежності рівню запалення тканин пародонту (за індексом SBI) від рівня секреторного імуноглобуліну А дорівнює 86 %, від рівня імуноглобуліну G – 82 %. Встановлено, що коефіцієнт детермінації залежності рівню запалення тканин пародонту (за індексом РМА) від рівня імуноглобуліну А дорівнює 76 %. Дані біомаркери можуть бути використані для прогнозу запальних захворювань пародонту у пародонтологічно здорових дітей.</w:t>
      </w:r>
      <w:r>
        <w:rPr>
          <w:rFonts w:ascii="Times New Roman" w:hAnsi="Times New Roman" w:cs="Times New Roman"/>
          <w:sz w:val="28"/>
          <w:szCs w:val="28"/>
          <w:lang w:val="uk-UA"/>
        </w:rPr>
        <w:t xml:space="preserve"> Дані показники дозволяють оцінити значення кожного показника імунометаболічного статусу та рекомендувати їх у якості пргностичних біомаркерів гінгівіту у дітей на тлі атопічних захворювань.</w:t>
      </w:r>
    </w:p>
    <w:p w14:paraId="28B1A533" w14:textId="421B67F3" w:rsidR="00292C37" w:rsidRDefault="00292C37"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не тільки провели детальне клінічне, імунологічне та біохімічне дослідження ротової рідини дітей, хворих на атопічні захворювання, але й за допомогою клініко-статистичної обробки даних побудували цифрову модель залежності одних показників від іншіх.</w:t>
      </w:r>
    </w:p>
    <w:p w14:paraId="306FA7A0" w14:textId="5716C313" w:rsidR="00292C37" w:rsidRDefault="00292C37"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закономірностей </w:t>
      </w:r>
      <w:r w:rsidR="00A5133C">
        <w:rPr>
          <w:rFonts w:ascii="Times New Roman" w:hAnsi="Times New Roman" w:cs="Times New Roman"/>
          <w:sz w:val="28"/>
          <w:szCs w:val="28"/>
          <w:lang w:val="uk-UA"/>
        </w:rPr>
        <w:t xml:space="preserve">розвитку патологічного процесу та своєчасного надання допомого хворим на хронічний гінгівіт, ми проводили огляди через один, три, шість та дванадцять місяців зі збиранням даних імунометаболічного статусу пацієнтів. Це дало нам змогу визначити найбільш цінні прогностичні та діагностичні критерії, на базі яких можливо створити ефективну модель профілактики та лікування гінгівіту у дітей з атопічними захворюваннями. </w:t>
      </w:r>
    </w:p>
    <w:p w14:paraId="57A2C35B" w14:textId="2924FD8E"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попередньо отриманих даних експериментального дослідження, аналізу літературних даних, клінічних спостережень, нами було встановлено, що патологічні зміни, які відбуваються у тканинах пародонту дітей, хворих на атопічні захворювання, навіть на доклінічній стадії розвитку гінгівіту, залежать від імунного та оксидантного статусу. Саме тому нами була запропонована </w:t>
      </w:r>
      <w:r w:rsidR="00E269E5">
        <w:rPr>
          <w:rFonts w:ascii="Times New Roman" w:hAnsi="Times New Roman" w:cs="Times New Roman"/>
          <w:sz w:val="28"/>
          <w:szCs w:val="28"/>
          <w:lang w:val="uk-UA"/>
        </w:rPr>
        <w:t>концептуально нова</w:t>
      </w:r>
      <w:r>
        <w:rPr>
          <w:rFonts w:ascii="Times New Roman" w:hAnsi="Times New Roman" w:cs="Times New Roman"/>
          <w:sz w:val="28"/>
          <w:szCs w:val="28"/>
          <w:lang w:val="uk-UA"/>
        </w:rPr>
        <w:t xml:space="preserve"> програма профілактики та лікування хронічного гінгівіту, яка включала прийом імуномодулюючих препаратів та вітамінно-антиоксидантних комплексів. </w:t>
      </w:r>
    </w:p>
    <w:p w14:paraId="1F46A3D2" w14:textId="705AA8EC"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таким лікувально-профілактичним заходам, ми спостерігали покращення клінічних та імуно-оксидантних показників, що підтверджується отриманими даними.</w:t>
      </w:r>
    </w:p>
    <w:p w14:paraId="5B9EA632" w14:textId="21750041" w:rsidR="00A5133C"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найбільш цінним здобутком, з нашої точки зору, є можливість запропонувати неінвазивні біомаркери-предиктори запалення тканин пародонту, які дозволять впровадити у систему практичної охорони здоров’я легкий та доступний спосіб діагностики та профілактики захворювань пародонту. Саме цим ми забезпечуємо вирішення проблеми діагностики, прогнозу та профілактики гінгівіту у дітей з атопічними захворюваннями, а запропонована на базі отриманих даних програма лікування дозволить підвищити ефективність лікування вже наявного хронічного гінгівіту.</w:t>
      </w:r>
    </w:p>
    <w:p w14:paraId="20978911" w14:textId="1B741C4B" w:rsidR="00A5133C" w:rsidRPr="00B411CE" w:rsidRDefault="00A5133C" w:rsidP="001624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наведена патогенетично та клініко-статистично обгрунтована програма профілактики та лікування хронічного гінгівіту у </w:t>
      </w:r>
      <w:r w:rsidR="00DF665D">
        <w:rPr>
          <w:rFonts w:ascii="Times New Roman" w:hAnsi="Times New Roman" w:cs="Times New Roman"/>
          <w:sz w:val="28"/>
          <w:szCs w:val="28"/>
          <w:lang w:val="uk-UA"/>
        </w:rPr>
        <w:t>дітей з атопічними захворюваннями, яка, безумовно можлива після проведення професійної гігієни та санації порожнини рота</w:t>
      </w:r>
      <w:r w:rsidR="00245372" w:rsidRPr="00245372">
        <w:rPr>
          <w:rFonts w:ascii="Times New Roman" w:hAnsi="Times New Roman" w:cs="Times New Roman"/>
          <w:sz w:val="28"/>
          <w:szCs w:val="28"/>
          <w:lang w:val="uk-UA"/>
        </w:rPr>
        <w:t xml:space="preserve"> [</w:t>
      </w:r>
      <w:r w:rsidR="004669B2" w:rsidRPr="004669B2">
        <w:rPr>
          <w:rFonts w:ascii="Times New Roman" w:hAnsi="Times New Roman" w:cs="Times New Roman"/>
          <w:sz w:val="28"/>
          <w:szCs w:val="28"/>
          <w:lang w:val="uk-UA"/>
        </w:rPr>
        <w:t>314, 315</w:t>
      </w:r>
      <w:r w:rsidR="00245372" w:rsidRPr="00245372">
        <w:rPr>
          <w:rFonts w:ascii="Times New Roman" w:hAnsi="Times New Roman" w:cs="Times New Roman"/>
          <w:sz w:val="28"/>
          <w:szCs w:val="28"/>
          <w:lang w:val="uk-UA"/>
        </w:rPr>
        <w:t>]</w:t>
      </w:r>
      <w:r w:rsidR="00DF665D">
        <w:rPr>
          <w:rFonts w:ascii="Times New Roman" w:hAnsi="Times New Roman" w:cs="Times New Roman"/>
          <w:sz w:val="28"/>
          <w:szCs w:val="28"/>
          <w:lang w:val="uk-UA"/>
        </w:rPr>
        <w:t>.</w:t>
      </w:r>
    </w:p>
    <w:p w14:paraId="37E7DF2A"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556926BF"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3E005B15"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EB30B79"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5CBE871"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1AA0F578"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BF5BBD6"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0D33BFE9"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155605D8"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202AEBCA" w14:textId="77777777" w:rsidR="00C8480F" w:rsidRPr="00B411CE" w:rsidRDefault="00C8480F" w:rsidP="001624CF">
      <w:pPr>
        <w:spacing w:after="0" w:line="360" w:lineRule="auto"/>
        <w:ind w:firstLine="709"/>
        <w:jc w:val="both"/>
        <w:rPr>
          <w:rFonts w:ascii="Times New Roman" w:hAnsi="Times New Roman" w:cs="Times New Roman"/>
          <w:sz w:val="28"/>
          <w:szCs w:val="28"/>
          <w:lang w:val="uk-UA"/>
        </w:rPr>
      </w:pPr>
    </w:p>
    <w:p w14:paraId="091E4FC1" w14:textId="77777777" w:rsidR="00DC500B" w:rsidRPr="00B411CE" w:rsidRDefault="00DC500B" w:rsidP="00112933">
      <w:pPr>
        <w:spacing w:after="0" w:line="360" w:lineRule="auto"/>
        <w:jc w:val="both"/>
        <w:rPr>
          <w:rFonts w:ascii="Times New Roman" w:hAnsi="Times New Roman" w:cs="Times New Roman"/>
          <w:sz w:val="28"/>
          <w:szCs w:val="28"/>
          <w:lang w:val="uk-UA"/>
        </w:rPr>
      </w:pPr>
    </w:p>
    <w:p w14:paraId="43874F69" w14:textId="77777777" w:rsidR="00112933" w:rsidRDefault="00112933" w:rsidP="00DF665D">
      <w:pPr>
        <w:spacing w:after="0" w:line="360" w:lineRule="auto"/>
        <w:ind w:firstLine="709"/>
        <w:jc w:val="right"/>
        <w:rPr>
          <w:rFonts w:ascii="Times New Roman" w:hAnsi="Times New Roman" w:cs="Times New Roman"/>
          <w:sz w:val="28"/>
          <w:szCs w:val="28"/>
          <w:lang w:val="uk-UA"/>
        </w:rPr>
      </w:pPr>
    </w:p>
    <w:p w14:paraId="21A71BBD" w14:textId="629FA58C" w:rsidR="0087146D" w:rsidRDefault="00DF665D" w:rsidP="00DF665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9.1</w:t>
      </w:r>
    </w:p>
    <w:p w14:paraId="2EFFAE90" w14:textId="21D8941E" w:rsidR="006A4C62" w:rsidRDefault="00DC500B" w:rsidP="00112933">
      <w:pPr>
        <w:spacing w:after="0" w:line="336"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Концептуально нова</w:t>
      </w:r>
      <w:r w:rsidR="00DF665D">
        <w:rPr>
          <w:rFonts w:ascii="Times New Roman" w:hAnsi="Times New Roman" w:cs="Times New Roman"/>
          <w:sz w:val="28"/>
          <w:szCs w:val="28"/>
          <w:lang w:val="uk-UA"/>
        </w:rPr>
        <w:t xml:space="preserve"> програма профілактики та лікування хронічного гінгівіту у дітей з атопічними захворюваннями</w:t>
      </w:r>
    </w:p>
    <w:tbl>
      <w:tblPr>
        <w:tblStyle w:val="TableGrid"/>
        <w:tblW w:w="0" w:type="auto"/>
        <w:tblLook w:val="04A0" w:firstRow="1" w:lastRow="0" w:firstColumn="1" w:lastColumn="0" w:noHBand="0" w:noVBand="1"/>
      </w:tblPr>
      <w:tblGrid>
        <w:gridCol w:w="4390"/>
        <w:gridCol w:w="3004"/>
        <w:gridCol w:w="2285"/>
      </w:tblGrid>
      <w:tr w:rsidR="00DF665D" w:rsidRPr="006A4C62" w14:paraId="3E1C869D" w14:textId="77777777" w:rsidTr="0049043E">
        <w:tc>
          <w:tcPr>
            <w:tcW w:w="9679" w:type="dxa"/>
            <w:gridSpan w:val="3"/>
          </w:tcPr>
          <w:p w14:paraId="16B1CD45" w14:textId="65BF5779"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Профілактичний візит до лікаря-стоматолога один раз на шість місяців</w:t>
            </w:r>
            <w:r w:rsidR="00E97B7A" w:rsidRPr="00981605">
              <w:rPr>
                <w:rFonts w:cs="Times New Roman"/>
                <w:sz w:val="28"/>
                <w:szCs w:val="28"/>
                <w:lang w:val="uk-UA"/>
              </w:rPr>
              <w:t>. Неінвазивний скринінг біомаркерів запалення тканин пародонту</w:t>
            </w:r>
          </w:p>
        </w:tc>
      </w:tr>
      <w:tr w:rsidR="00DF665D" w:rsidRPr="00981605" w14:paraId="4A4A3DA1" w14:textId="77777777" w:rsidTr="00981605">
        <w:tc>
          <w:tcPr>
            <w:tcW w:w="4390" w:type="dxa"/>
          </w:tcPr>
          <w:p w14:paraId="676517DD" w14:textId="6D6CBD17"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При виявленні хронічного гінгівіту</w:t>
            </w:r>
          </w:p>
        </w:tc>
        <w:tc>
          <w:tcPr>
            <w:tcW w:w="5289" w:type="dxa"/>
            <w:gridSpan w:val="2"/>
          </w:tcPr>
          <w:p w14:paraId="2C516987" w14:textId="7F9F18EF"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За відсутності ознак гінгівіту</w:t>
            </w:r>
          </w:p>
        </w:tc>
      </w:tr>
      <w:tr w:rsidR="00DF665D" w:rsidRPr="00852E54" w14:paraId="39069727" w14:textId="77777777" w:rsidTr="00981605">
        <w:trPr>
          <w:trHeight w:val="1275"/>
        </w:trPr>
        <w:tc>
          <w:tcPr>
            <w:tcW w:w="4390" w:type="dxa"/>
            <w:vMerge w:val="restart"/>
          </w:tcPr>
          <w:p w14:paraId="30495232" w14:textId="2EE17A71"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Професійна гігієна порожнини рота.  Неінвазивне визначення біомаркерів запалення тканин пародонту. Призначення імуномодулюючого препарату та / або вітамінно-антиоксидантного комплексу в залежності від визначеного дефіциту імунної або антиоксидантної ланки</w:t>
            </w:r>
            <w:r w:rsidR="00DB5994" w:rsidRPr="00981605">
              <w:rPr>
                <w:rFonts w:cs="Times New Roman"/>
                <w:sz w:val="28"/>
                <w:szCs w:val="28"/>
                <w:lang w:val="uk-UA"/>
              </w:rPr>
              <w:t>.</w:t>
            </w:r>
          </w:p>
          <w:p w14:paraId="1D2B1E4F" w14:textId="4A1CB833" w:rsidR="00DB5994" w:rsidRPr="00981605" w:rsidRDefault="00E97B7A" w:rsidP="00112933">
            <w:pPr>
              <w:spacing w:line="336" w:lineRule="auto"/>
              <w:jc w:val="both"/>
              <w:rPr>
                <w:rFonts w:cs="Times New Roman"/>
                <w:sz w:val="28"/>
                <w:szCs w:val="28"/>
                <w:lang w:val="uk-UA"/>
              </w:rPr>
            </w:pPr>
            <w:r w:rsidRPr="00981605">
              <w:rPr>
                <w:rFonts w:cs="Times New Roman"/>
                <w:sz w:val="28"/>
                <w:szCs w:val="28"/>
                <w:lang w:val="uk-UA"/>
              </w:rPr>
              <w:t xml:space="preserve">Призначення </w:t>
            </w:r>
            <w:r w:rsidR="00981605" w:rsidRPr="00981605">
              <w:rPr>
                <w:rFonts w:cs="Times New Roman"/>
                <w:sz w:val="28"/>
                <w:szCs w:val="28"/>
                <w:lang w:val="uk-UA"/>
              </w:rPr>
              <w:t>концептуально нової</w:t>
            </w:r>
            <w:r w:rsidRPr="00981605">
              <w:rPr>
                <w:rFonts w:cs="Times New Roman"/>
                <w:sz w:val="28"/>
                <w:szCs w:val="28"/>
                <w:lang w:val="uk-UA"/>
              </w:rPr>
              <w:t xml:space="preserve"> програми індивідуальної гігієни порожнини рота</w:t>
            </w:r>
            <w:r w:rsidR="00981605" w:rsidRPr="00981605">
              <w:rPr>
                <w:rFonts w:cs="Times New Roman"/>
                <w:sz w:val="28"/>
                <w:szCs w:val="28"/>
                <w:lang w:val="uk-UA"/>
              </w:rPr>
              <w:t>, яка базується на виявлених імунометаболічних змінах</w:t>
            </w:r>
          </w:p>
        </w:tc>
        <w:tc>
          <w:tcPr>
            <w:tcW w:w="5289" w:type="dxa"/>
            <w:gridSpan w:val="2"/>
          </w:tcPr>
          <w:p w14:paraId="1A3687DB" w14:textId="788BAA20" w:rsidR="00DF665D" w:rsidRPr="00981605" w:rsidRDefault="00DF665D" w:rsidP="00112933">
            <w:pPr>
              <w:spacing w:line="336" w:lineRule="auto"/>
              <w:jc w:val="both"/>
              <w:rPr>
                <w:rFonts w:cs="Times New Roman"/>
                <w:sz w:val="28"/>
                <w:szCs w:val="28"/>
                <w:lang w:val="uk-UA"/>
              </w:rPr>
            </w:pPr>
            <w:r w:rsidRPr="00981605">
              <w:rPr>
                <w:rFonts w:cs="Times New Roman"/>
                <w:sz w:val="28"/>
                <w:szCs w:val="28"/>
                <w:lang w:val="uk-UA"/>
              </w:rPr>
              <w:t>Неінвазивне визначення біомаркерів</w:t>
            </w:r>
            <w:r w:rsidR="00E97B7A" w:rsidRPr="00981605">
              <w:rPr>
                <w:rFonts w:cs="Times New Roman"/>
                <w:sz w:val="28"/>
                <w:szCs w:val="28"/>
                <w:lang w:val="uk-UA"/>
              </w:rPr>
              <w:t xml:space="preserve"> ініціації</w:t>
            </w:r>
            <w:r w:rsidRPr="00981605">
              <w:rPr>
                <w:rFonts w:cs="Times New Roman"/>
                <w:sz w:val="28"/>
                <w:szCs w:val="28"/>
                <w:lang w:val="uk-UA"/>
              </w:rPr>
              <w:t xml:space="preserve"> запалення тканин пародонту</w:t>
            </w:r>
          </w:p>
        </w:tc>
      </w:tr>
      <w:tr w:rsidR="00DF665D" w:rsidRPr="00852E54" w14:paraId="072444B9" w14:textId="73622067" w:rsidTr="00981605">
        <w:trPr>
          <w:trHeight w:val="2580"/>
        </w:trPr>
        <w:tc>
          <w:tcPr>
            <w:tcW w:w="4390" w:type="dxa"/>
            <w:vMerge/>
          </w:tcPr>
          <w:p w14:paraId="0AD1E354" w14:textId="77777777" w:rsidR="00DF665D" w:rsidRPr="00981605" w:rsidRDefault="00DF665D" w:rsidP="00112933">
            <w:pPr>
              <w:spacing w:line="336" w:lineRule="auto"/>
              <w:jc w:val="both"/>
              <w:rPr>
                <w:rFonts w:cs="Times New Roman"/>
                <w:sz w:val="28"/>
                <w:szCs w:val="28"/>
                <w:lang w:val="uk-UA"/>
              </w:rPr>
            </w:pPr>
          </w:p>
        </w:tc>
        <w:tc>
          <w:tcPr>
            <w:tcW w:w="3004" w:type="dxa"/>
          </w:tcPr>
          <w:p w14:paraId="1B2319C5" w14:textId="77777777" w:rsidR="00DF665D"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Призначення імуномодулюючого препарату та / або вітамінно-антиоксидантного комплексу при виявленні дефіциту імунної або антиоксидантної ланки.</w:t>
            </w:r>
          </w:p>
          <w:p w14:paraId="310AD1ED" w14:textId="22069081" w:rsidR="00DB5994" w:rsidRPr="00981605" w:rsidRDefault="00E97B7A" w:rsidP="00112933">
            <w:pPr>
              <w:spacing w:line="336" w:lineRule="auto"/>
              <w:jc w:val="both"/>
              <w:rPr>
                <w:rFonts w:cs="Times New Roman"/>
                <w:sz w:val="28"/>
                <w:szCs w:val="28"/>
                <w:lang w:val="uk-UA"/>
              </w:rPr>
            </w:pPr>
            <w:r w:rsidRPr="00981605">
              <w:rPr>
                <w:rFonts w:cs="Times New Roman"/>
                <w:sz w:val="28"/>
                <w:szCs w:val="28"/>
                <w:lang w:val="uk-UA"/>
              </w:rPr>
              <w:t>Призначення програми індивідуальної гігієни порожнини рота</w:t>
            </w:r>
            <w:r w:rsidR="00DC500B" w:rsidRPr="00981605">
              <w:rPr>
                <w:rFonts w:cs="Times New Roman"/>
                <w:sz w:val="28"/>
                <w:szCs w:val="28"/>
                <w:lang w:val="uk-UA"/>
              </w:rPr>
              <w:t>, яка базується на виявлених імунометаболічних змінах</w:t>
            </w:r>
          </w:p>
        </w:tc>
        <w:tc>
          <w:tcPr>
            <w:tcW w:w="2285" w:type="dxa"/>
          </w:tcPr>
          <w:p w14:paraId="1681FBC4" w14:textId="2EAD2455" w:rsidR="00DF665D"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 xml:space="preserve">У разі відсутності біомаркерів запалення – </w:t>
            </w:r>
            <w:r w:rsidR="00DC500B" w:rsidRPr="00981605">
              <w:rPr>
                <w:rFonts w:cs="Times New Roman"/>
                <w:sz w:val="28"/>
                <w:szCs w:val="28"/>
                <w:lang w:val="uk-UA"/>
              </w:rPr>
              <w:t>п</w:t>
            </w:r>
            <w:r w:rsidR="00E97B7A" w:rsidRPr="00981605">
              <w:rPr>
                <w:rFonts w:cs="Times New Roman"/>
                <w:sz w:val="28"/>
                <w:szCs w:val="28"/>
                <w:lang w:val="uk-UA"/>
              </w:rPr>
              <w:t>ризначення програми індивідуальної гігієни порожнини рота</w:t>
            </w:r>
          </w:p>
        </w:tc>
      </w:tr>
      <w:tr w:rsidR="00DB5994" w:rsidRPr="00852E54" w14:paraId="7091D709" w14:textId="77777777" w:rsidTr="0049043E">
        <w:tc>
          <w:tcPr>
            <w:tcW w:w="9679" w:type="dxa"/>
            <w:gridSpan w:val="3"/>
          </w:tcPr>
          <w:p w14:paraId="042A948F" w14:textId="19DDC35B" w:rsidR="00DB5994" w:rsidRPr="00981605" w:rsidRDefault="00DB5994" w:rsidP="00112933">
            <w:pPr>
              <w:spacing w:line="336" w:lineRule="auto"/>
              <w:jc w:val="both"/>
              <w:rPr>
                <w:rFonts w:cs="Times New Roman"/>
                <w:sz w:val="28"/>
                <w:szCs w:val="28"/>
                <w:lang w:val="uk-UA"/>
              </w:rPr>
            </w:pPr>
            <w:r w:rsidRPr="00981605">
              <w:rPr>
                <w:rFonts w:cs="Times New Roman"/>
                <w:sz w:val="28"/>
                <w:szCs w:val="28"/>
                <w:lang w:val="uk-UA"/>
              </w:rPr>
              <w:t>Профілактичний візит до лікаря-стоматолога один раз на шість місяців</w:t>
            </w:r>
            <w:r w:rsidR="00981605" w:rsidRPr="00981605">
              <w:rPr>
                <w:rFonts w:cs="Times New Roman"/>
                <w:sz w:val="28"/>
                <w:szCs w:val="28"/>
                <w:lang w:val="uk-UA"/>
              </w:rPr>
              <w:t xml:space="preserve"> зі скринінговим неінвазивним контролем рівня біомаркерів</w:t>
            </w:r>
          </w:p>
        </w:tc>
      </w:tr>
    </w:tbl>
    <w:p w14:paraId="18D433A4" w14:textId="77777777" w:rsidR="00112933" w:rsidRDefault="00112933" w:rsidP="006A4C62">
      <w:pPr>
        <w:spacing w:after="0" w:line="360" w:lineRule="auto"/>
        <w:ind w:firstLine="709"/>
        <w:jc w:val="both"/>
        <w:rPr>
          <w:rFonts w:ascii="Times New Roman" w:hAnsi="Times New Roman"/>
          <w:sz w:val="28"/>
          <w:szCs w:val="28"/>
          <w:lang w:val="uk-UA"/>
        </w:rPr>
      </w:pPr>
    </w:p>
    <w:p w14:paraId="7C120602" w14:textId="77777777" w:rsidR="006A4C62" w:rsidRDefault="006A4C62" w:rsidP="006A4C6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відображені у наступних публікаціях:</w:t>
      </w:r>
    </w:p>
    <w:p w14:paraId="3F521E43" w14:textId="77777777" w:rsidR="006A4C62" w:rsidRPr="006A4C62" w:rsidRDefault="006A4C62" w:rsidP="006A4C62">
      <w:pPr>
        <w:pStyle w:val="ListParagraph"/>
        <w:numPr>
          <w:ilvl w:val="0"/>
          <w:numId w:val="16"/>
        </w:numPr>
        <w:spacing w:line="360" w:lineRule="auto"/>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07EEB5D0" w14:textId="6D2FA244" w:rsidR="006A4C62" w:rsidRDefault="006A4C62" w:rsidP="006A4C62">
      <w:pPr>
        <w:pStyle w:val="ListParagraph"/>
        <w:numPr>
          <w:ilvl w:val="0"/>
          <w:numId w:val="16"/>
        </w:numPr>
        <w:spacing w:line="360" w:lineRule="auto"/>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46B6C851" w14:textId="77777777" w:rsidR="006A4C62" w:rsidRPr="006A4C62" w:rsidRDefault="006A4C62" w:rsidP="006A4C62">
      <w:pPr>
        <w:pStyle w:val="ListParagraph"/>
        <w:ind w:left="786"/>
        <w:rPr>
          <w:rFonts w:ascii="Times New Roman" w:hAnsi="Times New Roman" w:cs="Times New Roman"/>
          <w:sz w:val="28"/>
          <w:szCs w:val="28"/>
          <w:lang w:val="ru-RU"/>
        </w:rPr>
      </w:pPr>
    </w:p>
    <w:p w14:paraId="2C218314" w14:textId="77777777" w:rsidR="006A4C62" w:rsidRDefault="006A4C62">
      <w:pPr>
        <w:rPr>
          <w:rFonts w:asciiTheme="majorHAnsi" w:eastAsiaTheme="majorEastAsia" w:hAnsiTheme="majorHAnsi" w:cstheme="majorBidi"/>
          <w:color w:val="2E74B5" w:themeColor="accent1" w:themeShade="BF"/>
          <w:sz w:val="32"/>
          <w:szCs w:val="32"/>
          <w:lang w:val="uk-UA"/>
        </w:rPr>
      </w:pPr>
      <w:r>
        <w:rPr>
          <w:lang w:val="uk-UA"/>
        </w:rPr>
        <w:br w:type="page"/>
      </w:r>
    </w:p>
    <w:p w14:paraId="22DFF369" w14:textId="7D8656A5" w:rsidR="0087146D" w:rsidRDefault="00112933" w:rsidP="00112933">
      <w:pPr>
        <w:pStyle w:val="Heading1"/>
        <w:spacing w:before="0" w:line="360" w:lineRule="auto"/>
        <w:jc w:val="center"/>
        <w:rPr>
          <w:rFonts w:ascii="Times New Roman" w:hAnsi="Times New Roman" w:cs="Times New Roman"/>
          <w:color w:val="auto"/>
          <w:sz w:val="28"/>
          <w:szCs w:val="28"/>
          <w:lang w:val="uk-UA"/>
        </w:rPr>
      </w:pPr>
      <w:bookmarkStart w:id="38" w:name="_Toc507575331"/>
      <w:r w:rsidRPr="00112933">
        <w:rPr>
          <w:rFonts w:ascii="Times New Roman" w:hAnsi="Times New Roman" w:cs="Times New Roman"/>
          <w:color w:val="auto"/>
          <w:sz w:val="28"/>
          <w:szCs w:val="28"/>
          <w:lang w:val="uk-UA"/>
        </w:rPr>
        <w:t>АНАЛІЗ ТА УЗАГАЛЬНЕННЯ ОТРИМАНИХ РЕЗУЛЬТАТІВ</w:t>
      </w:r>
      <w:bookmarkEnd w:id="38"/>
    </w:p>
    <w:p w14:paraId="7CDC1385" w14:textId="77777777" w:rsidR="00112933" w:rsidRPr="00112933" w:rsidRDefault="00112933" w:rsidP="00112933">
      <w:pPr>
        <w:rPr>
          <w:lang w:val="uk-UA"/>
        </w:rPr>
      </w:pPr>
    </w:p>
    <w:p w14:paraId="281D8750" w14:textId="47385D98" w:rsidR="00981605" w:rsidRDefault="00981605" w:rsidP="00112933">
      <w:pPr>
        <w:spacing w:after="0" w:line="360" w:lineRule="auto"/>
        <w:ind w:firstLine="709"/>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 xml:space="preserve">Проблема профілактики та лікування запальних захворювань </w:t>
      </w:r>
      <w:r>
        <w:rPr>
          <w:rFonts w:ascii="Times New Roman" w:hAnsi="Times New Roman" w:cs="Times New Roman"/>
          <w:sz w:val="28"/>
          <w:szCs w:val="28"/>
          <w:lang w:val="uk-UA"/>
        </w:rPr>
        <w:t>пародонту</w:t>
      </w:r>
      <w:r w:rsidR="00557B68">
        <w:rPr>
          <w:rFonts w:ascii="Times New Roman" w:hAnsi="Times New Roman" w:cs="Times New Roman"/>
          <w:sz w:val="28"/>
          <w:szCs w:val="28"/>
          <w:lang w:val="uk-UA"/>
        </w:rPr>
        <w:t xml:space="preserve"> у дітей</w:t>
      </w:r>
      <w:r>
        <w:rPr>
          <w:rFonts w:ascii="Times New Roman" w:hAnsi="Times New Roman" w:cs="Times New Roman"/>
          <w:sz w:val="28"/>
          <w:szCs w:val="28"/>
          <w:lang w:val="uk-UA"/>
        </w:rPr>
        <w:t xml:space="preserve"> </w:t>
      </w:r>
      <w:r w:rsidR="00557B68">
        <w:rPr>
          <w:rFonts w:ascii="Times New Roman" w:hAnsi="Times New Roman" w:cs="Times New Roman"/>
          <w:sz w:val="28"/>
          <w:szCs w:val="28"/>
          <w:lang w:val="uk-UA"/>
        </w:rPr>
        <w:t>є нагальною у стоматології, оскільки саме у дитинстві створюється основа для здорового функціонування усіх органів та систем. Серед дітей, не обтяжених загальносоматичною патологією, спостерігається чітка тенденція до зростання поширеності гінгівіту та пародонтиту. При цьому діти, у яких діагностуються супутні хронічні захворювання, знаходяться у додатковій групі ризику щодо розвитку запальних захворювань пародонту.</w:t>
      </w:r>
    </w:p>
    <w:p w14:paraId="0479943B" w14:textId="43B77575" w:rsidR="00557B68" w:rsidRDefault="00557B68" w:rsidP="00A82D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Детальний аналіз літератури показав широку розповсюдженість атопічних захворювань, а саме бронхіальної астми, алергічного риніту та атопічного дерматиту, серед дитячого контингенту. Наявність даних захворювань у анамнезі запускає низку патологічних змін у організмі дітей та впливає на функціонування організму в цілому. Серйозність змін, що відбуваються на тлі атопічних захворювань, підтверджуються високою летальністю, обумовленою наявністю бронхіальної астми. Безумовно, такі захворювання формують особливий </w:t>
      </w:r>
      <w:r w:rsidR="00A6417E">
        <w:rPr>
          <w:rFonts w:ascii="Times New Roman" w:hAnsi="Times New Roman" w:cs="Times New Roman"/>
          <w:sz w:val="28"/>
          <w:szCs w:val="28"/>
          <w:lang w:val="uk-UA"/>
        </w:rPr>
        <w:t xml:space="preserve">тип патогенетичних реакцій, які формуються під впливом змін імунометаболічного статусу даної групи дітей. </w:t>
      </w:r>
    </w:p>
    <w:p w14:paraId="7021DF4B" w14:textId="23A92132" w:rsidR="00A6417E" w:rsidRDefault="00A6417E" w:rsidP="00ED5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Авторами вже був проведений аналіз впливу атопічних захворювань на різні системи організму, у тому числі й на процеси, які відбуваються у щелепно-лицевій ділянці. Враховуючи той факт, що атопічні захворювання мають хронічний рецидивуючий перебіг, медикаментозна терапія, яка є обов</w:t>
      </w:r>
      <w:r w:rsidR="00ED5D80" w:rsidRPr="00A82DB7">
        <w:rPr>
          <w:rFonts w:ascii="Times New Roman" w:hAnsi="Times New Roman" w:cs="Times New Roman"/>
          <w:sz w:val="28"/>
          <w:szCs w:val="28"/>
          <w:lang w:val="uk-UA"/>
        </w:rPr>
        <w:t>'</w:t>
      </w:r>
      <w:r>
        <w:rPr>
          <w:rFonts w:ascii="Times New Roman" w:hAnsi="Times New Roman" w:cs="Times New Roman"/>
          <w:sz w:val="28"/>
          <w:szCs w:val="28"/>
          <w:lang w:val="uk-UA"/>
        </w:rPr>
        <w:t>язковою при лікуванні даних захворювань, впливає на стан тканин порожнини роту. Існують дані, що вказують на те, що даний контингент дітей</w:t>
      </w:r>
      <w:r w:rsidRPr="002C4F1F">
        <w:rPr>
          <w:rFonts w:ascii="Times New Roman" w:hAnsi="Times New Roman" w:cs="Times New Roman"/>
          <w:sz w:val="28"/>
          <w:szCs w:val="28"/>
          <w:lang w:val="uk-UA"/>
        </w:rPr>
        <w:t xml:space="preserve"> </w:t>
      </w:r>
      <w:r w:rsidR="005263C3">
        <w:rPr>
          <w:rFonts w:ascii="Times New Roman" w:hAnsi="Times New Roman" w:cs="Times New Roman"/>
          <w:sz w:val="28"/>
          <w:szCs w:val="28"/>
          <w:lang w:val="uk-UA"/>
        </w:rPr>
        <w:t>знаходиться у групі ризику за карієсом</w:t>
      </w:r>
      <w:r w:rsidR="00ED5D80">
        <w:rPr>
          <w:rFonts w:ascii="Times New Roman" w:hAnsi="Times New Roman" w:cs="Times New Roman"/>
          <w:sz w:val="28"/>
          <w:szCs w:val="28"/>
          <w:lang w:val="uk-UA"/>
        </w:rPr>
        <w:t>, а також за гінгівітом у зв</w:t>
      </w:r>
      <w:r w:rsidR="00ED5D80" w:rsidRPr="00A82DB7">
        <w:rPr>
          <w:rFonts w:ascii="Times New Roman" w:hAnsi="Times New Roman" w:cs="Times New Roman"/>
          <w:sz w:val="28"/>
          <w:szCs w:val="28"/>
          <w:lang w:val="uk-UA"/>
        </w:rPr>
        <w:t>'</w:t>
      </w:r>
      <w:r w:rsidR="00ED5D80">
        <w:rPr>
          <w:rFonts w:ascii="Times New Roman" w:hAnsi="Times New Roman" w:cs="Times New Roman"/>
          <w:sz w:val="28"/>
          <w:szCs w:val="28"/>
          <w:lang w:val="uk-UA"/>
        </w:rPr>
        <w:t>язку зі</w:t>
      </w:r>
      <w:r>
        <w:rPr>
          <w:rFonts w:ascii="Times New Roman" w:hAnsi="Times New Roman" w:cs="Times New Roman"/>
          <w:sz w:val="28"/>
          <w:szCs w:val="28"/>
          <w:lang w:val="uk-UA"/>
        </w:rPr>
        <w:t xml:space="preserve"> </w:t>
      </w:r>
      <w:r w:rsidRPr="002C4F1F">
        <w:rPr>
          <w:rFonts w:ascii="Times New Roman" w:hAnsi="Times New Roman" w:cs="Times New Roman"/>
          <w:sz w:val="28"/>
          <w:szCs w:val="28"/>
          <w:lang w:val="uk-UA"/>
        </w:rPr>
        <w:t>змін</w:t>
      </w:r>
      <w:r w:rsidR="00ED5D80">
        <w:rPr>
          <w:rFonts w:ascii="Times New Roman" w:hAnsi="Times New Roman" w:cs="Times New Roman"/>
          <w:sz w:val="28"/>
          <w:szCs w:val="28"/>
          <w:lang w:val="uk-UA"/>
        </w:rPr>
        <w:t>е</w:t>
      </w:r>
      <w:r w:rsidRPr="002C4F1F">
        <w:rPr>
          <w:rFonts w:ascii="Times New Roman" w:hAnsi="Times New Roman" w:cs="Times New Roman"/>
          <w:sz w:val="28"/>
          <w:szCs w:val="28"/>
          <w:lang w:val="uk-UA"/>
        </w:rPr>
        <w:t xml:space="preserve">ною імунною відповіддю та схильністю до </w:t>
      </w:r>
      <w:r w:rsidR="00ED5D80">
        <w:rPr>
          <w:rFonts w:ascii="Times New Roman" w:hAnsi="Times New Roman" w:cs="Times New Roman"/>
          <w:sz w:val="28"/>
          <w:szCs w:val="28"/>
          <w:lang w:val="uk-UA"/>
        </w:rPr>
        <w:t>ротового дихання</w:t>
      </w:r>
      <w:r w:rsidR="005263C3">
        <w:rPr>
          <w:rFonts w:ascii="Times New Roman" w:hAnsi="Times New Roman" w:cs="Times New Roman"/>
          <w:sz w:val="28"/>
          <w:szCs w:val="28"/>
          <w:lang w:val="uk-UA"/>
        </w:rPr>
        <w:t>, особливо в епізодах</w:t>
      </w:r>
      <w:r w:rsidRPr="002C4F1F">
        <w:rPr>
          <w:rFonts w:ascii="Times New Roman" w:hAnsi="Times New Roman" w:cs="Times New Roman"/>
          <w:sz w:val="28"/>
          <w:szCs w:val="28"/>
          <w:lang w:val="uk-UA"/>
        </w:rPr>
        <w:t xml:space="preserve"> гострої астматичної а</w:t>
      </w:r>
      <w:r>
        <w:rPr>
          <w:rFonts w:ascii="Times New Roman" w:hAnsi="Times New Roman" w:cs="Times New Roman"/>
          <w:sz w:val="28"/>
          <w:szCs w:val="28"/>
          <w:lang w:val="uk-UA"/>
        </w:rPr>
        <w:t>таки та дегідратації альвеолярної слизової оболонки</w:t>
      </w:r>
      <w:r w:rsidRPr="002C4F1F">
        <w:rPr>
          <w:rFonts w:ascii="Times New Roman" w:hAnsi="Times New Roman" w:cs="Times New Roman"/>
          <w:sz w:val="28"/>
          <w:szCs w:val="28"/>
          <w:lang w:val="uk-UA"/>
        </w:rPr>
        <w:t xml:space="preserve"> під час ротового дихання. </w:t>
      </w:r>
      <w:r w:rsidR="00ED5D80">
        <w:rPr>
          <w:rFonts w:ascii="Times New Roman" w:hAnsi="Times New Roman" w:cs="Times New Roman"/>
          <w:sz w:val="28"/>
          <w:szCs w:val="28"/>
          <w:lang w:val="uk-UA"/>
        </w:rPr>
        <w:t>Інші вчені вказують на пародонтальну небезпеку у дітей з атопічними захворюваннями через</w:t>
      </w:r>
      <w:r w:rsidR="005263C3">
        <w:rPr>
          <w:rFonts w:ascii="Times New Roman" w:hAnsi="Times New Roman" w:cs="Times New Roman"/>
          <w:sz w:val="28"/>
          <w:szCs w:val="28"/>
          <w:lang w:val="uk-UA"/>
        </w:rPr>
        <w:t xml:space="preserve"> нижчу швидкість</w:t>
      </w:r>
      <w:r w:rsidR="00ED5D80">
        <w:rPr>
          <w:rFonts w:ascii="Times New Roman" w:hAnsi="Times New Roman" w:cs="Times New Roman"/>
          <w:sz w:val="28"/>
          <w:szCs w:val="28"/>
          <w:lang w:val="uk-UA"/>
        </w:rPr>
        <w:t xml:space="preserve"> слиновиділення та вищу</w:t>
      </w:r>
      <w:r w:rsidRPr="002C4F1F">
        <w:rPr>
          <w:rFonts w:ascii="Times New Roman" w:hAnsi="Times New Roman" w:cs="Times New Roman"/>
          <w:sz w:val="28"/>
          <w:szCs w:val="28"/>
          <w:lang w:val="uk-UA"/>
        </w:rPr>
        <w:t xml:space="preserve"> поширеність </w:t>
      </w:r>
      <w:r>
        <w:rPr>
          <w:rFonts w:ascii="Times New Roman" w:hAnsi="Times New Roman" w:cs="Times New Roman"/>
          <w:sz w:val="28"/>
          <w:szCs w:val="28"/>
          <w:lang w:val="uk-UA"/>
        </w:rPr>
        <w:t xml:space="preserve">мінералізованих </w:t>
      </w:r>
      <w:r w:rsidR="00ED5D80">
        <w:rPr>
          <w:rFonts w:ascii="Times New Roman" w:hAnsi="Times New Roman" w:cs="Times New Roman"/>
          <w:sz w:val="28"/>
          <w:szCs w:val="28"/>
          <w:lang w:val="uk-UA"/>
        </w:rPr>
        <w:t>відкладень</w:t>
      </w:r>
      <w:r>
        <w:rPr>
          <w:rFonts w:ascii="Times New Roman" w:hAnsi="Times New Roman" w:cs="Times New Roman"/>
          <w:sz w:val="28"/>
          <w:szCs w:val="28"/>
          <w:lang w:val="uk-UA"/>
        </w:rPr>
        <w:t xml:space="preserve">. </w:t>
      </w:r>
      <w:r w:rsidRPr="002C4F1F">
        <w:rPr>
          <w:rFonts w:ascii="Times New Roman" w:hAnsi="Times New Roman" w:cs="Times New Roman"/>
          <w:sz w:val="28"/>
          <w:szCs w:val="28"/>
          <w:lang w:val="uk-UA"/>
        </w:rPr>
        <w:t>Встановлен</w:t>
      </w:r>
      <w:r>
        <w:rPr>
          <w:rFonts w:ascii="Times New Roman" w:hAnsi="Times New Roman" w:cs="Times New Roman"/>
          <w:sz w:val="28"/>
          <w:szCs w:val="28"/>
          <w:lang w:val="uk-UA"/>
        </w:rPr>
        <w:t>о, що концентрація IgE в тканинах</w:t>
      </w:r>
      <w:r w:rsidRPr="002C4F1F">
        <w:rPr>
          <w:rFonts w:ascii="Times New Roman" w:hAnsi="Times New Roman" w:cs="Times New Roman"/>
          <w:sz w:val="28"/>
          <w:szCs w:val="28"/>
          <w:lang w:val="uk-UA"/>
        </w:rPr>
        <w:t xml:space="preserve"> ясен підвищується у пацієнтів з астмою, що призво</w:t>
      </w:r>
      <w:r w:rsidR="00814C64">
        <w:rPr>
          <w:rFonts w:ascii="Times New Roman" w:hAnsi="Times New Roman" w:cs="Times New Roman"/>
          <w:sz w:val="28"/>
          <w:szCs w:val="28"/>
          <w:lang w:val="uk-UA"/>
        </w:rPr>
        <w:t xml:space="preserve">дить </w:t>
      </w:r>
      <w:r w:rsidR="004669B2">
        <w:rPr>
          <w:rFonts w:ascii="Times New Roman" w:hAnsi="Times New Roman" w:cs="Times New Roman"/>
          <w:sz w:val="28"/>
          <w:szCs w:val="28"/>
          <w:lang w:val="uk-UA"/>
        </w:rPr>
        <w:t>до руйнування пародонту [316-318</w:t>
      </w:r>
      <w:r w:rsidRPr="002C4F1F">
        <w:rPr>
          <w:rFonts w:ascii="Times New Roman" w:hAnsi="Times New Roman" w:cs="Times New Roman"/>
          <w:sz w:val="28"/>
          <w:szCs w:val="28"/>
          <w:lang w:val="uk-UA"/>
        </w:rPr>
        <w:t>].</w:t>
      </w:r>
    </w:p>
    <w:p w14:paraId="1E583B79" w14:textId="18664732" w:rsidR="00C90400" w:rsidRDefault="00C90400" w:rsidP="00C90400">
      <w:pPr>
        <w:spacing w:line="360" w:lineRule="auto"/>
        <w:ind w:firstLine="709"/>
        <w:jc w:val="both"/>
        <w:rPr>
          <w:rFonts w:ascii="Times New Roman" w:hAnsi="Times New Roman" w:cs="Times New Roman"/>
          <w:sz w:val="28"/>
          <w:szCs w:val="28"/>
          <w:lang w:val="uk-UA"/>
        </w:rPr>
      </w:pPr>
      <w:r w:rsidRPr="00666B51">
        <w:rPr>
          <w:rFonts w:ascii="Times New Roman" w:hAnsi="Times New Roman" w:cs="Times New Roman"/>
          <w:sz w:val="28"/>
          <w:szCs w:val="28"/>
          <w:lang w:val="uk-UA"/>
        </w:rPr>
        <w:t>Зростаюча поширеність атопічних захворювань, зокрема астми, асоційованої з атопією, атопічного дерматиту та алергічного риніту, стала серйозною проблемою для алергологів і органів охорони здоров'я в багатьох країнах [</w:t>
      </w:r>
      <w:r w:rsidR="00C81556">
        <w:rPr>
          <w:rFonts w:ascii="Times New Roman" w:hAnsi="Times New Roman" w:cs="Times New Roman"/>
          <w:sz w:val="28"/>
          <w:szCs w:val="28"/>
          <w:lang w:val="uk-UA"/>
        </w:rPr>
        <w:t>2</w:t>
      </w:r>
      <w:r>
        <w:rPr>
          <w:rFonts w:ascii="Times New Roman" w:hAnsi="Times New Roman" w:cs="Times New Roman"/>
          <w:sz w:val="28"/>
          <w:szCs w:val="28"/>
          <w:lang w:val="uk-UA"/>
        </w:rPr>
        <w:t>07</w:t>
      </w:r>
      <w:r w:rsidRPr="00666B51">
        <w:rPr>
          <w:rFonts w:ascii="Times New Roman" w:hAnsi="Times New Roman" w:cs="Times New Roman"/>
          <w:sz w:val="28"/>
          <w:szCs w:val="28"/>
          <w:lang w:val="uk-UA"/>
        </w:rPr>
        <w:t>]. Розуміння патогенезу атопічного процесу, особливо детермінант, які можна змінити з метою первинної профілактики</w:t>
      </w:r>
      <w:r w:rsidR="00C81556">
        <w:rPr>
          <w:rFonts w:ascii="Times New Roman" w:hAnsi="Times New Roman" w:cs="Times New Roman"/>
          <w:sz w:val="28"/>
          <w:szCs w:val="28"/>
          <w:lang w:val="uk-UA"/>
        </w:rPr>
        <w:t>, як і раніше, досить обмежена</w:t>
      </w:r>
      <w:r>
        <w:rPr>
          <w:rFonts w:ascii="Times New Roman" w:hAnsi="Times New Roman" w:cs="Times New Roman"/>
          <w:sz w:val="28"/>
          <w:szCs w:val="28"/>
          <w:lang w:val="uk-UA"/>
        </w:rPr>
        <w:t>. Інформація, представлена у</w:t>
      </w:r>
      <w:r w:rsidRPr="00666B51">
        <w:rPr>
          <w:rFonts w:ascii="Times New Roman" w:hAnsi="Times New Roman" w:cs="Times New Roman"/>
          <w:sz w:val="28"/>
          <w:szCs w:val="28"/>
          <w:lang w:val="uk-UA"/>
        </w:rPr>
        <w:t xml:space="preserve"> перехресних дослідженнях, генерує в більшості випадків гіпотези, які повинні бути підтвер</w:t>
      </w:r>
      <w:r>
        <w:rPr>
          <w:rFonts w:ascii="Times New Roman" w:hAnsi="Times New Roman" w:cs="Times New Roman"/>
          <w:sz w:val="28"/>
          <w:szCs w:val="28"/>
          <w:lang w:val="uk-UA"/>
        </w:rPr>
        <w:t>джені перспективними, когортними</w:t>
      </w:r>
      <w:r w:rsidRPr="00666B51">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ми</w:t>
      </w:r>
      <w:r w:rsidRPr="00666B51">
        <w:rPr>
          <w:rFonts w:ascii="Times New Roman" w:hAnsi="Times New Roman" w:cs="Times New Roman"/>
          <w:sz w:val="28"/>
          <w:szCs w:val="28"/>
          <w:lang w:val="uk-UA"/>
        </w:rPr>
        <w:t>. На сьогоднішній день є необхідність в проведенні значущих клініко-експериментальних досліджень, які охоплюють питання патогенезу розвитку</w:t>
      </w:r>
      <w:r w:rsidRPr="00622FB8">
        <w:rPr>
          <w:rFonts w:ascii="Times New Roman" w:hAnsi="Times New Roman" w:cs="Times New Roman"/>
          <w:sz w:val="28"/>
          <w:szCs w:val="28"/>
          <w:lang w:val="uk-UA"/>
        </w:rPr>
        <w:t>. Так</w:t>
      </w:r>
      <w:r>
        <w:rPr>
          <w:rFonts w:ascii="Times New Roman" w:hAnsi="Times New Roman" w:cs="Times New Roman"/>
          <w:sz w:val="28"/>
          <w:szCs w:val="28"/>
          <w:lang w:val="uk-UA"/>
        </w:rPr>
        <w:t>, наприклад, у</w:t>
      </w:r>
      <w:r w:rsidRPr="00622FB8">
        <w:rPr>
          <w:rFonts w:ascii="Times New Roman" w:hAnsi="Times New Roman" w:cs="Times New Roman"/>
          <w:sz w:val="28"/>
          <w:szCs w:val="28"/>
          <w:lang w:val="uk-UA"/>
        </w:rPr>
        <w:t xml:space="preserve"> США близько 15% дітей ст</w:t>
      </w:r>
      <w:r w:rsidR="00C81556">
        <w:rPr>
          <w:rFonts w:ascii="Times New Roman" w:hAnsi="Times New Roman" w:cs="Times New Roman"/>
          <w:sz w:val="28"/>
          <w:szCs w:val="28"/>
          <w:lang w:val="uk-UA"/>
        </w:rPr>
        <w:t>раждають на атопічний дерматит</w:t>
      </w:r>
      <w:r w:rsidRPr="00622FB8">
        <w:rPr>
          <w:rFonts w:ascii="Times New Roman" w:hAnsi="Times New Roman" w:cs="Times New Roman"/>
          <w:sz w:val="28"/>
          <w:szCs w:val="28"/>
          <w:lang w:val="uk-UA"/>
        </w:rPr>
        <w:t>. Відзначається зростання такої патології і в нашій країні [</w:t>
      </w:r>
      <w:r w:rsidR="00C81556">
        <w:rPr>
          <w:rFonts w:ascii="Times New Roman" w:hAnsi="Times New Roman" w:cs="Times New Roman"/>
          <w:sz w:val="28"/>
          <w:szCs w:val="28"/>
          <w:lang w:val="uk-UA"/>
        </w:rPr>
        <w:t>8, 14, 17, 65, 288</w:t>
      </w:r>
      <w:r w:rsidRPr="00622F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D1C9178" w14:textId="50C91512" w:rsidR="00C81556" w:rsidRDefault="00C81556" w:rsidP="00C90400">
      <w:pPr>
        <w:spacing w:line="360" w:lineRule="auto"/>
        <w:ind w:firstLine="709"/>
        <w:jc w:val="both"/>
        <w:rPr>
          <w:rFonts w:ascii="Times New Roman" w:hAnsi="Times New Roman" w:cs="Times New Roman"/>
          <w:sz w:val="28"/>
          <w:szCs w:val="28"/>
          <w:lang w:val="uk-UA"/>
        </w:rPr>
      </w:pPr>
      <w:r w:rsidRPr="00C81556">
        <w:rPr>
          <w:rFonts w:ascii="Times New Roman" w:hAnsi="Times New Roman" w:cs="Times New Roman"/>
          <w:sz w:val="28"/>
          <w:szCs w:val="28"/>
          <w:lang w:val="uk-UA"/>
        </w:rPr>
        <w:t>Оскільки поширеність алергічних захворювань тісно пов'язана з віком і залежить від типу алергічних захворювань, симптоми проявля</w:t>
      </w:r>
      <w:r w:rsidR="004669B2">
        <w:rPr>
          <w:rFonts w:ascii="Times New Roman" w:hAnsi="Times New Roman" w:cs="Times New Roman"/>
          <w:sz w:val="28"/>
          <w:szCs w:val="28"/>
          <w:lang w:val="uk-UA"/>
        </w:rPr>
        <w:t>ються у різному віці [321</w:t>
      </w:r>
      <w:r w:rsidRPr="00C81556">
        <w:rPr>
          <w:rFonts w:ascii="Times New Roman" w:hAnsi="Times New Roman" w:cs="Times New Roman"/>
          <w:sz w:val="28"/>
          <w:szCs w:val="28"/>
          <w:lang w:val="uk-UA"/>
        </w:rPr>
        <w:t xml:space="preserve">]. У зарубіжних дослідженнях, що оцінюють поширеність алергічних захворювань у дітей та немовлят, рівень атопічного дерматиту був найвищим у дітей віком до 5 років, симптоми астми були найвищими у дітей у віці від 2 до 9 років, а алергічний риніт був найвищим </w:t>
      </w:r>
      <w:r>
        <w:rPr>
          <w:rFonts w:ascii="Times New Roman" w:hAnsi="Times New Roman" w:cs="Times New Roman"/>
          <w:sz w:val="28"/>
          <w:szCs w:val="28"/>
          <w:lang w:val="uk-UA"/>
        </w:rPr>
        <w:t xml:space="preserve">у </w:t>
      </w:r>
      <w:r w:rsidR="00F637F4">
        <w:rPr>
          <w:rFonts w:ascii="Times New Roman" w:hAnsi="Times New Roman" w:cs="Times New Roman"/>
          <w:sz w:val="28"/>
          <w:szCs w:val="28"/>
          <w:lang w:val="uk-UA"/>
        </w:rPr>
        <w:t>віковій групі</w:t>
      </w:r>
      <w:r w:rsidR="004669B2">
        <w:rPr>
          <w:rFonts w:ascii="Times New Roman" w:hAnsi="Times New Roman" w:cs="Times New Roman"/>
          <w:sz w:val="28"/>
          <w:szCs w:val="28"/>
          <w:lang w:val="uk-UA"/>
        </w:rPr>
        <w:t xml:space="preserve"> від 6 до 11 років [322</w:t>
      </w:r>
      <w:r w:rsidRPr="00C81556">
        <w:rPr>
          <w:rFonts w:ascii="Times New Roman" w:hAnsi="Times New Roman" w:cs="Times New Roman"/>
          <w:sz w:val="28"/>
          <w:szCs w:val="28"/>
          <w:lang w:val="uk-UA"/>
        </w:rPr>
        <w:t>]. Хоча в Кореї були проведені дослідження для оцінки алергічних захворювань у дітей, лише деякі дослідження оцінили поширеність алергічних захворювань ще до дитинства. Відповідно до Міжнародного дослідження астми та алергії в дитинстві (</w:t>
      </w:r>
      <w:r w:rsidR="00F637F4">
        <w:rPr>
          <w:rFonts w:ascii="Times New Roman" w:hAnsi="Times New Roman" w:cs="Times New Roman"/>
          <w:sz w:val="28"/>
          <w:szCs w:val="28"/>
          <w:lang w:val="uk-UA"/>
        </w:rPr>
        <w:t>IS</w:t>
      </w:r>
      <w:r w:rsidR="005263C3">
        <w:rPr>
          <w:rFonts w:ascii="Times New Roman" w:hAnsi="Times New Roman" w:cs="Times New Roman"/>
          <w:sz w:val="28"/>
          <w:szCs w:val="28"/>
          <w:lang w:val="uk-UA"/>
        </w:rPr>
        <w:t>AAC), проведеного Oh та співавторами</w:t>
      </w:r>
      <w:r w:rsidR="004669B2">
        <w:rPr>
          <w:rFonts w:ascii="Times New Roman" w:hAnsi="Times New Roman" w:cs="Times New Roman"/>
          <w:sz w:val="28"/>
          <w:szCs w:val="28"/>
          <w:lang w:val="uk-UA"/>
        </w:rPr>
        <w:t xml:space="preserve"> [323</w:t>
      </w:r>
      <w:r w:rsidR="00F637F4">
        <w:rPr>
          <w:rFonts w:ascii="Times New Roman" w:hAnsi="Times New Roman" w:cs="Times New Roman"/>
          <w:sz w:val="28"/>
          <w:szCs w:val="28"/>
          <w:lang w:val="uk-UA"/>
        </w:rPr>
        <w:t>]</w:t>
      </w:r>
      <w:r w:rsidR="005263C3">
        <w:rPr>
          <w:rFonts w:ascii="Times New Roman" w:hAnsi="Times New Roman" w:cs="Times New Roman"/>
          <w:sz w:val="28"/>
          <w:szCs w:val="28"/>
          <w:lang w:val="uk-UA"/>
        </w:rPr>
        <w:t>,</w:t>
      </w:r>
      <w:r w:rsidR="00F637F4">
        <w:rPr>
          <w:rFonts w:ascii="Times New Roman" w:hAnsi="Times New Roman" w:cs="Times New Roman"/>
          <w:sz w:val="28"/>
          <w:szCs w:val="28"/>
          <w:lang w:val="uk-UA"/>
        </w:rPr>
        <w:t xml:space="preserve"> поширеність </w:t>
      </w:r>
      <w:r w:rsidRPr="00C81556">
        <w:rPr>
          <w:rFonts w:ascii="Times New Roman" w:hAnsi="Times New Roman" w:cs="Times New Roman"/>
          <w:sz w:val="28"/>
          <w:szCs w:val="28"/>
          <w:lang w:val="uk-UA"/>
        </w:rPr>
        <w:t>симптомів атопічного дермати</w:t>
      </w:r>
      <w:r w:rsidR="00F637F4">
        <w:rPr>
          <w:rFonts w:ascii="Times New Roman" w:hAnsi="Times New Roman" w:cs="Times New Roman"/>
          <w:sz w:val="28"/>
          <w:szCs w:val="28"/>
          <w:lang w:val="uk-UA"/>
        </w:rPr>
        <w:t>ту протягом останніх 12 місяців</w:t>
      </w:r>
      <w:r w:rsidRPr="00C81556">
        <w:rPr>
          <w:rFonts w:ascii="Times New Roman" w:hAnsi="Times New Roman" w:cs="Times New Roman"/>
          <w:sz w:val="28"/>
          <w:szCs w:val="28"/>
          <w:lang w:val="uk-UA"/>
        </w:rPr>
        <w:t xml:space="preserve"> у 2000 році становила 10,7</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у дітей у віці від 6 до 12 років та 6,1% у віці від 12 до 15 років, тоді як поширеність  симптоми атопічного дерматит</w:t>
      </w:r>
      <w:r w:rsidR="00F637F4">
        <w:rPr>
          <w:rFonts w:ascii="Times New Roman" w:hAnsi="Times New Roman" w:cs="Times New Roman"/>
          <w:sz w:val="28"/>
          <w:szCs w:val="28"/>
          <w:lang w:val="uk-UA"/>
        </w:rPr>
        <w:t>у протягом останніх 12 місяців у 2003 році була найвищою</w:t>
      </w:r>
      <w:r w:rsidRPr="00C81556">
        <w:rPr>
          <w:rFonts w:ascii="Times New Roman" w:hAnsi="Times New Roman" w:cs="Times New Roman"/>
          <w:sz w:val="28"/>
          <w:szCs w:val="28"/>
          <w:lang w:val="uk-UA"/>
        </w:rPr>
        <w:t xml:space="preserve"> у 5-річних дітей, причому рівень поширеності становив 21,1</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Другий найвищий показник поширеності виявлено серед учнів початкової та середньої школи. Після вивчення поширеності алергічних захворювань у всій Кореї серед</w:t>
      </w:r>
      <w:r w:rsidR="00F637F4">
        <w:rPr>
          <w:rFonts w:ascii="Times New Roman" w:hAnsi="Times New Roman" w:cs="Times New Roman"/>
          <w:sz w:val="28"/>
          <w:szCs w:val="28"/>
          <w:lang w:val="uk-UA"/>
        </w:rPr>
        <w:t xml:space="preserve"> учнів початкової школи, тобто учнів</w:t>
      </w:r>
      <w:r w:rsidRPr="00C81556">
        <w:rPr>
          <w:rFonts w:ascii="Times New Roman" w:hAnsi="Times New Roman" w:cs="Times New Roman"/>
          <w:sz w:val="28"/>
          <w:szCs w:val="28"/>
          <w:lang w:val="uk-UA"/>
        </w:rPr>
        <w:t xml:space="preserve"> 3, 4 та 5 класів, використовуючи "симптоми останніх 12 міся</w:t>
      </w:r>
      <w:r w:rsidR="00F637F4">
        <w:rPr>
          <w:rFonts w:ascii="Times New Roman" w:hAnsi="Times New Roman" w:cs="Times New Roman"/>
          <w:sz w:val="28"/>
          <w:szCs w:val="28"/>
          <w:lang w:val="uk-UA"/>
        </w:rPr>
        <w:t>ц</w:t>
      </w:r>
      <w:r w:rsidR="005263C3">
        <w:rPr>
          <w:rFonts w:ascii="Times New Roman" w:hAnsi="Times New Roman" w:cs="Times New Roman"/>
          <w:sz w:val="28"/>
          <w:szCs w:val="28"/>
          <w:lang w:val="uk-UA"/>
        </w:rPr>
        <w:t>ів" як стандарт, Suh та співавторами</w:t>
      </w:r>
      <w:r w:rsidR="004669B2">
        <w:rPr>
          <w:rFonts w:ascii="Times New Roman" w:hAnsi="Times New Roman" w:cs="Times New Roman"/>
          <w:sz w:val="28"/>
          <w:szCs w:val="28"/>
          <w:lang w:val="uk-UA"/>
        </w:rPr>
        <w:t xml:space="preserve"> [324</w:t>
      </w:r>
      <w:r w:rsidRPr="00C81556">
        <w:rPr>
          <w:rFonts w:ascii="Times New Roman" w:hAnsi="Times New Roman" w:cs="Times New Roman"/>
          <w:sz w:val="28"/>
          <w:szCs w:val="28"/>
          <w:lang w:val="uk-UA"/>
        </w:rPr>
        <w:t>] визначено, що поширеність атопічного дерматиту, астми та алергічного риніту становить 15,3</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4,8</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та 32</w:t>
      </w:r>
      <w:r w:rsidR="00F637F4">
        <w:rPr>
          <w:rFonts w:ascii="Times New Roman" w:hAnsi="Times New Roman" w:cs="Times New Roman"/>
          <w:sz w:val="28"/>
          <w:szCs w:val="28"/>
          <w:lang w:val="uk-UA"/>
        </w:rPr>
        <w:t>,</w:t>
      </w:r>
      <w:r w:rsidR="004669B2">
        <w:rPr>
          <w:rFonts w:ascii="Times New Roman" w:hAnsi="Times New Roman" w:cs="Times New Roman"/>
          <w:sz w:val="28"/>
          <w:szCs w:val="28"/>
          <w:lang w:val="uk-UA"/>
        </w:rPr>
        <w:t>9</w:t>
      </w:r>
      <w:r w:rsidR="005263C3">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 відповідно. Квон та ін. [325</w:t>
      </w:r>
      <w:r w:rsidRPr="00C81556">
        <w:rPr>
          <w:rFonts w:ascii="Times New Roman" w:hAnsi="Times New Roman" w:cs="Times New Roman"/>
          <w:sz w:val="28"/>
          <w:szCs w:val="28"/>
          <w:lang w:val="uk-UA"/>
        </w:rPr>
        <w:t>] проаналізувала учнів початкової школи в регі</w:t>
      </w:r>
      <w:r w:rsidR="00F637F4">
        <w:rPr>
          <w:rFonts w:ascii="Times New Roman" w:hAnsi="Times New Roman" w:cs="Times New Roman"/>
          <w:sz w:val="28"/>
          <w:szCs w:val="28"/>
          <w:lang w:val="uk-UA"/>
        </w:rPr>
        <w:t>оні Сеул у 2008 році та визначила</w:t>
      </w:r>
      <w:r w:rsidRPr="00C81556">
        <w:rPr>
          <w:rFonts w:ascii="Times New Roman" w:hAnsi="Times New Roman" w:cs="Times New Roman"/>
          <w:sz w:val="28"/>
          <w:szCs w:val="28"/>
          <w:lang w:val="uk-UA"/>
        </w:rPr>
        <w:t>, що поширеність симптомів астми становить 5,5</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 тоді як поширеність лікування астмою протягом попередніх 12 місяців становила 2,7</w:t>
      </w:r>
      <w:r w:rsidR="005263C3">
        <w:rPr>
          <w:rFonts w:ascii="Times New Roman" w:hAnsi="Times New Roman" w:cs="Times New Roman"/>
          <w:sz w:val="28"/>
          <w:szCs w:val="28"/>
          <w:lang w:val="uk-UA"/>
        </w:rPr>
        <w:t xml:space="preserve"> </w:t>
      </w:r>
      <w:r w:rsidRPr="00C81556">
        <w:rPr>
          <w:rFonts w:ascii="Times New Roman" w:hAnsi="Times New Roman" w:cs="Times New Roman"/>
          <w:sz w:val="28"/>
          <w:szCs w:val="28"/>
          <w:lang w:val="uk-UA"/>
        </w:rPr>
        <w:t>%.</w:t>
      </w:r>
    </w:p>
    <w:p w14:paraId="6890C6D0" w14:textId="10174194" w:rsidR="00C90400" w:rsidRDefault="00F637F4" w:rsidP="00C904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C90400">
        <w:rPr>
          <w:rFonts w:ascii="Times New Roman" w:hAnsi="Times New Roman" w:cs="Times New Roman"/>
          <w:sz w:val="28"/>
          <w:szCs w:val="28"/>
          <w:lang w:val="uk-UA"/>
        </w:rPr>
        <w:t>гідно з даними науковців, наявність атопічних захворювань у дітей створює підгрунтя для підвищеної стоматологічної захворюваності серед даного контингенту та обумовлює специфічність патогенезу запальних захворювань пародонту на тлі імунного дисбалансу</w:t>
      </w:r>
      <w:r>
        <w:rPr>
          <w:rFonts w:ascii="Times New Roman" w:hAnsi="Times New Roman" w:cs="Times New Roman"/>
          <w:sz w:val="28"/>
          <w:szCs w:val="28"/>
          <w:lang w:val="uk-UA"/>
        </w:rPr>
        <w:t xml:space="preserve"> </w:t>
      </w:r>
      <w:r w:rsidRPr="00F637F4">
        <w:rPr>
          <w:rFonts w:ascii="Times New Roman" w:hAnsi="Times New Roman" w:cs="Times New Roman"/>
          <w:sz w:val="28"/>
          <w:szCs w:val="28"/>
          <w:lang w:val="uk-UA"/>
        </w:rPr>
        <w:t>[</w:t>
      </w:r>
      <w:r>
        <w:rPr>
          <w:rFonts w:ascii="Times New Roman" w:hAnsi="Times New Roman" w:cs="Times New Roman"/>
          <w:sz w:val="28"/>
          <w:szCs w:val="28"/>
          <w:lang w:val="uk-UA"/>
        </w:rPr>
        <w:t>65</w:t>
      </w:r>
      <w:r w:rsidRPr="00F637F4">
        <w:rPr>
          <w:rFonts w:ascii="Times New Roman" w:hAnsi="Times New Roman" w:cs="Times New Roman"/>
          <w:sz w:val="28"/>
          <w:szCs w:val="28"/>
          <w:lang w:val="uk-UA"/>
        </w:rPr>
        <w:t>]</w:t>
      </w:r>
      <w:r w:rsidR="00C90400">
        <w:rPr>
          <w:rFonts w:ascii="Times New Roman" w:hAnsi="Times New Roman" w:cs="Times New Roman"/>
          <w:sz w:val="28"/>
          <w:szCs w:val="28"/>
          <w:lang w:val="uk-UA"/>
        </w:rPr>
        <w:t>. Важливо відмітити, що у літературі недостатніми є фундаментальні експериментальні та клінічні дослідження, які характеризують морфогенез та патогенез змін, що відбуваються у тканинах організмів за наявності атопію. Закономірним, таким чином, є обсяг даних, які у повній мірі розкривають клініку, діагностику, профілактику та лікування гінгівіту у дітей з атопічними захворюваннями. У зв</w:t>
      </w:r>
      <w:r w:rsidR="00C90400" w:rsidRPr="00A82DB7">
        <w:rPr>
          <w:rFonts w:ascii="Times New Roman" w:hAnsi="Times New Roman" w:cs="Times New Roman"/>
          <w:sz w:val="28"/>
          <w:szCs w:val="28"/>
          <w:lang w:val="uk-UA"/>
        </w:rPr>
        <w:t>'</w:t>
      </w:r>
      <w:r w:rsidR="00C90400">
        <w:rPr>
          <w:rFonts w:ascii="Times New Roman" w:hAnsi="Times New Roman" w:cs="Times New Roman"/>
          <w:sz w:val="28"/>
          <w:szCs w:val="28"/>
          <w:lang w:val="uk-UA"/>
        </w:rPr>
        <w:t xml:space="preserve">язку з цим нами була поставлена мета у тому числі дослідити експериментально характер морфологічних змін, які відбуваються у тканинах експериментальних тварин. </w:t>
      </w:r>
    </w:p>
    <w:p w14:paraId="39EE561E" w14:textId="6788E362" w:rsidR="00C90400" w:rsidRDefault="00C90400" w:rsidP="00C90400">
      <w:pPr>
        <w:spacing w:line="360" w:lineRule="auto"/>
        <w:ind w:firstLine="709"/>
        <w:jc w:val="both"/>
        <w:rPr>
          <w:rFonts w:ascii="Times New Roman" w:hAnsi="Times New Roman" w:cs="Times New Roman"/>
          <w:sz w:val="28"/>
          <w:szCs w:val="28"/>
          <w:lang w:val="uk-UA"/>
        </w:rPr>
      </w:pPr>
      <w:r w:rsidRPr="00622FB8">
        <w:rPr>
          <w:rFonts w:ascii="Times New Roman" w:hAnsi="Times New Roman" w:cs="Times New Roman"/>
          <w:sz w:val="28"/>
          <w:szCs w:val="28"/>
          <w:lang w:val="uk-UA"/>
        </w:rPr>
        <w:t>Вважається, що прихована сенсибілізація є фа</w:t>
      </w:r>
      <w:r>
        <w:rPr>
          <w:rFonts w:ascii="Times New Roman" w:hAnsi="Times New Roman" w:cs="Times New Roman"/>
          <w:sz w:val="28"/>
          <w:szCs w:val="28"/>
          <w:lang w:val="uk-UA"/>
        </w:rPr>
        <w:t>ктором ризику клінічно вираженої атопічної</w:t>
      </w:r>
      <w:r w:rsidRPr="00622FB8">
        <w:rPr>
          <w:rFonts w:ascii="Times New Roman" w:hAnsi="Times New Roman" w:cs="Times New Roman"/>
          <w:sz w:val="28"/>
          <w:szCs w:val="28"/>
          <w:lang w:val="uk-UA"/>
        </w:rPr>
        <w:t xml:space="preserve"> реакції і дослідження фенотипічного складу лімфоцитів з метою виявлення патогенезу тканинних ушкоджень виглядає абсолютно логічним підходом [</w:t>
      </w:r>
      <w:r w:rsidR="004669B2">
        <w:rPr>
          <w:rFonts w:ascii="Times New Roman" w:hAnsi="Times New Roman" w:cs="Times New Roman"/>
          <w:sz w:val="28"/>
          <w:szCs w:val="28"/>
          <w:lang w:val="uk-UA"/>
        </w:rPr>
        <w:t>326</w:t>
      </w:r>
      <w:r w:rsidRPr="00622FB8">
        <w:rPr>
          <w:rFonts w:ascii="Times New Roman" w:hAnsi="Times New Roman" w:cs="Times New Roman"/>
          <w:sz w:val="28"/>
          <w:szCs w:val="28"/>
          <w:lang w:val="uk-UA"/>
        </w:rPr>
        <w:t xml:space="preserve">]. Основна увага </w:t>
      </w:r>
      <w:r w:rsidR="005263C3">
        <w:rPr>
          <w:rFonts w:ascii="Times New Roman" w:hAnsi="Times New Roman" w:cs="Times New Roman"/>
          <w:sz w:val="28"/>
          <w:szCs w:val="28"/>
          <w:lang w:val="uk-UA"/>
        </w:rPr>
        <w:t>в раніше проведених роботах була</w:t>
      </w:r>
      <w:r w:rsidRPr="00622FB8">
        <w:rPr>
          <w:rFonts w:ascii="Times New Roman" w:hAnsi="Times New Roman" w:cs="Times New Roman"/>
          <w:sz w:val="28"/>
          <w:szCs w:val="28"/>
          <w:lang w:val="uk-UA"/>
        </w:rPr>
        <w:t xml:space="preserve"> </w:t>
      </w:r>
      <w:r w:rsidR="005263C3">
        <w:rPr>
          <w:rFonts w:ascii="Times New Roman" w:hAnsi="Times New Roman" w:cs="Times New Roman"/>
          <w:sz w:val="28"/>
          <w:szCs w:val="28"/>
          <w:lang w:val="uk-UA"/>
        </w:rPr>
        <w:t>приділена</w:t>
      </w:r>
      <w:r w:rsidRPr="00622FB8">
        <w:rPr>
          <w:rFonts w:ascii="Times New Roman" w:hAnsi="Times New Roman" w:cs="Times New Roman"/>
          <w:sz w:val="28"/>
          <w:szCs w:val="28"/>
          <w:lang w:val="uk-UA"/>
        </w:rPr>
        <w:t xml:space="preserve"> дисбалансу підмножини T-клітин, тоді як внесок B-клітин в розвиток атопічного процесу і його фенотип залишає</w:t>
      </w:r>
      <w:r w:rsidR="004669B2">
        <w:rPr>
          <w:rFonts w:ascii="Times New Roman" w:hAnsi="Times New Roman" w:cs="Times New Roman"/>
          <w:sz w:val="28"/>
          <w:szCs w:val="28"/>
          <w:lang w:val="uk-UA"/>
        </w:rPr>
        <w:t>ться неясним [327</w:t>
      </w:r>
      <w:r w:rsidRPr="00622FB8">
        <w:rPr>
          <w:rFonts w:ascii="Times New Roman" w:hAnsi="Times New Roman" w:cs="Times New Roman"/>
          <w:sz w:val="28"/>
          <w:szCs w:val="28"/>
          <w:lang w:val="uk-UA"/>
        </w:rPr>
        <w:t>]. В-клітини відіграють важливу роль в імунному захисті, в тому числі продукуванні імуноглобуліну, уявлення антигену і секреція цитокінів. Імунна дерегуляція і поруше</w:t>
      </w:r>
      <w:r>
        <w:rPr>
          <w:rFonts w:ascii="Times New Roman" w:hAnsi="Times New Roman" w:cs="Times New Roman"/>
          <w:sz w:val="28"/>
          <w:szCs w:val="28"/>
          <w:lang w:val="uk-UA"/>
        </w:rPr>
        <w:t>ння бар'єру ведуть до тканинних пошкоджень</w:t>
      </w:r>
      <w:r w:rsidRPr="00622FB8">
        <w:rPr>
          <w:rFonts w:ascii="Times New Roman" w:hAnsi="Times New Roman" w:cs="Times New Roman"/>
          <w:sz w:val="28"/>
          <w:szCs w:val="28"/>
          <w:lang w:val="uk-UA"/>
        </w:rPr>
        <w:t>, що було виявлено в нашій роботі.</w:t>
      </w:r>
    </w:p>
    <w:p w14:paraId="6DB668C7" w14:textId="42887515" w:rsidR="00C90400" w:rsidRDefault="00C90400" w:rsidP="00C90400">
      <w:pPr>
        <w:spacing w:line="360" w:lineRule="auto"/>
        <w:ind w:firstLine="709"/>
        <w:jc w:val="both"/>
        <w:rPr>
          <w:rFonts w:ascii="Times New Roman" w:hAnsi="Times New Roman" w:cs="Times New Roman"/>
          <w:sz w:val="28"/>
          <w:szCs w:val="28"/>
          <w:lang w:val="uk-UA"/>
        </w:rPr>
      </w:pPr>
      <w:r w:rsidRPr="00F84F12">
        <w:rPr>
          <w:rFonts w:ascii="Times New Roman" w:hAnsi="Times New Roman" w:cs="Times New Roman"/>
          <w:sz w:val="28"/>
          <w:szCs w:val="28"/>
          <w:lang w:val="uk-UA"/>
        </w:rPr>
        <w:t>Використана нами модель атопічного процесу, яка досить широко застосовується для вивчення а</w:t>
      </w:r>
      <w:r w:rsidR="00F637F4">
        <w:rPr>
          <w:rFonts w:ascii="Times New Roman" w:hAnsi="Times New Roman" w:cs="Times New Roman"/>
          <w:sz w:val="28"/>
          <w:szCs w:val="28"/>
          <w:lang w:val="uk-UA"/>
        </w:rPr>
        <w:t xml:space="preserve">топії </w:t>
      </w:r>
      <w:r w:rsidR="00F637F4" w:rsidRPr="00F637F4">
        <w:rPr>
          <w:rFonts w:ascii="Times New Roman" w:hAnsi="Times New Roman" w:cs="Times New Roman"/>
          <w:sz w:val="28"/>
          <w:szCs w:val="28"/>
          <w:lang w:val="uk-UA"/>
        </w:rPr>
        <w:t>[</w:t>
      </w:r>
      <w:r w:rsidR="00F637F4">
        <w:rPr>
          <w:rFonts w:ascii="Times New Roman" w:hAnsi="Times New Roman" w:cs="Times New Roman"/>
          <w:sz w:val="28"/>
          <w:szCs w:val="28"/>
          <w:lang w:val="uk-UA"/>
        </w:rPr>
        <w:t>239</w:t>
      </w:r>
      <w:r w:rsidR="00F637F4" w:rsidRPr="00F637F4">
        <w:rPr>
          <w:rFonts w:ascii="Times New Roman" w:hAnsi="Times New Roman" w:cs="Times New Roman"/>
          <w:sz w:val="28"/>
          <w:szCs w:val="28"/>
          <w:lang w:val="uk-UA"/>
        </w:rPr>
        <w:t>]</w:t>
      </w:r>
      <w:r w:rsidR="005263C3">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при</w:t>
      </w:r>
      <w:r w:rsidR="005263C3">
        <w:rPr>
          <w:rFonts w:ascii="Times New Roman" w:hAnsi="Times New Roman" w:cs="Times New Roman"/>
          <w:sz w:val="28"/>
          <w:szCs w:val="28"/>
          <w:lang w:val="uk-UA"/>
        </w:rPr>
        <w:t>з</w:t>
      </w:r>
      <w:r w:rsidRPr="00F84F12">
        <w:rPr>
          <w:rFonts w:ascii="Times New Roman" w:hAnsi="Times New Roman" w:cs="Times New Roman"/>
          <w:sz w:val="28"/>
          <w:szCs w:val="28"/>
          <w:lang w:val="uk-UA"/>
        </w:rPr>
        <w:t>вела до появи пошкоджень</w:t>
      </w:r>
      <w:r>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характерних для даної патології</w:t>
      </w:r>
      <w:r>
        <w:rPr>
          <w:rFonts w:ascii="Times New Roman" w:hAnsi="Times New Roman" w:cs="Times New Roman"/>
          <w:sz w:val="28"/>
          <w:szCs w:val="28"/>
          <w:lang w:val="uk-UA"/>
        </w:rPr>
        <w:t>, яка визначає</w:t>
      </w:r>
      <w:r w:rsidRPr="00F84F12">
        <w:rPr>
          <w:rFonts w:ascii="Times New Roman" w:hAnsi="Times New Roman" w:cs="Times New Roman"/>
          <w:sz w:val="28"/>
          <w:szCs w:val="28"/>
          <w:lang w:val="uk-UA"/>
        </w:rPr>
        <w:t xml:space="preserve">ться вже при огляді ротової порожнини у вигляді наявності видимих пошкоджень слизової з наявністю вираженої набряклості слизової, </w:t>
      </w:r>
      <w:r>
        <w:rPr>
          <w:rFonts w:ascii="Times New Roman" w:hAnsi="Times New Roman" w:cs="Times New Roman"/>
          <w:sz w:val="28"/>
          <w:szCs w:val="28"/>
          <w:lang w:val="uk-UA"/>
        </w:rPr>
        <w:t>повнокрів’ям</w:t>
      </w:r>
      <w:r w:rsidRPr="00F84F12">
        <w:rPr>
          <w:rFonts w:ascii="Times New Roman" w:hAnsi="Times New Roman" w:cs="Times New Roman"/>
          <w:sz w:val="28"/>
          <w:szCs w:val="28"/>
          <w:lang w:val="uk-UA"/>
        </w:rPr>
        <w:t xml:space="preserve"> судин слизової</w:t>
      </w:r>
      <w:r>
        <w:rPr>
          <w:rFonts w:ascii="Times New Roman" w:hAnsi="Times New Roman" w:cs="Times New Roman"/>
          <w:sz w:val="28"/>
          <w:szCs w:val="28"/>
          <w:lang w:val="uk-UA"/>
        </w:rPr>
        <w:t xml:space="preserve"> оболонки</w:t>
      </w:r>
      <w:r w:rsidRPr="00F84F12">
        <w:rPr>
          <w:rFonts w:ascii="Times New Roman" w:hAnsi="Times New Roman" w:cs="Times New Roman"/>
          <w:sz w:val="28"/>
          <w:szCs w:val="28"/>
          <w:lang w:val="uk-UA"/>
        </w:rPr>
        <w:t xml:space="preserve"> з периваскулярними крововиливами, наявністю ерозивних дефектів.</w:t>
      </w:r>
    </w:p>
    <w:p w14:paraId="09DE9840" w14:textId="77777777"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Проведене гістологічне досл</w:t>
      </w:r>
      <w:r>
        <w:rPr>
          <w:rFonts w:ascii="Times New Roman" w:hAnsi="Times New Roman" w:cs="Times New Roman"/>
          <w:sz w:val="28"/>
          <w:szCs w:val="28"/>
          <w:lang w:val="uk-UA"/>
        </w:rPr>
        <w:t>ідження виявляє некробіотичні</w:t>
      </w:r>
      <w:r w:rsidRPr="00D81063">
        <w:rPr>
          <w:rFonts w:ascii="Times New Roman" w:hAnsi="Times New Roman" w:cs="Times New Roman"/>
          <w:sz w:val="28"/>
          <w:szCs w:val="28"/>
          <w:lang w:val="uk-UA"/>
        </w:rPr>
        <w:t xml:space="preserve"> процеси слизової </w:t>
      </w:r>
      <w:r>
        <w:rPr>
          <w:rFonts w:ascii="Times New Roman" w:hAnsi="Times New Roman" w:cs="Times New Roman"/>
          <w:sz w:val="28"/>
          <w:szCs w:val="28"/>
          <w:lang w:val="uk-UA"/>
        </w:rPr>
        <w:t>оболонки (</w:t>
      </w:r>
      <w:r w:rsidRPr="00D81063">
        <w:rPr>
          <w:rFonts w:ascii="Times New Roman" w:hAnsi="Times New Roman" w:cs="Times New Roman"/>
          <w:sz w:val="28"/>
          <w:szCs w:val="28"/>
          <w:lang w:val="uk-UA"/>
        </w:rPr>
        <w:t>до ерозійних уш</w:t>
      </w:r>
      <w:r>
        <w:rPr>
          <w:rFonts w:ascii="Times New Roman" w:hAnsi="Times New Roman" w:cs="Times New Roman"/>
          <w:sz w:val="28"/>
          <w:szCs w:val="28"/>
          <w:lang w:val="uk-UA"/>
        </w:rPr>
        <w:t>коджень). Додатковим критерієм, що свідчить</w:t>
      </w:r>
      <w:r w:rsidRPr="00D81063">
        <w:rPr>
          <w:rFonts w:ascii="Times New Roman" w:hAnsi="Times New Roman" w:cs="Times New Roman"/>
          <w:sz w:val="28"/>
          <w:szCs w:val="28"/>
          <w:lang w:val="uk-UA"/>
        </w:rPr>
        <w:t xml:space="preserve"> про успішність запропонованої нами моделі</w:t>
      </w:r>
      <w:r>
        <w:rPr>
          <w:rFonts w:ascii="Times New Roman" w:hAnsi="Times New Roman" w:cs="Times New Roman"/>
          <w:sz w:val="28"/>
          <w:szCs w:val="28"/>
          <w:lang w:val="uk-UA"/>
        </w:rPr>
        <w:t>,</w:t>
      </w:r>
      <w:r w:rsidRPr="00D81063">
        <w:rPr>
          <w:rFonts w:ascii="Times New Roman" w:hAnsi="Times New Roman" w:cs="Times New Roman"/>
          <w:sz w:val="28"/>
          <w:szCs w:val="28"/>
          <w:lang w:val="uk-UA"/>
        </w:rPr>
        <w:t xml:space="preserve"> можна роз</w:t>
      </w:r>
      <w:r>
        <w:rPr>
          <w:rFonts w:ascii="Times New Roman" w:hAnsi="Times New Roman" w:cs="Times New Roman"/>
          <w:sz w:val="28"/>
          <w:szCs w:val="28"/>
          <w:lang w:val="uk-UA"/>
        </w:rPr>
        <w:t>глядати результати пероксидазної реакції з індуцібельною</w:t>
      </w:r>
      <w:r w:rsidRPr="00D81063">
        <w:rPr>
          <w:rFonts w:ascii="Times New Roman" w:hAnsi="Times New Roman" w:cs="Times New Roman"/>
          <w:sz w:val="28"/>
          <w:szCs w:val="28"/>
          <w:lang w:val="uk-UA"/>
        </w:rPr>
        <w:t xml:space="preserve"> фракцією NO-</w:t>
      </w:r>
      <w:r>
        <w:rPr>
          <w:rFonts w:ascii="Times New Roman" w:hAnsi="Times New Roman" w:cs="Times New Roman"/>
          <w:sz w:val="28"/>
          <w:szCs w:val="28"/>
          <w:lang w:val="uk-UA"/>
        </w:rPr>
        <w:t>синтази, підтверджене цитофотометрічним</w:t>
      </w:r>
      <w:r w:rsidRPr="00D81063">
        <w:rPr>
          <w:rFonts w:ascii="Times New Roman" w:hAnsi="Times New Roman" w:cs="Times New Roman"/>
          <w:sz w:val="28"/>
          <w:szCs w:val="28"/>
          <w:lang w:val="uk-UA"/>
        </w:rPr>
        <w:t xml:space="preserve"> дослідженням, яке показує збільшення її активності в порівнянні з вихідними даними в групі інтактних тварин. Ще більш показовим є зіставлення препаратів забарвлених гем</w:t>
      </w:r>
      <w:r>
        <w:rPr>
          <w:rFonts w:ascii="Times New Roman" w:hAnsi="Times New Roman" w:cs="Times New Roman"/>
          <w:sz w:val="28"/>
          <w:szCs w:val="28"/>
          <w:lang w:val="uk-UA"/>
        </w:rPr>
        <w:t>атоксиліном і еозином, за ван Гізоном</w:t>
      </w:r>
      <w:r w:rsidRPr="00D81063">
        <w:rPr>
          <w:rFonts w:ascii="Times New Roman" w:hAnsi="Times New Roman" w:cs="Times New Roman"/>
          <w:sz w:val="28"/>
          <w:szCs w:val="28"/>
          <w:lang w:val="uk-UA"/>
        </w:rPr>
        <w:t xml:space="preserve"> з результа</w:t>
      </w:r>
      <w:r>
        <w:rPr>
          <w:rFonts w:ascii="Times New Roman" w:hAnsi="Times New Roman" w:cs="Times New Roman"/>
          <w:sz w:val="28"/>
          <w:szCs w:val="28"/>
          <w:lang w:val="uk-UA"/>
        </w:rPr>
        <w:t>тами імуногістохімічного дослідження</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 </w:t>
      </w:r>
      <w:r w:rsidRPr="00D81063">
        <w:rPr>
          <w:rFonts w:ascii="Times New Roman" w:hAnsi="Times New Roman" w:cs="Times New Roman"/>
          <w:sz w:val="28"/>
          <w:szCs w:val="28"/>
          <w:lang w:val="uk-UA"/>
        </w:rPr>
        <w:t>виявляється, що ступінь активності індуцібельной фракції NO-синтази найбільш виражена в зонах з найбільшими проявами запального процесу.</w:t>
      </w:r>
      <w:r>
        <w:rPr>
          <w:rFonts w:ascii="Times New Roman" w:hAnsi="Times New Roman" w:cs="Times New Roman"/>
          <w:sz w:val="28"/>
          <w:szCs w:val="28"/>
          <w:lang w:val="uk-UA"/>
        </w:rPr>
        <w:t xml:space="preserve"> </w:t>
      </w:r>
    </w:p>
    <w:p w14:paraId="3B838FC4" w14:textId="34830A68"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 xml:space="preserve">Підвищення активності синтази оксиду азоту в слизовій </w:t>
      </w:r>
      <w:r>
        <w:rPr>
          <w:rFonts w:ascii="Times New Roman" w:hAnsi="Times New Roman" w:cs="Times New Roman"/>
          <w:sz w:val="28"/>
          <w:szCs w:val="28"/>
          <w:lang w:val="uk-UA"/>
        </w:rPr>
        <w:t xml:space="preserve">оболонці </w:t>
      </w:r>
      <w:r w:rsidRPr="00D81063">
        <w:rPr>
          <w:rFonts w:ascii="Times New Roman" w:hAnsi="Times New Roman" w:cs="Times New Roman"/>
          <w:sz w:val="28"/>
          <w:szCs w:val="28"/>
          <w:lang w:val="uk-UA"/>
        </w:rPr>
        <w:t>ротової порожнини при атопічн</w:t>
      </w:r>
      <w:r>
        <w:rPr>
          <w:rFonts w:ascii="Times New Roman" w:hAnsi="Times New Roman" w:cs="Times New Roman"/>
          <w:sz w:val="28"/>
          <w:szCs w:val="28"/>
          <w:lang w:val="uk-UA"/>
        </w:rPr>
        <w:t>ому процесі, яке відзначається у нашій</w:t>
      </w:r>
      <w:r w:rsidRPr="00D81063">
        <w:rPr>
          <w:rFonts w:ascii="Times New Roman" w:hAnsi="Times New Roman" w:cs="Times New Roman"/>
          <w:sz w:val="28"/>
          <w:szCs w:val="28"/>
          <w:lang w:val="uk-UA"/>
        </w:rPr>
        <w:t xml:space="preserve"> роботі</w:t>
      </w:r>
      <w:r>
        <w:rPr>
          <w:rFonts w:ascii="Times New Roman" w:hAnsi="Times New Roman" w:cs="Times New Roman"/>
          <w:sz w:val="28"/>
          <w:szCs w:val="28"/>
          <w:lang w:val="uk-UA"/>
        </w:rPr>
        <w:t>,</w:t>
      </w:r>
      <w:r w:rsidRPr="00D81063">
        <w:rPr>
          <w:rFonts w:ascii="Times New Roman" w:hAnsi="Times New Roman" w:cs="Times New Roman"/>
          <w:sz w:val="28"/>
          <w:szCs w:val="28"/>
          <w:lang w:val="uk-UA"/>
        </w:rPr>
        <w:t xml:space="preserve"> поєднується з раніше опублікованими даними про підвищення NOs </w:t>
      </w:r>
      <w:r>
        <w:rPr>
          <w:rFonts w:ascii="Times New Roman" w:hAnsi="Times New Roman" w:cs="Times New Roman"/>
          <w:sz w:val="28"/>
          <w:szCs w:val="28"/>
          <w:lang w:val="uk-UA"/>
        </w:rPr>
        <w:t>в шкірних покривах при атопічному</w:t>
      </w:r>
      <w:r w:rsidRPr="00D81063">
        <w:rPr>
          <w:rFonts w:ascii="Times New Roman" w:hAnsi="Times New Roman" w:cs="Times New Roman"/>
          <w:sz w:val="28"/>
          <w:szCs w:val="28"/>
          <w:lang w:val="uk-UA"/>
        </w:rPr>
        <w:t xml:space="preserve"> дерматит</w:t>
      </w:r>
      <w:r>
        <w:rPr>
          <w:rFonts w:ascii="Times New Roman" w:hAnsi="Times New Roman" w:cs="Times New Roman"/>
          <w:sz w:val="28"/>
          <w:szCs w:val="28"/>
          <w:lang w:val="uk-UA"/>
        </w:rPr>
        <w:t>і за даними Kubo M, 2005</w:t>
      </w:r>
      <w:r w:rsidRPr="00D81063">
        <w:rPr>
          <w:rFonts w:ascii="Times New Roman" w:hAnsi="Times New Roman" w:cs="Times New Roman"/>
          <w:sz w:val="28"/>
          <w:szCs w:val="28"/>
          <w:lang w:val="uk-UA"/>
        </w:rPr>
        <w:t xml:space="preserve">, алергічних станах </w:t>
      </w:r>
      <w:r>
        <w:rPr>
          <w:rFonts w:ascii="Times New Roman" w:hAnsi="Times New Roman" w:cs="Times New Roman"/>
          <w:sz w:val="28"/>
          <w:szCs w:val="28"/>
          <w:lang w:val="uk-UA"/>
        </w:rPr>
        <w:t>за даними Ten Broeke R., 2006</w:t>
      </w:r>
      <w:r w:rsidRPr="00D81063">
        <w:rPr>
          <w:rFonts w:ascii="Times New Roman" w:hAnsi="Times New Roman" w:cs="Times New Roman"/>
          <w:sz w:val="28"/>
          <w:szCs w:val="28"/>
          <w:lang w:val="uk-UA"/>
        </w:rPr>
        <w:t>. При цьому, наші японські колеги вказують на підвищення обох фракцій синтази ок</w:t>
      </w:r>
      <w:r>
        <w:rPr>
          <w:rFonts w:ascii="Times New Roman" w:hAnsi="Times New Roman" w:cs="Times New Roman"/>
          <w:sz w:val="28"/>
          <w:szCs w:val="28"/>
          <w:lang w:val="uk-UA"/>
        </w:rPr>
        <w:t>сиду азоту в шкірі при атопічному</w:t>
      </w:r>
      <w:r w:rsidRPr="00D81063">
        <w:rPr>
          <w:rFonts w:ascii="Times New Roman" w:hAnsi="Times New Roman" w:cs="Times New Roman"/>
          <w:sz w:val="28"/>
          <w:szCs w:val="28"/>
          <w:lang w:val="uk-UA"/>
        </w:rPr>
        <w:t xml:space="preserve"> дерматит</w:t>
      </w:r>
      <w:r>
        <w:rPr>
          <w:rFonts w:ascii="Times New Roman" w:hAnsi="Times New Roman" w:cs="Times New Roman"/>
          <w:sz w:val="28"/>
          <w:szCs w:val="28"/>
          <w:lang w:val="uk-UA"/>
        </w:rPr>
        <w:t>і</w:t>
      </w:r>
      <w:r w:rsidRPr="00D81063">
        <w:rPr>
          <w:rFonts w:ascii="Times New Roman" w:hAnsi="Times New Roman" w:cs="Times New Roman"/>
          <w:sz w:val="28"/>
          <w:szCs w:val="28"/>
          <w:lang w:val="uk-UA"/>
        </w:rPr>
        <w:t>, у тому числі eNOs в судинній стінці, в той час як в нашому дослідженні ми бачимо незначне зниження цього показника. У той же час, M.</w:t>
      </w:r>
      <w:r w:rsidR="004669B2">
        <w:rPr>
          <w:rFonts w:ascii="Times New Roman" w:hAnsi="Times New Roman" w:cs="Times New Roman"/>
          <w:sz w:val="28"/>
          <w:szCs w:val="28"/>
          <w:lang w:val="uk-UA"/>
        </w:rPr>
        <w:t xml:space="preserve"> Kubo і співавтори [328</w:t>
      </w:r>
      <w:r w:rsidRPr="00D81063">
        <w:rPr>
          <w:rFonts w:ascii="Times New Roman" w:hAnsi="Times New Roman" w:cs="Times New Roman"/>
          <w:sz w:val="28"/>
          <w:szCs w:val="28"/>
          <w:lang w:val="uk-UA"/>
        </w:rPr>
        <w:t>] висувають гіпотезу про шляхи метаболізму NO при атопічних ураженнях шкіри.</w:t>
      </w:r>
      <w:r>
        <w:rPr>
          <w:rFonts w:ascii="Times New Roman" w:hAnsi="Times New Roman" w:cs="Times New Roman"/>
          <w:sz w:val="28"/>
          <w:szCs w:val="28"/>
          <w:lang w:val="uk-UA"/>
        </w:rPr>
        <w:t xml:space="preserve"> </w:t>
      </w:r>
      <w:r w:rsidRPr="00D81063">
        <w:rPr>
          <w:rFonts w:ascii="Times New Roman" w:hAnsi="Times New Roman" w:cs="Times New Roman"/>
          <w:sz w:val="28"/>
          <w:szCs w:val="28"/>
          <w:lang w:val="uk-UA"/>
        </w:rPr>
        <w:t xml:space="preserve">При гіперплазії епідермісу, придушення експресії нейрональної NOs призводить до зменшення продукції NO. В дермі, підвищується активність eNOs і iNOs з продукцією NO в основному за рахунок утворення реактивних форм азоту, що призводить до утворення нітротирозину. В цілому, можна </w:t>
      </w:r>
      <w:r>
        <w:rPr>
          <w:rFonts w:ascii="Times New Roman" w:hAnsi="Times New Roman" w:cs="Times New Roman"/>
          <w:sz w:val="28"/>
          <w:szCs w:val="28"/>
          <w:lang w:val="uk-UA"/>
        </w:rPr>
        <w:t>стверджувати про подібну картину</w:t>
      </w:r>
      <w:r w:rsidRPr="00D81063">
        <w:rPr>
          <w:rFonts w:ascii="Times New Roman" w:hAnsi="Times New Roman" w:cs="Times New Roman"/>
          <w:sz w:val="28"/>
          <w:szCs w:val="28"/>
          <w:lang w:val="uk-UA"/>
        </w:rPr>
        <w:t xml:space="preserve"> змін синтезу оксиду азоту при атопічних станах за рахунок активації насамперед iNOs, зокрема така ж картина як в нашому дослідженні в ротовій порожнині, в цитованій вище ро</w:t>
      </w:r>
      <w:r>
        <w:rPr>
          <w:rFonts w:ascii="Times New Roman" w:hAnsi="Times New Roman" w:cs="Times New Roman"/>
          <w:sz w:val="28"/>
          <w:szCs w:val="28"/>
          <w:lang w:val="uk-UA"/>
        </w:rPr>
        <w:t>боті в шкірі, в носовій слизовій оболонці при алергічному риніті</w:t>
      </w:r>
      <w:r w:rsidRPr="00D81063">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328</w:t>
      </w:r>
      <w:r w:rsidRPr="00D81063">
        <w:rPr>
          <w:rFonts w:ascii="Times New Roman" w:hAnsi="Times New Roman" w:cs="Times New Roman"/>
          <w:sz w:val="28"/>
          <w:szCs w:val="28"/>
          <w:lang w:val="uk-UA"/>
        </w:rPr>
        <w:t>].</w:t>
      </w:r>
    </w:p>
    <w:p w14:paraId="412F14BD" w14:textId="5721A65B" w:rsidR="00C90400"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виявлений сильний кореляційний</w:t>
      </w:r>
      <w:r w:rsidRPr="00D81063">
        <w:rPr>
          <w:rFonts w:ascii="Times New Roman" w:hAnsi="Times New Roman" w:cs="Times New Roman"/>
          <w:sz w:val="28"/>
          <w:szCs w:val="28"/>
          <w:lang w:val="uk-UA"/>
        </w:rPr>
        <w:t xml:space="preserve"> взаємозв'язок між iNOs і CD23, iNOs і CD20, можна стверджувати про активну участь оксиду </w:t>
      </w:r>
      <w:r>
        <w:rPr>
          <w:rFonts w:ascii="Times New Roman" w:hAnsi="Times New Roman" w:cs="Times New Roman"/>
          <w:sz w:val="28"/>
          <w:szCs w:val="28"/>
          <w:lang w:val="uk-UA"/>
        </w:rPr>
        <w:t>азоту в моделюванні гуморальної запальної відповіді, яка є провідною</w:t>
      </w:r>
      <w:r w:rsidRPr="00D81063">
        <w:rPr>
          <w:rFonts w:ascii="Times New Roman" w:hAnsi="Times New Roman" w:cs="Times New Roman"/>
          <w:sz w:val="28"/>
          <w:szCs w:val="28"/>
          <w:lang w:val="uk-UA"/>
        </w:rPr>
        <w:t xml:space="preserve"> при</w:t>
      </w:r>
      <w:r w:rsidR="000F165F">
        <w:rPr>
          <w:rFonts w:ascii="Times New Roman" w:hAnsi="Times New Roman" w:cs="Times New Roman"/>
          <w:sz w:val="28"/>
          <w:szCs w:val="28"/>
          <w:lang w:val="uk-UA"/>
        </w:rPr>
        <w:t xml:space="preserve"> виникненні атопічного процесу</w:t>
      </w:r>
      <w:r w:rsidRPr="00D81063">
        <w:rPr>
          <w:rFonts w:ascii="Times New Roman" w:hAnsi="Times New Roman" w:cs="Times New Roman"/>
          <w:sz w:val="28"/>
          <w:szCs w:val="28"/>
          <w:lang w:val="uk-UA"/>
        </w:rPr>
        <w:t>. Особливістю нашого дослідж</w:t>
      </w:r>
      <w:r>
        <w:rPr>
          <w:rFonts w:ascii="Times New Roman" w:hAnsi="Times New Roman" w:cs="Times New Roman"/>
          <w:sz w:val="28"/>
          <w:szCs w:val="28"/>
          <w:lang w:val="uk-UA"/>
        </w:rPr>
        <w:t>ення є виявлення NOs не тільки у</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тучних</w:t>
      </w:r>
      <w:r w:rsidRPr="00D81063">
        <w:rPr>
          <w:rFonts w:ascii="Times New Roman" w:hAnsi="Times New Roman" w:cs="Times New Roman"/>
          <w:sz w:val="28"/>
          <w:szCs w:val="28"/>
          <w:lang w:val="uk-UA"/>
        </w:rPr>
        <w:t xml:space="preserve"> клітках, які вважаються основним місцем </w:t>
      </w:r>
      <w:r w:rsidR="000F165F">
        <w:rPr>
          <w:rFonts w:ascii="Times New Roman" w:hAnsi="Times New Roman" w:cs="Times New Roman"/>
          <w:sz w:val="28"/>
          <w:szCs w:val="28"/>
          <w:lang w:val="uk-UA"/>
        </w:rPr>
        <w:t>продукції синтази оксиду азоту</w:t>
      </w:r>
      <w:r w:rsidRPr="00D810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63B7BE3" w14:textId="180A828C" w:rsidR="00C90400" w:rsidRDefault="00C90400" w:rsidP="00C90400">
      <w:pPr>
        <w:spacing w:line="360" w:lineRule="auto"/>
        <w:ind w:firstLine="709"/>
        <w:jc w:val="both"/>
        <w:rPr>
          <w:rFonts w:ascii="Times New Roman" w:hAnsi="Times New Roman" w:cs="Times New Roman"/>
          <w:sz w:val="28"/>
          <w:szCs w:val="28"/>
          <w:lang w:val="uk-UA"/>
        </w:rPr>
      </w:pPr>
      <w:r w:rsidRPr="00D81063">
        <w:rPr>
          <w:rFonts w:ascii="Times New Roman" w:hAnsi="Times New Roman" w:cs="Times New Roman"/>
          <w:sz w:val="28"/>
          <w:szCs w:val="28"/>
          <w:lang w:val="uk-UA"/>
        </w:rPr>
        <w:t xml:space="preserve">В цілому, можна </w:t>
      </w:r>
      <w:r>
        <w:rPr>
          <w:rFonts w:ascii="Times New Roman" w:hAnsi="Times New Roman" w:cs="Times New Roman"/>
          <w:sz w:val="28"/>
          <w:szCs w:val="28"/>
          <w:lang w:val="uk-UA"/>
        </w:rPr>
        <w:t>стверджувати про подібну картину</w:t>
      </w:r>
      <w:r w:rsidRPr="00D81063">
        <w:rPr>
          <w:rFonts w:ascii="Times New Roman" w:hAnsi="Times New Roman" w:cs="Times New Roman"/>
          <w:sz w:val="28"/>
          <w:szCs w:val="28"/>
          <w:lang w:val="uk-UA"/>
        </w:rPr>
        <w:t xml:space="preserve"> змін синтезу оксиду азоту при атопічних станах за рахунок активації насамперед iNOs, зокрема така ж картина як в нашому дослідженні в ротовій порожнині, в цитованій </w:t>
      </w:r>
      <w:r>
        <w:rPr>
          <w:rFonts w:ascii="Times New Roman" w:hAnsi="Times New Roman" w:cs="Times New Roman"/>
          <w:sz w:val="28"/>
          <w:szCs w:val="28"/>
          <w:lang w:val="uk-UA"/>
        </w:rPr>
        <w:t>вище роботі в шкірі, в слизовій оболонці</w:t>
      </w:r>
      <w:r w:rsidRPr="00D81063">
        <w:rPr>
          <w:rFonts w:ascii="Times New Roman" w:hAnsi="Times New Roman" w:cs="Times New Roman"/>
          <w:sz w:val="28"/>
          <w:szCs w:val="28"/>
          <w:lang w:val="uk-UA"/>
        </w:rPr>
        <w:t xml:space="preserve"> </w:t>
      </w:r>
      <w:r>
        <w:rPr>
          <w:rFonts w:ascii="Times New Roman" w:hAnsi="Times New Roman" w:cs="Times New Roman"/>
          <w:sz w:val="28"/>
          <w:szCs w:val="28"/>
          <w:lang w:val="uk-UA"/>
        </w:rPr>
        <w:t>носу при алергічному риніті</w:t>
      </w:r>
      <w:r w:rsidRPr="00D81063">
        <w:rPr>
          <w:rFonts w:ascii="Times New Roman" w:hAnsi="Times New Roman" w:cs="Times New Roman"/>
          <w:sz w:val="28"/>
          <w:szCs w:val="28"/>
          <w:lang w:val="uk-UA"/>
        </w:rPr>
        <w:t xml:space="preserve">. При цьому розподіл </w:t>
      </w:r>
      <w:r>
        <w:rPr>
          <w:rFonts w:ascii="Times New Roman" w:hAnsi="Times New Roman" w:cs="Times New Roman"/>
          <w:sz w:val="28"/>
          <w:szCs w:val="28"/>
          <w:lang w:val="uk-UA"/>
        </w:rPr>
        <w:t>ім</w:t>
      </w:r>
      <w:r w:rsidRPr="00D81063">
        <w:rPr>
          <w:rFonts w:ascii="Times New Roman" w:hAnsi="Times New Roman" w:cs="Times New Roman"/>
          <w:sz w:val="28"/>
          <w:szCs w:val="28"/>
          <w:lang w:val="uk-UA"/>
        </w:rPr>
        <w:t>унореактивности iNOs поєднується не тільки з клітинами запального ряду, але і з цитокератин-позитивними клітинами [</w:t>
      </w:r>
      <w:r w:rsidR="004669B2">
        <w:rPr>
          <w:rFonts w:ascii="Times New Roman" w:hAnsi="Times New Roman" w:cs="Times New Roman"/>
          <w:sz w:val="28"/>
          <w:szCs w:val="28"/>
          <w:lang w:val="uk-UA"/>
        </w:rPr>
        <w:t>327-329</w:t>
      </w:r>
      <w:r w:rsidRPr="00D81063">
        <w:rPr>
          <w:rFonts w:ascii="Times New Roman" w:hAnsi="Times New Roman" w:cs="Times New Roman"/>
          <w:sz w:val="28"/>
          <w:szCs w:val="28"/>
          <w:lang w:val="uk-UA"/>
        </w:rPr>
        <w:t xml:space="preserve">]. Для неепітеліальних популяцій з негативним цитокератин фарбуванням, </w:t>
      </w:r>
      <w:r>
        <w:rPr>
          <w:rFonts w:ascii="Times New Roman" w:hAnsi="Times New Roman" w:cs="Times New Roman"/>
          <w:sz w:val="28"/>
          <w:szCs w:val="28"/>
          <w:lang w:val="uk-UA"/>
        </w:rPr>
        <w:t>імунореактивні</w:t>
      </w:r>
      <w:r w:rsidRPr="00D81063">
        <w:rPr>
          <w:rFonts w:ascii="Times New Roman" w:hAnsi="Times New Roman" w:cs="Times New Roman"/>
          <w:sz w:val="28"/>
          <w:szCs w:val="28"/>
          <w:lang w:val="uk-UA"/>
        </w:rPr>
        <w:t>сть iNOs час від часу виявляється у відносно великих мононуклеарних клітинах, в той час як більшість інших клітин, включаючи малих лімфоцити і нейтрофіли пока</w:t>
      </w:r>
      <w:r w:rsidR="000F165F">
        <w:rPr>
          <w:rFonts w:ascii="Times New Roman" w:hAnsi="Times New Roman" w:cs="Times New Roman"/>
          <w:sz w:val="28"/>
          <w:szCs w:val="28"/>
          <w:lang w:val="uk-UA"/>
        </w:rPr>
        <w:t>зують відсутність iNOs реакції</w:t>
      </w:r>
      <w:r w:rsidRPr="00D810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30C9C83" w14:textId="16194048"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Одночасно є дані про зв'язок підвищення активності iNOs не тільки з клітинами запального ряду, але і з цитокератин-позитивними клітинами [</w:t>
      </w:r>
      <w:r w:rsidR="004669B2">
        <w:rPr>
          <w:rFonts w:ascii="Times New Roman" w:hAnsi="Times New Roman" w:cs="Times New Roman"/>
          <w:sz w:val="28"/>
          <w:szCs w:val="28"/>
          <w:lang w:val="ru-RU"/>
        </w:rPr>
        <w:t>330</w:t>
      </w:r>
      <w:r w:rsidRPr="00C22037">
        <w:rPr>
          <w:rFonts w:ascii="Times New Roman" w:hAnsi="Times New Roman" w:cs="Times New Roman"/>
          <w:sz w:val="28"/>
          <w:szCs w:val="28"/>
          <w:lang w:val="uk-UA"/>
        </w:rPr>
        <w:t>]. Для неепітеліальних популяцій з негатив</w:t>
      </w:r>
      <w:r>
        <w:rPr>
          <w:rFonts w:ascii="Times New Roman" w:hAnsi="Times New Roman" w:cs="Times New Roman"/>
          <w:sz w:val="28"/>
          <w:szCs w:val="28"/>
          <w:lang w:val="uk-UA"/>
        </w:rPr>
        <w:t>ним цитокератин фарбуванням, імунореактивні</w:t>
      </w:r>
      <w:r w:rsidRPr="00C22037">
        <w:rPr>
          <w:rFonts w:ascii="Times New Roman" w:hAnsi="Times New Roman" w:cs="Times New Roman"/>
          <w:sz w:val="28"/>
          <w:szCs w:val="28"/>
          <w:lang w:val="uk-UA"/>
        </w:rPr>
        <w:t>сть iNOs час від часу виявляється у відносно великих мононуклеарних клітинах, в той час як більшість інших клітин, включаючи малих лімфоцити і нейтрофіли пока</w:t>
      </w:r>
      <w:r w:rsidR="000F165F">
        <w:rPr>
          <w:rFonts w:ascii="Times New Roman" w:hAnsi="Times New Roman" w:cs="Times New Roman"/>
          <w:sz w:val="28"/>
          <w:szCs w:val="28"/>
          <w:lang w:val="uk-UA"/>
        </w:rPr>
        <w:t>зують відсутність iNOs реакції</w:t>
      </w:r>
      <w:r w:rsidRPr="00C22037">
        <w:rPr>
          <w:rFonts w:ascii="Times New Roman" w:hAnsi="Times New Roman" w:cs="Times New Roman"/>
          <w:sz w:val="28"/>
          <w:szCs w:val="28"/>
          <w:lang w:val="uk-UA"/>
        </w:rPr>
        <w:t>. Останнє, з огляду на розподіл білків CD23 і CD20, також поєднується з нашими результатами.</w:t>
      </w:r>
      <w:r>
        <w:rPr>
          <w:rFonts w:ascii="Times New Roman" w:hAnsi="Times New Roman" w:cs="Times New Roman"/>
          <w:sz w:val="28"/>
          <w:szCs w:val="28"/>
          <w:lang w:val="uk-UA"/>
        </w:rPr>
        <w:t xml:space="preserve"> </w:t>
      </w:r>
    </w:p>
    <w:p w14:paraId="45DD40C1" w14:textId="3D1CBD3E"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w:t>
      </w:r>
      <w:r w:rsidR="000F165F">
        <w:rPr>
          <w:rFonts w:ascii="Times New Roman" w:hAnsi="Times New Roman" w:cs="Times New Roman"/>
          <w:sz w:val="28"/>
          <w:szCs w:val="28"/>
          <w:lang w:val="uk-UA"/>
        </w:rPr>
        <w:t xml:space="preserve"> процесів, метаболічних розладів</w:t>
      </w:r>
      <w:r>
        <w:rPr>
          <w:rFonts w:ascii="Times New Roman" w:hAnsi="Times New Roman" w:cs="Times New Roman"/>
          <w:sz w:val="28"/>
          <w:szCs w:val="28"/>
          <w:lang w:val="uk-UA"/>
        </w:rPr>
        <w:t>,</w:t>
      </w:r>
      <w:r w:rsidRPr="00C22037">
        <w:rPr>
          <w:rFonts w:ascii="Times New Roman" w:hAnsi="Times New Roman" w:cs="Times New Roman"/>
          <w:sz w:val="28"/>
          <w:szCs w:val="28"/>
          <w:lang w:val="uk-UA"/>
        </w:rPr>
        <w:t xml:space="preserve"> у розвитку яких бере активну участь порушення обміну оксиду азоту.</w:t>
      </w:r>
    </w:p>
    <w:p w14:paraId="540A0CFF" w14:textId="2ED5065B"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 xml:space="preserve">Дані результати нашої роботи </w:t>
      </w:r>
      <w:r w:rsidR="00763FF8">
        <w:rPr>
          <w:rFonts w:ascii="Times New Roman" w:hAnsi="Times New Roman" w:cs="Times New Roman"/>
          <w:sz w:val="28"/>
          <w:szCs w:val="28"/>
          <w:lang w:val="uk-UA"/>
        </w:rPr>
        <w:t>корелюють</w:t>
      </w:r>
      <w:r w:rsidRPr="00C22037">
        <w:rPr>
          <w:rFonts w:ascii="Times New Roman" w:hAnsi="Times New Roman" w:cs="Times New Roman"/>
          <w:sz w:val="28"/>
          <w:szCs w:val="28"/>
          <w:lang w:val="uk-UA"/>
        </w:rPr>
        <w:t xml:space="preserve"> з раніше опублікованими даними про те, що при атопічних захворюваннях спостерігається підвищення активності оксиду азоту за рахунок підвищення саме індуцібельно</w:t>
      </w:r>
      <w:r w:rsidR="000F165F">
        <w:rPr>
          <w:rFonts w:ascii="Times New Roman" w:hAnsi="Times New Roman" w:cs="Times New Roman"/>
          <w:sz w:val="28"/>
          <w:szCs w:val="28"/>
          <w:lang w:val="uk-UA"/>
        </w:rPr>
        <w:t xml:space="preserve">й форми </w:t>
      </w:r>
      <w:r w:rsidRPr="00C22037">
        <w:rPr>
          <w:rFonts w:ascii="Times New Roman" w:hAnsi="Times New Roman" w:cs="Times New Roman"/>
          <w:sz w:val="28"/>
          <w:szCs w:val="28"/>
          <w:lang w:val="uk-UA"/>
        </w:rPr>
        <w:t>. Більш того, висловлюється припущення, що саме активність оксиду азоту може служити критерієм про його активності, оскільки дане захворювання характеризується наявністю періодів загострення і ремісії [</w:t>
      </w:r>
      <w:r w:rsidR="004669B2">
        <w:rPr>
          <w:rFonts w:ascii="Times New Roman" w:hAnsi="Times New Roman" w:cs="Times New Roman"/>
          <w:sz w:val="28"/>
          <w:szCs w:val="28"/>
          <w:lang w:val="uk-UA"/>
        </w:rPr>
        <w:t>331-334</w:t>
      </w:r>
      <w:r w:rsidR="00763FF8">
        <w:rPr>
          <w:rFonts w:ascii="Times New Roman" w:hAnsi="Times New Roman" w:cs="Times New Roman"/>
          <w:sz w:val="28"/>
          <w:szCs w:val="28"/>
          <w:lang w:val="uk-UA"/>
        </w:rPr>
        <w:t>]. В</w:t>
      </w:r>
      <w:r w:rsidRPr="00C22037">
        <w:rPr>
          <w:rFonts w:ascii="Times New Roman" w:hAnsi="Times New Roman" w:cs="Times New Roman"/>
          <w:sz w:val="28"/>
          <w:szCs w:val="28"/>
          <w:lang w:val="uk-UA"/>
        </w:rPr>
        <w:t>иявлення</w:t>
      </w:r>
      <w:r w:rsidR="00763FF8">
        <w:rPr>
          <w:rFonts w:ascii="Times New Roman" w:hAnsi="Times New Roman" w:cs="Times New Roman"/>
          <w:sz w:val="28"/>
          <w:szCs w:val="28"/>
          <w:lang w:val="uk-UA"/>
        </w:rPr>
        <w:t xml:space="preserve"> подібного</w:t>
      </w:r>
      <w:r w:rsidRPr="00C22037">
        <w:rPr>
          <w:rFonts w:ascii="Times New Roman" w:hAnsi="Times New Roman" w:cs="Times New Roman"/>
          <w:sz w:val="28"/>
          <w:szCs w:val="28"/>
          <w:lang w:val="uk-UA"/>
        </w:rPr>
        <w:t xml:space="preserve"> факту свідчить про те, що підвищення активності </w:t>
      </w:r>
      <w:r w:rsidR="00763FF8">
        <w:rPr>
          <w:rFonts w:ascii="Times New Roman" w:hAnsi="Times New Roman" w:cs="Times New Roman"/>
          <w:sz w:val="28"/>
          <w:szCs w:val="28"/>
          <w:lang w:val="uk-UA"/>
        </w:rPr>
        <w:t>оксиду азоту передує загостренню</w:t>
      </w:r>
      <w:r w:rsidRPr="00C22037">
        <w:rPr>
          <w:rFonts w:ascii="Times New Roman" w:hAnsi="Times New Roman" w:cs="Times New Roman"/>
          <w:sz w:val="28"/>
          <w:szCs w:val="28"/>
          <w:lang w:val="uk-UA"/>
        </w:rPr>
        <w:t>,</w:t>
      </w:r>
      <w:r w:rsidR="00763FF8">
        <w:rPr>
          <w:rFonts w:ascii="Times New Roman" w:hAnsi="Times New Roman" w:cs="Times New Roman"/>
          <w:sz w:val="28"/>
          <w:szCs w:val="28"/>
          <w:lang w:val="uk-UA"/>
        </w:rPr>
        <w:t xml:space="preserve"> що можна використовувати </w:t>
      </w:r>
      <w:r w:rsidRPr="00C22037">
        <w:rPr>
          <w:rFonts w:ascii="Times New Roman" w:hAnsi="Times New Roman" w:cs="Times New Roman"/>
          <w:sz w:val="28"/>
          <w:szCs w:val="28"/>
          <w:lang w:val="uk-UA"/>
        </w:rPr>
        <w:t>як обгрунтування для проведення профілактичних заході</w:t>
      </w:r>
      <w:r>
        <w:rPr>
          <w:rFonts w:ascii="Times New Roman" w:hAnsi="Times New Roman" w:cs="Times New Roman"/>
          <w:sz w:val="28"/>
          <w:szCs w:val="28"/>
          <w:lang w:val="uk-UA"/>
        </w:rPr>
        <w:t>в,</w:t>
      </w:r>
      <w:r w:rsidRPr="00C22037">
        <w:rPr>
          <w:rFonts w:ascii="Times New Roman" w:hAnsi="Times New Roman" w:cs="Times New Roman"/>
          <w:sz w:val="28"/>
          <w:szCs w:val="28"/>
          <w:lang w:val="uk-UA"/>
        </w:rPr>
        <w:t xml:space="preserve"> спрямованих на попередження розгорнутої клінічної картини.</w:t>
      </w:r>
    </w:p>
    <w:p w14:paraId="20A16728" w14:textId="1E49690F"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 xml:space="preserve">Безумовно, такі дані можуть суперечити </w:t>
      </w:r>
      <w:r>
        <w:rPr>
          <w:rFonts w:ascii="Times New Roman" w:hAnsi="Times New Roman" w:cs="Times New Roman"/>
          <w:sz w:val="28"/>
          <w:szCs w:val="28"/>
          <w:lang w:val="uk-UA"/>
        </w:rPr>
        <w:t>вже традиційним</w:t>
      </w:r>
      <w:r w:rsidRPr="00C22037">
        <w:rPr>
          <w:rFonts w:ascii="Times New Roman" w:hAnsi="Times New Roman" w:cs="Times New Roman"/>
          <w:sz w:val="28"/>
          <w:szCs w:val="28"/>
          <w:lang w:val="uk-UA"/>
        </w:rPr>
        <w:t xml:space="preserve"> поданням про сприятливий ефект оксиду азоту. Але в даному випадку, з огляду на, з одного боку, виключення генної детермінованості активності ендотеліально</w:t>
      </w:r>
      <w:r w:rsidR="000F165F">
        <w:rPr>
          <w:rFonts w:ascii="Times New Roman" w:hAnsi="Times New Roman" w:cs="Times New Roman"/>
          <w:sz w:val="28"/>
          <w:szCs w:val="28"/>
          <w:lang w:val="uk-UA"/>
        </w:rPr>
        <w:t>ї фракції синтази оксиду азоту</w:t>
      </w:r>
      <w:r w:rsidRPr="00C22037">
        <w:rPr>
          <w:rFonts w:ascii="Times New Roman" w:hAnsi="Times New Roman" w:cs="Times New Roman"/>
          <w:sz w:val="28"/>
          <w:szCs w:val="28"/>
          <w:lang w:val="uk-UA"/>
        </w:rPr>
        <w:t>, а з іншого, з огляду на наші дані про підвищення ак</w:t>
      </w:r>
      <w:r w:rsidR="000F165F">
        <w:rPr>
          <w:rFonts w:ascii="Times New Roman" w:hAnsi="Times New Roman" w:cs="Times New Roman"/>
          <w:sz w:val="28"/>
          <w:szCs w:val="28"/>
          <w:lang w:val="uk-UA"/>
        </w:rPr>
        <w:t>тивності тканинної індуцібельної</w:t>
      </w:r>
      <w:r w:rsidRPr="00C22037">
        <w:rPr>
          <w:rFonts w:ascii="Times New Roman" w:hAnsi="Times New Roman" w:cs="Times New Roman"/>
          <w:sz w:val="28"/>
          <w:szCs w:val="28"/>
          <w:lang w:val="uk-UA"/>
        </w:rPr>
        <w:t xml:space="preserve"> синтази оксиду азоту в поєднанні з відомими даними про нес</w:t>
      </w:r>
      <w:r w:rsidR="000F165F">
        <w:rPr>
          <w:rFonts w:ascii="Times New Roman" w:hAnsi="Times New Roman" w:cs="Times New Roman"/>
          <w:sz w:val="28"/>
          <w:szCs w:val="28"/>
          <w:lang w:val="uk-UA"/>
        </w:rPr>
        <w:t>пр</w:t>
      </w:r>
      <w:r w:rsidR="004669B2">
        <w:rPr>
          <w:rFonts w:ascii="Times New Roman" w:hAnsi="Times New Roman" w:cs="Times New Roman"/>
          <w:sz w:val="28"/>
          <w:szCs w:val="28"/>
          <w:lang w:val="uk-UA"/>
        </w:rPr>
        <w:t>иятливі наслідки для тканин [335</w:t>
      </w:r>
      <w:r w:rsidRPr="00C22037">
        <w:rPr>
          <w:rFonts w:ascii="Times New Roman" w:hAnsi="Times New Roman" w:cs="Times New Roman"/>
          <w:sz w:val="28"/>
          <w:szCs w:val="28"/>
          <w:lang w:val="uk-UA"/>
        </w:rPr>
        <w:t>]</w:t>
      </w:r>
      <w:r>
        <w:rPr>
          <w:rFonts w:ascii="Times New Roman" w:hAnsi="Times New Roman" w:cs="Times New Roman"/>
          <w:sz w:val="28"/>
          <w:szCs w:val="28"/>
          <w:lang w:val="uk-UA"/>
        </w:rPr>
        <w:t>, а</w:t>
      </w:r>
      <w:r w:rsidRPr="00C22037">
        <w:rPr>
          <w:rFonts w:ascii="Times New Roman" w:hAnsi="Times New Roman" w:cs="Times New Roman"/>
          <w:sz w:val="28"/>
          <w:szCs w:val="28"/>
          <w:lang w:val="uk-UA"/>
        </w:rPr>
        <w:t xml:space="preserve"> саме активності даної фракції</w:t>
      </w:r>
      <w:r>
        <w:rPr>
          <w:rFonts w:ascii="Times New Roman" w:hAnsi="Times New Roman" w:cs="Times New Roman"/>
          <w:sz w:val="28"/>
          <w:szCs w:val="28"/>
          <w:lang w:val="uk-UA"/>
        </w:rPr>
        <w:t>,</w:t>
      </w:r>
      <w:r w:rsidRPr="00C22037">
        <w:rPr>
          <w:rFonts w:ascii="Times New Roman" w:hAnsi="Times New Roman" w:cs="Times New Roman"/>
          <w:sz w:val="28"/>
          <w:szCs w:val="28"/>
          <w:lang w:val="uk-UA"/>
        </w:rPr>
        <w:t xml:space="preserve"> можна припустити, що саме підвищення активності iNOs веде до підвищення рівня NO при атопічному процесі, </w:t>
      </w:r>
      <w:r>
        <w:rPr>
          <w:rFonts w:ascii="Times New Roman" w:hAnsi="Times New Roman" w:cs="Times New Roman"/>
          <w:sz w:val="28"/>
          <w:szCs w:val="28"/>
          <w:lang w:val="uk-UA"/>
        </w:rPr>
        <w:t>при цьому супроводжуючи розвиток дистрофічно-некробіотичних процесів, в</w:t>
      </w:r>
      <w:r w:rsidRPr="00C22037">
        <w:rPr>
          <w:rFonts w:ascii="Times New Roman" w:hAnsi="Times New Roman" w:cs="Times New Roman"/>
          <w:sz w:val="28"/>
          <w:szCs w:val="28"/>
          <w:lang w:val="uk-UA"/>
        </w:rPr>
        <w:t xml:space="preserve">раховуючи </w:t>
      </w:r>
      <w:r>
        <w:rPr>
          <w:rFonts w:ascii="Times New Roman" w:hAnsi="Times New Roman" w:cs="Times New Roman"/>
          <w:sz w:val="28"/>
          <w:szCs w:val="28"/>
          <w:lang w:val="uk-UA"/>
        </w:rPr>
        <w:t>пошкоджуючі</w:t>
      </w:r>
      <w:r w:rsidRPr="00C22037">
        <w:rPr>
          <w:rFonts w:ascii="Times New Roman" w:hAnsi="Times New Roman" w:cs="Times New Roman"/>
          <w:sz w:val="28"/>
          <w:szCs w:val="28"/>
          <w:lang w:val="uk-UA"/>
        </w:rPr>
        <w:t xml:space="preserve"> властивості індуцібельной фракції оксиду азоту.</w:t>
      </w:r>
    </w:p>
    <w:p w14:paraId="6AFF3F2C" w14:textId="510ABACE" w:rsidR="00C90400" w:rsidRDefault="00C90400" w:rsidP="00C90400">
      <w:pPr>
        <w:spacing w:line="360" w:lineRule="auto"/>
        <w:ind w:firstLine="709"/>
        <w:jc w:val="both"/>
        <w:rPr>
          <w:rFonts w:ascii="Times New Roman" w:hAnsi="Times New Roman" w:cs="Times New Roman"/>
          <w:sz w:val="28"/>
          <w:szCs w:val="28"/>
          <w:lang w:val="uk-UA"/>
        </w:rPr>
      </w:pPr>
      <w:r w:rsidRPr="00C22037">
        <w:rPr>
          <w:rFonts w:ascii="Times New Roman" w:hAnsi="Times New Roman" w:cs="Times New Roman"/>
          <w:sz w:val="28"/>
          <w:szCs w:val="28"/>
          <w:lang w:val="uk-UA"/>
        </w:rPr>
        <w:t>Таким чином, описані нами морфологічні зміни в тканинах слизової оболонки ротової порожнини при</w:t>
      </w:r>
      <w:r>
        <w:rPr>
          <w:rFonts w:ascii="Times New Roman" w:hAnsi="Times New Roman" w:cs="Times New Roman"/>
          <w:sz w:val="28"/>
          <w:szCs w:val="28"/>
          <w:lang w:val="uk-UA"/>
        </w:rPr>
        <w:t>йнято розглядати як сформовані</w:t>
      </w:r>
      <w:r w:rsidRPr="00C22037">
        <w:rPr>
          <w:rFonts w:ascii="Times New Roman" w:hAnsi="Times New Roman" w:cs="Times New Roman"/>
          <w:sz w:val="28"/>
          <w:szCs w:val="28"/>
          <w:lang w:val="uk-UA"/>
        </w:rPr>
        <w:t xml:space="preserve"> запально-дистрофічні процеси з порушенням мікроциркуляції, метаболічних розладах у розвитку яких бере активну участь iNOs. При цьому нами виявлено ознаки</w:t>
      </w:r>
      <w:r>
        <w:rPr>
          <w:rFonts w:ascii="Times New Roman" w:hAnsi="Times New Roman" w:cs="Times New Roman"/>
          <w:sz w:val="28"/>
          <w:szCs w:val="28"/>
          <w:lang w:val="uk-UA"/>
        </w:rPr>
        <w:t>, які</w:t>
      </w:r>
      <w:r w:rsidRPr="00C22037">
        <w:rPr>
          <w:rFonts w:ascii="Times New Roman" w:hAnsi="Times New Roman" w:cs="Times New Roman"/>
          <w:sz w:val="28"/>
          <w:szCs w:val="28"/>
          <w:lang w:val="uk-UA"/>
        </w:rPr>
        <w:t xml:space="preserve"> свідчать про пошкодження слизової</w:t>
      </w:r>
      <w:r>
        <w:rPr>
          <w:rFonts w:ascii="Times New Roman" w:hAnsi="Times New Roman" w:cs="Times New Roman"/>
          <w:sz w:val="28"/>
          <w:szCs w:val="28"/>
          <w:lang w:val="uk-UA"/>
        </w:rPr>
        <w:t xml:space="preserve"> оболонки, що</w:t>
      </w:r>
      <w:r w:rsidRPr="00C22037">
        <w:rPr>
          <w:rFonts w:ascii="Times New Roman" w:hAnsi="Times New Roman" w:cs="Times New Roman"/>
          <w:sz w:val="28"/>
          <w:szCs w:val="28"/>
          <w:lang w:val="uk-UA"/>
        </w:rPr>
        <w:t xml:space="preserve"> реалізуються в зміні її морфофункціонального стану аж до появи ерозій, </w:t>
      </w:r>
      <w:r>
        <w:rPr>
          <w:rFonts w:ascii="Times New Roman" w:hAnsi="Times New Roman" w:cs="Times New Roman"/>
          <w:sz w:val="28"/>
          <w:szCs w:val="28"/>
          <w:lang w:val="uk-UA"/>
        </w:rPr>
        <w:t xml:space="preserve">характеризуються </w:t>
      </w:r>
      <w:r w:rsidRPr="00C22037">
        <w:rPr>
          <w:rFonts w:ascii="Times New Roman" w:hAnsi="Times New Roman" w:cs="Times New Roman"/>
          <w:sz w:val="28"/>
          <w:szCs w:val="28"/>
          <w:lang w:val="uk-UA"/>
        </w:rPr>
        <w:t>наявн</w:t>
      </w:r>
      <w:r>
        <w:rPr>
          <w:rFonts w:ascii="Times New Roman" w:hAnsi="Times New Roman" w:cs="Times New Roman"/>
          <w:sz w:val="28"/>
          <w:szCs w:val="28"/>
          <w:lang w:val="uk-UA"/>
        </w:rPr>
        <w:t>істю характерного для атопії</w:t>
      </w:r>
      <w:r w:rsidR="00ED5C73">
        <w:rPr>
          <w:rFonts w:ascii="Times New Roman" w:hAnsi="Times New Roman" w:cs="Times New Roman"/>
          <w:sz w:val="28"/>
          <w:szCs w:val="28"/>
          <w:lang w:val="uk-UA"/>
        </w:rPr>
        <w:t xml:space="preserve"> запального процесу</w:t>
      </w:r>
      <w:r w:rsidRPr="00C22037">
        <w:rPr>
          <w:rFonts w:ascii="Times New Roman" w:hAnsi="Times New Roman" w:cs="Times New Roman"/>
          <w:sz w:val="28"/>
          <w:szCs w:val="28"/>
          <w:lang w:val="uk-UA"/>
        </w:rPr>
        <w:t xml:space="preserve"> власної пластинки слизової оболонки.</w:t>
      </w:r>
    </w:p>
    <w:p w14:paraId="5D276C6D" w14:textId="77777777" w:rsidR="00C90400" w:rsidRDefault="00C90400" w:rsidP="00C90400">
      <w:pPr>
        <w:spacing w:line="360" w:lineRule="auto"/>
        <w:ind w:firstLine="709"/>
        <w:jc w:val="both"/>
        <w:rPr>
          <w:rFonts w:ascii="Times New Roman" w:hAnsi="Times New Roman" w:cs="Times New Roman"/>
          <w:sz w:val="28"/>
          <w:szCs w:val="28"/>
          <w:lang w:val="uk-UA"/>
        </w:rPr>
      </w:pPr>
      <w:r w:rsidRPr="00326822">
        <w:rPr>
          <w:rFonts w:ascii="Times New Roman" w:hAnsi="Times New Roman" w:cs="Times New Roman"/>
          <w:sz w:val="28"/>
          <w:szCs w:val="28"/>
          <w:lang w:val="uk-UA"/>
        </w:rPr>
        <w:t>Крім вже описаних змін в епітелії заслуговує на особливу увагу</w:t>
      </w:r>
      <w:r>
        <w:rPr>
          <w:rFonts w:ascii="Times New Roman" w:hAnsi="Times New Roman" w:cs="Times New Roman"/>
          <w:sz w:val="28"/>
          <w:szCs w:val="28"/>
          <w:lang w:val="uk-UA"/>
        </w:rPr>
        <w:t xml:space="preserve"> і спостережуваний нами погружни</w:t>
      </w:r>
      <w:r w:rsidRPr="00326822">
        <w:rPr>
          <w:rFonts w:ascii="Times New Roman" w:hAnsi="Times New Roman" w:cs="Times New Roman"/>
          <w:sz w:val="28"/>
          <w:szCs w:val="28"/>
          <w:lang w:val="uk-UA"/>
        </w:rPr>
        <w:t xml:space="preserve">й </w:t>
      </w:r>
      <w:r>
        <w:rPr>
          <w:rFonts w:ascii="Times New Roman" w:hAnsi="Times New Roman" w:cs="Times New Roman"/>
          <w:sz w:val="28"/>
          <w:szCs w:val="28"/>
          <w:lang w:val="uk-UA"/>
        </w:rPr>
        <w:t>ріст</w:t>
      </w:r>
      <w:r w:rsidRPr="00326822">
        <w:rPr>
          <w:rFonts w:ascii="Times New Roman" w:hAnsi="Times New Roman" w:cs="Times New Roman"/>
          <w:sz w:val="28"/>
          <w:szCs w:val="28"/>
          <w:lang w:val="uk-UA"/>
        </w:rPr>
        <w:t xml:space="preserve"> епітелію (про що свідчить наявність </w:t>
      </w:r>
      <w:r>
        <w:rPr>
          <w:rFonts w:ascii="Times New Roman" w:hAnsi="Times New Roman" w:cs="Times New Roman"/>
          <w:sz w:val="28"/>
          <w:szCs w:val="28"/>
          <w:lang w:val="uk-UA"/>
        </w:rPr>
        <w:t>акантотичних</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тяжів), який</w:t>
      </w:r>
      <w:r w:rsidRPr="00326822">
        <w:rPr>
          <w:rFonts w:ascii="Times New Roman" w:hAnsi="Times New Roman" w:cs="Times New Roman"/>
          <w:sz w:val="28"/>
          <w:szCs w:val="28"/>
          <w:lang w:val="uk-UA"/>
        </w:rPr>
        <w:t xml:space="preserve"> може привести до поділу імунного вогнища на фрагменти з подальшою загибеллю в</w:t>
      </w:r>
      <w:r>
        <w:rPr>
          <w:rFonts w:ascii="Times New Roman" w:hAnsi="Times New Roman" w:cs="Times New Roman"/>
          <w:sz w:val="28"/>
          <w:szCs w:val="28"/>
          <w:lang w:val="uk-UA"/>
        </w:rPr>
        <w:t xml:space="preserve"> них імунокомпетентних тканин. Вважається, що ділянки гинучих імунокомпетентних тканин</w:t>
      </w:r>
      <w:r w:rsidRPr="00326822">
        <w:rPr>
          <w:rFonts w:ascii="Times New Roman" w:hAnsi="Times New Roman" w:cs="Times New Roman"/>
          <w:sz w:val="28"/>
          <w:szCs w:val="28"/>
          <w:lang w:val="uk-UA"/>
        </w:rPr>
        <w:t xml:space="preserve"> видаляються з ясен запальними </w:t>
      </w:r>
      <w:r>
        <w:rPr>
          <w:rFonts w:ascii="Times New Roman" w:hAnsi="Times New Roman" w:cs="Times New Roman"/>
          <w:sz w:val="28"/>
          <w:szCs w:val="28"/>
          <w:lang w:val="uk-UA"/>
        </w:rPr>
        <w:t>розростаннями</w:t>
      </w:r>
      <w:r w:rsidRPr="00326822">
        <w:rPr>
          <w:rFonts w:ascii="Times New Roman" w:hAnsi="Times New Roman" w:cs="Times New Roman"/>
          <w:sz w:val="28"/>
          <w:szCs w:val="28"/>
          <w:lang w:val="uk-UA"/>
        </w:rPr>
        <w:t xml:space="preserve"> епітелію. Елімінаційний механізм поєднується з лейкоцитарно-деструктивним ефектом (накопиченням лейкоцитів в запальних </w:t>
      </w:r>
      <w:r>
        <w:rPr>
          <w:rFonts w:ascii="Times New Roman" w:hAnsi="Times New Roman" w:cs="Times New Roman"/>
          <w:sz w:val="28"/>
          <w:szCs w:val="28"/>
          <w:lang w:val="uk-UA"/>
        </w:rPr>
        <w:t>розростаннях</w:t>
      </w:r>
      <w:r w:rsidRPr="00326822">
        <w:rPr>
          <w:rFonts w:ascii="Times New Roman" w:hAnsi="Times New Roman" w:cs="Times New Roman"/>
          <w:sz w:val="28"/>
          <w:szCs w:val="28"/>
          <w:lang w:val="uk-UA"/>
        </w:rPr>
        <w:t xml:space="preserve"> епітелію з подальш</w:t>
      </w:r>
      <w:r>
        <w:rPr>
          <w:rFonts w:ascii="Times New Roman" w:hAnsi="Times New Roman" w:cs="Times New Roman"/>
          <w:sz w:val="28"/>
          <w:szCs w:val="28"/>
          <w:lang w:val="uk-UA"/>
        </w:rPr>
        <w:t>ою загибеллю епітелію і оточених</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ним імунокомпетентних тканин</w:t>
      </w:r>
      <w:r w:rsidRPr="00326822">
        <w:rPr>
          <w:rFonts w:ascii="Times New Roman" w:hAnsi="Times New Roman" w:cs="Times New Roman"/>
          <w:sz w:val="28"/>
          <w:szCs w:val="28"/>
          <w:lang w:val="uk-UA"/>
        </w:rPr>
        <w:t>).</w:t>
      </w:r>
    </w:p>
    <w:p w14:paraId="4C776BBC" w14:textId="71191A47" w:rsidR="00C90400"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Виявлені нами розлади міркоци</w:t>
      </w:r>
      <w:r w:rsidRPr="00326822">
        <w:rPr>
          <w:rFonts w:ascii="Times New Roman" w:hAnsi="Times New Roman" w:cs="Times New Roman"/>
          <w:sz w:val="28"/>
          <w:szCs w:val="28"/>
          <w:lang w:val="uk-UA"/>
        </w:rPr>
        <w:t>ркуляторного русла</w:t>
      </w:r>
      <w:r>
        <w:rPr>
          <w:rFonts w:ascii="Times New Roman" w:hAnsi="Times New Roman" w:cs="Times New Roman"/>
          <w:sz w:val="28"/>
          <w:szCs w:val="28"/>
          <w:lang w:val="uk-UA"/>
        </w:rPr>
        <w:t>, що</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стосуються</w:t>
      </w:r>
      <w:r w:rsidRPr="00326822">
        <w:rPr>
          <w:rFonts w:ascii="Times New Roman" w:hAnsi="Times New Roman" w:cs="Times New Roman"/>
          <w:sz w:val="28"/>
          <w:szCs w:val="28"/>
          <w:lang w:val="uk-UA"/>
        </w:rPr>
        <w:t xml:space="preserve"> </w:t>
      </w:r>
      <w:r>
        <w:rPr>
          <w:rFonts w:ascii="Times New Roman" w:hAnsi="Times New Roman" w:cs="Times New Roman"/>
          <w:sz w:val="28"/>
          <w:szCs w:val="28"/>
          <w:lang w:val="uk-UA"/>
        </w:rPr>
        <w:t>усіх його елементів</w:t>
      </w:r>
      <w:r w:rsidRPr="00326822">
        <w:rPr>
          <w:rFonts w:ascii="Times New Roman" w:hAnsi="Times New Roman" w:cs="Times New Roman"/>
          <w:sz w:val="28"/>
          <w:szCs w:val="28"/>
          <w:lang w:val="uk-UA"/>
        </w:rPr>
        <w:t xml:space="preserve"> з ураженням ендотелію (десквамація ендотеліоцитів, зниження кількості життєздатних ендотеліоцитів, оголення базальних мембран судин </w:t>
      </w:r>
      <w:r>
        <w:rPr>
          <w:rFonts w:ascii="Times New Roman" w:hAnsi="Times New Roman" w:cs="Times New Roman"/>
          <w:sz w:val="28"/>
          <w:szCs w:val="28"/>
          <w:lang w:val="uk-UA"/>
        </w:rPr>
        <w:t>мікроциркуляторного русла</w:t>
      </w:r>
      <w:r w:rsidRPr="00326822">
        <w:rPr>
          <w:rFonts w:ascii="Times New Roman" w:hAnsi="Times New Roman" w:cs="Times New Roman"/>
          <w:sz w:val="28"/>
          <w:szCs w:val="28"/>
          <w:lang w:val="uk-UA"/>
        </w:rPr>
        <w:t>)</w:t>
      </w:r>
      <w:r>
        <w:rPr>
          <w:rFonts w:ascii="Times New Roman" w:hAnsi="Times New Roman" w:cs="Times New Roman"/>
          <w:sz w:val="28"/>
          <w:szCs w:val="28"/>
          <w:lang w:val="uk-UA"/>
        </w:rPr>
        <w:t>, можуть лежати в основі ангіопатії</w:t>
      </w:r>
      <w:r w:rsidR="00AC26B8">
        <w:rPr>
          <w:rFonts w:ascii="Times New Roman" w:hAnsi="Times New Roman" w:cs="Times New Roman"/>
          <w:sz w:val="28"/>
          <w:szCs w:val="28"/>
          <w:lang w:val="uk-UA"/>
        </w:rPr>
        <w:t xml:space="preserve"> при пародонтиті</w:t>
      </w:r>
      <w:r w:rsidRPr="00326822">
        <w:rPr>
          <w:rFonts w:ascii="Times New Roman" w:hAnsi="Times New Roman" w:cs="Times New Roman"/>
          <w:sz w:val="28"/>
          <w:szCs w:val="28"/>
          <w:lang w:val="uk-UA"/>
        </w:rPr>
        <w:t xml:space="preserve">. При цьому ураження ендотелію деякими авторами розглядається як більш важлива ланка в патогенезі пародонтопатій, ніж дисбаланс лимфоцитарних </w:t>
      </w:r>
      <w:r>
        <w:rPr>
          <w:rFonts w:ascii="Times New Roman" w:hAnsi="Times New Roman" w:cs="Times New Roman"/>
          <w:sz w:val="28"/>
          <w:szCs w:val="28"/>
          <w:lang w:val="uk-UA"/>
        </w:rPr>
        <w:t>елементів</w:t>
      </w:r>
      <w:r w:rsidRPr="00326822">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336-338</w:t>
      </w:r>
      <w:r w:rsidRPr="00326822">
        <w:rPr>
          <w:rFonts w:ascii="Times New Roman" w:hAnsi="Times New Roman" w:cs="Times New Roman"/>
          <w:sz w:val="28"/>
          <w:szCs w:val="28"/>
          <w:lang w:val="uk-UA"/>
        </w:rPr>
        <w:t>], передуючи їй.</w:t>
      </w:r>
    </w:p>
    <w:p w14:paraId="1C6CF8D8" w14:textId="48596C58" w:rsidR="00C90400" w:rsidRPr="00326822" w:rsidRDefault="00C90400" w:rsidP="00C90400">
      <w:pPr>
        <w:spacing w:line="360" w:lineRule="auto"/>
        <w:ind w:firstLine="709"/>
        <w:jc w:val="both"/>
        <w:rPr>
          <w:rFonts w:ascii="Times New Roman" w:hAnsi="Times New Roman" w:cs="Times New Roman"/>
          <w:sz w:val="28"/>
          <w:szCs w:val="28"/>
          <w:lang w:val="uk-UA"/>
        </w:rPr>
      </w:pPr>
      <w:r w:rsidRPr="00326822">
        <w:rPr>
          <w:rFonts w:ascii="Times New Roman" w:hAnsi="Times New Roman" w:cs="Times New Roman"/>
          <w:sz w:val="28"/>
          <w:szCs w:val="28"/>
          <w:lang w:val="uk-UA"/>
        </w:rPr>
        <w:t>Раніше б</w:t>
      </w:r>
      <w:r>
        <w:rPr>
          <w:rFonts w:ascii="Times New Roman" w:hAnsi="Times New Roman" w:cs="Times New Roman"/>
          <w:sz w:val="28"/>
          <w:szCs w:val="28"/>
          <w:lang w:val="uk-UA"/>
        </w:rPr>
        <w:t>ули повідомлення про інактивацію поліморфноядерних лейкоцитів</w:t>
      </w:r>
      <w:r w:rsidRPr="00326822">
        <w:rPr>
          <w:rFonts w:ascii="Times New Roman" w:hAnsi="Times New Roman" w:cs="Times New Roman"/>
          <w:sz w:val="28"/>
          <w:szCs w:val="28"/>
          <w:lang w:val="uk-UA"/>
        </w:rPr>
        <w:t xml:space="preserve"> безп</w:t>
      </w:r>
      <w:r w:rsidR="00AC26B8">
        <w:rPr>
          <w:rFonts w:ascii="Times New Roman" w:hAnsi="Times New Roman" w:cs="Times New Roman"/>
          <w:sz w:val="28"/>
          <w:szCs w:val="28"/>
          <w:lang w:val="uk-UA"/>
        </w:rPr>
        <w:t>осередньо оксидом азоту</w:t>
      </w:r>
      <w:r w:rsidRPr="00326822">
        <w:rPr>
          <w:rFonts w:ascii="Times New Roman" w:hAnsi="Times New Roman" w:cs="Times New Roman"/>
          <w:sz w:val="28"/>
          <w:szCs w:val="28"/>
          <w:lang w:val="uk-UA"/>
        </w:rPr>
        <w:t>, а отримані нами дані свідчать про порушення</w:t>
      </w:r>
      <w:r>
        <w:rPr>
          <w:rFonts w:ascii="Times New Roman" w:hAnsi="Times New Roman" w:cs="Times New Roman"/>
          <w:sz w:val="28"/>
          <w:szCs w:val="28"/>
          <w:lang w:val="uk-UA"/>
        </w:rPr>
        <w:t xml:space="preserve"> його синтезу, що може бути однією</w:t>
      </w:r>
      <w:r w:rsidRPr="00326822">
        <w:rPr>
          <w:rFonts w:ascii="Times New Roman" w:hAnsi="Times New Roman" w:cs="Times New Roman"/>
          <w:sz w:val="28"/>
          <w:szCs w:val="28"/>
          <w:lang w:val="uk-UA"/>
        </w:rPr>
        <w:t xml:space="preserve"> із найбільш ранніх патогенетичних ланок розвитку захворювань пародонту на тлі дефіциту оксиду азоту, як одного з потужних ендогенних імуномодуляторів [</w:t>
      </w:r>
      <w:r w:rsidR="004669B2">
        <w:rPr>
          <w:rFonts w:ascii="Times New Roman" w:hAnsi="Times New Roman" w:cs="Times New Roman"/>
          <w:sz w:val="28"/>
          <w:szCs w:val="28"/>
          <w:lang w:val="uk-UA"/>
        </w:rPr>
        <w:t>339, 340</w:t>
      </w:r>
      <w:r w:rsidRPr="00326822">
        <w:rPr>
          <w:rFonts w:ascii="Times New Roman" w:hAnsi="Times New Roman" w:cs="Times New Roman"/>
          <w:sz w:val="28"/>
          <w:szCs w:val="28"/>
          <w:lang w:val="uk-UA"/>
        </w:rPr>
        <w:t xml:space="preserve">]. </w:t>
      </w:r>
    </w:p>
    <w:p w14:paraId="1B933F60" w14:textId="77777777" w:rsidR="00C90400" w:rsidRPr="00326822" w:rsidRDefault="00C90400" w:rsidP="00C904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Можливо</w:t>
      </w:r>
      <w:r w:rsidRPr="00326822">
        <w:rPr>
          <w:rFonts w:ascii="Times New Roman" w:hAnsi="Times New Roman" w:cs="Times New Roman"/>
          <w:sz w:val="28"/>
          <w:szCs w:val="28"/>
          <w:lang w:val="uk-UA"/>
        </w:rPr>
        <w:t xml:space="preserve"> припустити, що виявлене нами виражене пригнічення ефектів оксиду азоту в зоні ураження пародонту посилить розлади мікроциркуляції, тканинну дезорганізацію, руйнуван</w:t>
      </w:r>
      <w:r>
        <w:rPr>
          <w:rFonts w:ascii="Times New Roman" w:hAnsi="Times New Roman" w:cs="Times New Roman"/>
          <w:sz w:val="28"/>
          <w:szCs w:val="28"/>
          <w:lang w:val="uk-UA"/>
        </w:rPr>
        <w:t>ня ендотелію. При цьому останнє</w:t>
      </w:r>
      <w:r w:rsidRPr="00326822">
        <w:rPr>
          <w:rFonts w:ascii="Times New Roman" w:hAnsi="Times New Roman" w:cs="Times New Roman"/>
          <w:sz w:val="28"/>
          <w:szCs w:val="28"/>
          <w:lang w:val="uk-UA"/>
        </w:rPr>
        <w:t xml:space="preserve"> призведе до формування </w:t>
      </w:r>
      <w:r>
        <w:rPr>
          <w:rFonts w:ascii="Times New Roman" w:hAnsi="Times New Roman" w:cs="Times New Roman"/>
          <w:sz w:val="28"/>
          <w:szCs w:val="28"/>
          <w:lang w:val="uk-UA"/>
        </w:rPr>
        <w:t>патологічного</w:t>
      </w:r>
      <w:r w:rsidRPr="00326822">
        <w:rPr>
          <w:rFonts w:ascii="Times New Roman" w:hAnsi="Times New Roman" w:cs="Times New Roman"/>
          <w:sz w:val="28"/>
          <w:szCs w:val="28"/>
          <w:lang w:val="uk-UA"/>
        </w:rPr>
        <w:t xml:space="preserve"> кола, ще до більшого дефіциту оксиду азоту, і як наслідок, більш вираженим розладам тканинного гомеостазу з</w:t>
      </w:r>
      <w:r>
        <w:rPr>
          <w:rFonts w:ascii="Times New Roman" w:hAnsi="Times New Roman" w:cs="Times New Roman"/>
          <w:sz w:val="28"/>
          <w:szCs w:val="28"/>
          <w:lang w:val="uk-UA"/>
        </w:rPr>
        <w:t xml:space="preserve"> посилюванням запальних, некробіотичних</w:t>
      </w:r>
      <w:r w:rsidRPr="00326822">
        <w:rPr>
          <w:rFonts w:ascii="Times New Roman" w:hAnsi="Times New Roman" w:cs="Times New Roman"/>
          <w:sz w:val="28"/>
          <w:szCs w:val="28"/>
          <w:lang w:val="uk-UA"/>
        </w:rPr>
        <w:t xml:space="preserve">, імунних розладів. </w:t>
      </w:r>
    </w:p>
    <w:p w14:paraId="7AF31598" w14:textId="2DE7524E"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uk-UA"/>
        </w:rPr>
        <w:t xml:space="preserve">Відомо, що експресія </w:t>
      </w:r>
      <w:r w:rsidRPr="00326822">
        <w:rPr>
          <w:rFonts w:ascii="Times New Roman" w:hAnsi="Times New Roman" w:cs="Times New Roman"/>
          <w:sz w:val="28"/>
          <w:szCs w:val="28"/>
          <w:lang w:val="ru-RU"/>
        </w:rPr>
        <w:t>iNOS</w:t>
      </w:r>
      <w:r w:rsidRPr="00326822">
        <w:rPr>
          <w:rFonts w:ascii="Times New Roman" w:hAnsi="Times New Roman" w:cs="Times New Roman"/>
          <w:sz w:val="28"/>
          <w:szCs w:val="28"/>
          <w:lang w:val="uk-UA"/>
        </w:rPr>
        <w:t xml:space="preserve"> є важливою ланкою в патогенезі запалення</w:t>
      </w:r>
      <w:r>
        <w:rPr>
          <w:rFonts w:ascii="Times New Roman" w:hAnsi="Times New Roman" w:cs="Times New Roman"/>
          <w:sz w:val="28"/>
          <w:szCs w:val="28"/>
          <w:lang w:val="uk-UA"/>
        </w:rPr>
        <w:t>, що</w:t>
      </w:r>
      <w:r w:rsidRPr="00326822">
        <w:rPr>
          <w:rFonts w:ascii="Times New Roman" w:hAnsi="Times New Roman" w:cs="Times New Roman"/>
          <w:sz w:val="28"/>
          <w:szCs w:val="28"/>
          <w:lang w:val="uk-UA"/>
        </w:rPr>
        <w:t xml:space="preserve"> супроводжується синтезом великої кількості оксиду азоту, який володіє цитотоксичною дією для мікроорганізмів, і може надавати як шкідливий, так і благотворний вплив на тканини [</w:t>
      </w:r>
      <w:r w:rsidR="004669B2">
        <w:rPr>
          <w:rFonts w:ascii="Times New Roman" w:hAnsi="Times New Roman" w:cs="Times New Roman"/>
          <w:sz w:val="28"/>
          <w:szCs w:val="28"/>
          <w:lang w:val="uk-UA"/>
        </w:rPr>
        <w:t>341</w:t>
      </w:r>
      <w:r w:rsidRPr="00326822">
        <w:rPr>
          <w:rFonts w:ascii="Times New Roman" w:hAnsi="Times New Roman" w:cs="Times New Roman"/>
          <w:sz w:val="28"/>
          <w:szCs w:val="28"/>
          <w:lang w:val="uk-UA"/>
        </w:rPr>
        <w:t>]. Є відомості про те, що при моделюванні пародонтиту на щурах шляхом накладення лігатури р</w:t>
      </w:r>
      <w:r>
        <w:rPr>
          <w:rFonts w:ascii="Times New Roman" w:hAnsi="Times New Roman" w:cs="Times New Roman"/>
          <w:sz w:val="28"/>
          <w:szCs w:val="28"/>
          <w:lang w:val="uk-UA"/>
        </w:rPr>
        <w:t>езидентні бактерії слизової ясен</w:t>
      </w:r>
      <w:r w:rsidRPr="00326822">
        <w:rPr>
          <w:rFonts w:ascii="Times New Roman" w:hAnsi="Times New Roman" w:cs="Times New Roman"/>
          <w:sz w:val="28"/>
          <w:szCs w:val="28"/>
          <w:lang w:val="uk-UA"/>
        </w:rPr>
        <w:t xml:space="preserve"> стимулюють накопичення молекул азоту, що більш ви</w:t>
      </w:r>
      <w:r>
        <w:rPr>
          <w:rFonts w:ascii="Times New Roman" w:hAnsi="Times New Roman" w:cs="Times New Roman"/>
          <w:sz w:val="28"/>
          <w:szCs w:val="28"/>
          <w:lang w:val="uk-UA"/>
        </w:rPr>
        <w:t>ражено при формуванні бляшки</w:t>
      </w:r>
      <w:r w:rsidRPr="00326822">
        <w:rPr>
          <w:rFonts w:ascii="Times New Roman" w:hAnsi="Times New Roman" w:cs="Times New Roman"/>
          <w:sz w:val="28"/>
          <w:szCs w:val="28"/>
          <w:lang w:val="uk-UA"/>
        </w:rPr>
        <w:t xml:space="preserve">. </w:t>
      </w:r>
      <w:r w:rsidRPr="00326822">
        <w:rPr>
          <w:rFonts w:ascii="Times New Roman" w:hAnsi="Times New Roman" w:cs="Times New Roman"/>
          <w:sz w:val="28"/>
          <w:szCs w:val="28"/>
          <w:lang w:val="ru-RU"/>
        </w:rPr>
        <w:t>При цьому по ходу нашої роботи при моделюванні атопії активність iNOS підвищувалася, чого не відзначалося в контрольній групі. Джерелом iNOS при пародонтиті можуть сл</w:t>
      </w:r>
      <w:r w:rsidR="00AC26B8">
        <w:rPr>
          <w:rFonts w:ascii="Times New Roman" w:hAnsi="Times New Roman" w:cs="Times New Roman"/>
          <w:sz w:val="28"/>
          <w:szCs w:val="28"/>
          <w:lang w:val="ru-RU"/>
        </w:rPr>
        <w:t>ужити поліморфноядерні клітини</w:t>
      </w:r>
      <w:r w:rsidRPr="00326822">
        <w:rPr>
          <w:rFonts w:ascii="Times New Roman" w:hAnsi="Times New Roman" w:cs="Times New Roman"/>
          <w:sz w:val="28"/>
          <w:szCs w:val="28"/>
          <w:lang w:val="ru-RU"/>
        </w:rPr>
        <w:t xml:space="preserve"> і макрофаги [</w:t>
      </w:r>
      <w:r w:rsidR="004669B2">
        <w:rPr>
          <w:rFonts w:ascii="Times New Roman" w:hAnsi="Times New Roman" w:cs="Times New Roman"/>
          <w:sz w:val="28"/>
          <w:szCs w:val="28"/>
          <w:lang w:val="ru-RU"/>
        </w:rPr>
        <w:t>342</w:t>
      </w:r>
      <w:r w:rsidRPr="00326822">
        <w:rPr>
          <w:rFonts w:ascii="Times New Roman" w:hAnsi="Times New Roman" w:cs="Times New Roman"/>
          <w:sz w:val="28"/>
          <w:szCs w:val="28"/>
          <w:lang w:val="ru-RU"/>
        </w:rPr>
        <w:t xml:space="preserve">], кількість яких </w:t>
      </w:r>
      <w:r>
        <w:rPr>
          <w:rFonts w:ascii="Times New Roman" w:hAnsi="Times New Roman" w:cs="Times New Roman"/>
          <w:sz w:val="28"/>
          <w:szCs w:val="28"/>
          <w:lang w:val="ru-RU"/>
        </w:rPr>
        <w:t>також збільшується. З огляду на</w:t>
      </w:r>
      <w:r w:rsidRPr="00326822">
        <w:rPr>
          <w:rFonts w:ascii="Times New Roman" w:hAnsi="Times New Roman" w:cs="Times New Roman"/>
          <w:sz w:val="28"/>
          <w:szCs w:val="28"/>
          <w:lang w:val="ru-RU"/>
        </w:rPr>
        <w:t xml:space="preserve"> отриману нами картину розподілу синтази оксиду азоту як при моделюванні атопії, так і в ході лікування, ми можемо підтвердити описаний механізм участі оксиду азоту в імунн</w:t>
      </w:r>
      <w:r>
        <w:rPr>
          <w:rFonts w:ascii="Times New Roman" w:hAnsi="Times New Roman" w:cs="Times New Roman"/>
          <w:sz w:val="28"/>
          <w:szCs w:val="28"/>
          <w:lang w:val="ru-RU"/>
        </w:rPr>
        <w:t>ій відповіді і при вивченні досліджуваної</w:t>
      </w:r>
      <w:r w:rsidRPr="00326822">
        <w:rPr>
          <w:rFonts w:ascii="Times New Roman" w:hAnsi="Times New Roman" w:cs="Times New Roman"/>
          <w:sz w:val="28"/>
          <w:szCs w:val="28"/>
          <w:lang w:val="ru-RU"/>
        </w:rPr>
        <w:t xml:space="preserve"> нами патології. </w:t>
      </w:r>
    </w:p>
    <w:p w14:paraId="5A90729C" w14:textId="7BBF00C1" w:rsidR="00C90400" w:rsidRPr="00D137B3" w:rsidRDefault="00C90400" w:rsidP="00C9040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Виявлена</w:t>
      </w:r>
      <w:r w:rsidRPr="00D137B3">
        <w:rPr>
          <w:rFonts w:ascii="Times New Roman" w:hAnsi="Times New Roman" w:cs="Times New Roman"/>
          <w:sz w:val="28"/>
          <w:szCs w:val="28"/>
          <w:lang w:val="ru-RU"/>
        </w:rPr>
        <w:t xml:space="preserve"> в нашому дослідженні зміна активності ендотеліальної синтази оксиду азоту при моделюванні і лікуванні з пери</w:t>
      </w:r>
      <w:r>
        <w:rPr>
          <w:rFonts w:ascii="Times New Roman" w:hAnsi="Times New Roman" w:cs="Times New Roman"/>
          <w:sz w:val="28"/>
          <w:szCs w:val="28"/>
          <w:lang w:val="ru-RU"/>
        </w:rPr>
        <w:t>- і інтраваскулярній в інтактній</w:t>
      </w:r>
      <w:r w:rsidRPr="00D137B3">
        <w:rPr>
          <w:rFonts w:ascii="Times New Roman" w:hAnsi="Times New Roman" w:cs="Times New Roman"/>
          <w:sz w:val="28"/>
          <w:szCs w:val="28"/>
          <w:lang w:val="ru-RU"/>
        </w:rPr>
        <w:t xml:space="preserve"> групі, з пригніченням в</w:t>
      </w:r>
      <w:r>
        <w:rPr>
          <w:rFonts w:ascii="Times New Roman" w:hAnsi="Times New Roman" w:cs="Times New Roman"/>
          <w:sz w:val="28"/>
          <w:szCs w:val="28"/>
          <w:lang w:val="ru-RU"/>
        </w:rPr>
        <w:t xml:space="preserve"> групі моделювання і відновленні в групі, де було проведене лікування,</w:t>
      </w:r>
      <w:r w:rsidRPr="00D137B3">
        <w:rPr>
          <w:rFonts w:ascii="Times New Roman" w:hAnsi="Times New Roman" w:cs="Times New Roman"/>
          <w:sz w:val="28"/>
          <w:szCs w:val="28"/>
          <w:lang w:val="ru-RU"/>
        </w:rPr>
        <w:t xml:space="preserve"> можуть бути пояснені відсутністю у наших тварин місцевих джерел запальних процес</w:t>
      </w:r>
      <w:r>
        <w:rPr>
          <w:rFonts w:ascii="Times New Roman" w:hAnsi="Times New Roman" w:cs="Times New Roman"/>
          <w:sz w:val="28"/>
          <w:szCs w:val="28"/>
          <w:lang w:val="ru-RU"/>
        </w:rPr>
        <w:t>ів (зубні відкладення та інші</w:t>
      </w:r>
      <w:r w:rsidRPr="00D137B3">
        <w:rPr>
          <w:rFonts w:ascii="Times New Roman" w:hAnsi="Times New Roman" w:cs="Times New Roman"/>
          <w:sz w:val="28"/>
          <w:szCs w:val="28"/>
          <w:lang w:val="ru-RU"/>
        </w:rPr>
        <w:t xml:space="preserve">), і як наслідок, відсутністю реактивної активації еNOS і iNOS на початку експерименту. </w:t>
      </w:r>
    </w:p>
    <w:p w14:paraId="7289B764" w14:textId="77777777"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Наступний запуск безпосереднього запальних механізмів по ходу експерименту з н</w:t>
      </w:r>
      <w:r>
        <w:rPr>
          <w:rFonts w:ascii="Times New Roman" w:hAnsi="Times New Roman" w:cs="Times New Roman"/>
          <w:sz w:val="28"/>
          <w:szCs w:val="28"/>
          <w:lang w:val="ru-RU"/>
        </w:rPr>
        <w:t>аявністю дисбалансу лімфоцитарних</w:t>
      </w:r>
      <w:r w:rsidRPr="00326822">
        <w:rPr>
          <w:rFonts w:ascii="Times New Roman" w:hAnsi="Times New Roman" w:cs="Times New Roman"/>
          <w:sz w:val="28"/>
          <w:szCs w:val="28"/>
          <w:lang w:val="ru-RU"/>
        </w:rPr>
        <w:t xml:space="preserve"> елементів і пригніченням синтезу оксиду азоту ендотеліальними структурами при</w:t>
      </w:r>
      <w:r>
        <w:rPr>
          <w:rFonts w:ascii="Times New Roman" w:hAnsi="Times New Roman" w:cs="Times New Roman"/>
          <w:sz w:val="28"/>
          <w:szCs w:val="28"/>
          <w:lang w:val="ru-RU"/>
        </w:rPr>
        <w:t>з</w:t>
      </w:r>
      <w:r w:rsidRPr="00326822">
        <w:rPr>
          <w:rFonts w:ascii="Times New Roman" w:hAnsi="Times New Roman" w:cs="Times New Roman"/>
          <w:sz w:val="28"/>
          <w:szCs w:val="28"/>
          <w:lang w:val="ru-RU"/>
        </w:rPr>
        <w:t xml:space="preserve">вели до зміни локалізації основних виробників синтази оксиду азоту. </w:t>
      </w:r>
    </w:p>
    <w:p w14:paraId="284D66AC" w14:textId="387DE6D4"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Однією з характерних рис гістологічної картини при атопії є еозінофільно- лимфоцитарно - плазмоцитарна інфільтрація власної пластинки, особливо посилена міграція лейкоцитів, накопичення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w:t>
      </w:r>
      <w:r w:rsidR="004669B2">
        <w:rPr>
          <w:rFonts w:ascii="Times New Roman" w:hAnsi="Times New Roman" w:cs="Times New Roman"/>
          <w:sz w:val="28"/>
          <w:szCs w:val="28"/>
          <w:lang w:val="ru-RU"/>
        </w:rPr>
        <w:t>326, 343</w:t>
      </w:r>
      <w:r w:rsidRPr="00326822">
        <w:rPr>
          <w:rFonts w:ascii="Times New Roman" w:hAnsi="Times New Roman" w:cs="Times New Roman"/>
          <w:sz w:val="28"/>
          <w:szCs w:val="28"/>
          <w:lang w:val="ru-RU"/>
        </w:rPr>
        <w:t>]. Розібратися в клітинному складі при пародонтопатії досить складно, в зв'язку з залученням різних патогенетичних механізмів і відповідно різних агентів в па</w:t>
      </w:r>
      <w:r>
        <w:rPr>
          <w:rFonts w:ascii="Times New Roman" w:hAnsi="Times New Roman" w:cs="Times New Roman"/>
          <w:sz w:val="28"/>
          <w:szCs w:val="28"/>
          <w:lang w:val="ru-RU"/>
        </w:rPr>
        <w:t>тологічний процес.</w:t>
      </w:r>
      <w:r w:rsidRPr="00326822">
        <w:rPr>
          <w:rFonts w:ascii="Times New Roman" w:hAnsi="Times New Roman" w:cs="Times New Roman"/>
          <w:sz w:val="28"/>
          <w:szCs w:val="28"/>
          <w:lang w:val="ru-RU"/>
        </w:rPr>
        <w:t xml:space="preserve"> Важливими видаються зміни</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виявлені </w:t>
      </w:r>
      <w:r>
        <w:rPr>
          <w:rFonts w:ascii="Times New Roman" w:hAnsi="Times New Roman" w:cs="Times New Roman"/>
          <w:sz w:val="28"/>
          <w:szCs w:val="28"/>
          <w:lang w:val="ru-RU"/>
        </w:rPr>
        <w:t>у</w:t>
      </w:r>
      <w:r w:rsidRPr="00326822">
        <w:rPr>
          <w:rFonts w:ascii="Times New Roman" w:hAnsi="Times New Roman" w:cs="Times New Roman"/>
          <w:sz w:val="28"/>
          <w:szCs w:val="28"/>
          <w:lang w:val="ru-RU"/>
        </w:rPr>
        <w:t xml:space="preserve"> морфофункциональном</w:t>
      </w:r>
      <w:r>
        <w:rPr>
          <w:rFonts w:ascii="Times New Roman" w:hAnsi="Times New Roman" w:cs="Times New Roman"/>
          <w:sz w:val="28"/>
          <w:szCs w:val="28"/>
          <w:lang w:val="ru-RU"/>
        </w:rPr>
        <w:t>у</w:t>
      </w:r>
      <w:r w:rsidRPr="00326822">
        <w:rPr>
          <w:rFonts w:ascii="Times New Roman" w:hAnsi="Times New Roman" w:cs="Times New Roman"/>
          <w:sz w:val="28"/>
          <w:szCs w:val="28"/>
          <w:lang w:val="ru-RU"/>
        </w:rPr>
        <w:t xml:space="preserve"> стані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з огляду на їх інтегруючу роль в підтримці місцевого імунного гомеостазу. </w:t>
      </w:r>
      <w:r>
        <w:rPr>
          <w:rFonts w:ascii="Times New Roman" w:hAnsi="Times New Roman" w:cs="Times New Roman"/>
          <w:sz w:val="28"/>
          <w:szCs w:val="28"/>
          <w:lang w:val="ru-RU"/>
        </w:rPr>
        <w:t>Тучн</w:t>
      </w:r>
      <w:r>
        <w:rPr>
          <w:rFonts w:ascii="Times New Roman" w:hAnsi="Times New Roman" w:cs="Times New Roman"/>
          <w:sz w:val="28"/>
          <w:szCs w:val="28"/>
          <w:lang w:val="uk-UA"/>
        </w:rPr>
        <w:t>і</w:t>
      </w:r>
      <w:r w:rsidRPr="00326822">
        <w:rPr>
          <w:rFonts w:ascii="Times New Roman" w:hAnsi="Times New Roman" w:cs="Times New Roman"/>
          <w:sz w:val="28"/>
          <w:szCs w:val="28"/>
          <w:lang w:val="ru-RU"/>
        </w:rPr>
        <w:t xml:space="preserve"> клітини - рухливі секреторні клітини, що містять гранули, розташовуються переважно близько ендотелію мікроциркуляторного русла в слизовій ротової порожнини </w:t>
      </w:r>
      <w:r>
        <w:rPr>
          <w:rFonts w:ascii="Times New Roman" w:hAnsi="Times New Roman" w:cs="Times New Roman"/>
          <w:sz w:val="28"/>
          <w:szCs w:val="28"/>
          <w:lang w:val="ru-RU"/>
        </w:rPr>
        <w:t>і пульпі зуба. Вважається, що ф</w:t>
      </w:r>
      <w:r w:rsidRPr="00326822">
        <w:rPr>
          <w:rFonts w:ascii="Times New Roman" w:hAnsi="Times New Roman" w:cs="Times New Roman"/>
          <w:sz w:val="28"/>
          <w:szCs w:val="28"/>
          <w:lang w:val="ru-RU"/>
        </w:rPr>
        <w:t xml:space="preserve">ерментний профіль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ротової порожнини відповідає такому в шкірі, з продукцією більшістю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таких же біо</w:t>
      </w:r>
      <w:r w:rsidR="00EA5D82">
        <w:rPr>
          <w:rFonts w:ascii="Times New Roman" w:hAnsi="Times New Roman" w:cs="Times New Roman"/>
          <w:sz w:val="28"/>
          <w:szCs w:val="28"/>
          <w:lang w:val="ru-RU"/>
        </w:rPr>
        <w:t>логічно активних речовин. Тучні</w:t>
      </w:r>
      <w:r w:rsidRPr="00326822">
        <w:rPr>
          <w:rFonts w:ascii="Times New Roman" w:hAnsi="Times New Roman" w:cs="Times New Roman"/>
          <w:sz w:val="28"/>
          <w:szCs w:val="28"/>
          <w:lang w:val="ru-RU"/>
        </w:rPr>
        <w:t xml:space="preserve"> клітини ротової порожнини в своїх гран</w:t>
      </w:r>
      <w:r>
        <w:rPr>
          <w:rFonts w:ascii="Times New Roman" w:hAnsi="Times New Roman" w:cs="Times New Roman"/>
          <w:sz w:val="28"/>
          <w:szCs w:val="28"/>
          <w:lang w:val="ru-RU"/>
        </w:rPr>
        <w:t>улах містять прозапальний цитокі</w:t>
      </w:r>
      <w:r w:rsidRPr="00326822">
        <w:rPr>
          <w:rFonts w:ascii="Times New Roman" w:hAnsi="Times New Roman" w:cs="Times New Roman"/>
          <w:sz w:val="28"/>
          <w:szCs w:val="28"/>
          <w:lang w:val="ru-RU"/>
        </w:rPr>
        <w:t xml:space="preserve">н, вивільнення якого сприяє інфільтрації лейкоцитів при </w:t>
      </w:r>
      <w:r>
        <w:rPr>
          <w:rFonts w:ascii="Times New Roman" w:hAnsi="Times New Roman" w:cs="Times New Roman"/>
          <w:sz w:val="28"/>
          <w:szCs w:val="28"/>
          <w:lang w:val="ru-RU"/>
        </w:rPr>
        <w:t>розвитку</w:t>
      </w:r>
      <w:r w:rsidRPr="00326822">
        <w:rPr>
          <w:rFonts w:ascii="Times New Roman" w:hAnsi="Times New Roman" w:cs="Times New Roman"/>
          <w:sz w:val="28"/>
          <w:szCs w:val="28"/>
          <w:lang w:val="ru-RU"/>
        </w:rPr>
        <w:t xml:space="preserve"> запальних змін при таких станах</w:t>
      </w:r>
      <w:r>
        <w:rPr>
          <w:rFonts w:ascii="Times New Roman" w:hAnsi="Times New Roman" w:cs="Times New Roman"/>
          <w:sz w:val="28"/>
          <w:szCs w:val="28"/>
          <w:lang w:val="ru-RU"/>
        </w:rPr>
        <w:t>, як плоскоклітинний лі</w:t>
      </w:r>
      <w:r w:rsidRPr="00326822">
        <w:rPr>
          <w:rFonts w:ascii="Times New Roman" w:hAnsi="Times New Roman" w:cs="Times New Roman"/>
          <w:sz w:val="28"/>
          <w:szCs w:val="28"/>
          <w:lang w:val="ru-RU"/>
        </w:rPr>
        <w:t xml:space="preserve">шай, </w:t>
      </w:r>
      <w:r>
        <w:rPr>
          <w:rFonts w:ascii="Times New Roman" w:hAnsi="Times New Roman" w:cs="Times New Roman"/>
          <w:sz w:val="28"/>
          <w:szCs w:val="28"/>
          <w:lang w:val="ru-RU"/>
        </w:rPr>
        <w:t>гінгівіт, пульпіт, периапікальн</w:t>
      </w:r>
      <w:r w:rsidRPr="00326822">
        <w:rPr>
          <w:rFonts w:ascii="Times New Roman" w:hAnsi="Times New Roman" w:cs="Times New Roman"/>
          <w:sz w:val="28"/>
          <w:szCs w:val="28"/>
          <w:lang w:val="ru-RU"/>
        </w:rPr>
        <w:t>е запалення, шляхом індукції молекул</w:t>
      </w:r>
      <w:r>
        <w:rPr>
          <w:rFonts w:ascii="Times New Roman" w:hAnsi="Times New Roman" w:cs="Times New Roman"/>
          <w:sz w:val="28"/>
          <w:szCs w:val="28"/>
          <w:lang w:val="ru-RU"/>
        </w:rPr>
        <w:t>, що</w:t>
      </w:r>
      <w:r w:rsidRPr="00326822">
        <w:rPr>
          <w:rFonts w:ascii="Times New Roman" w:hAnsi="Times New Roman" w:cs="Times New Roman"/>
          <w:sz w:val="28"/>
          <w:szCs w:val="28"/>
          <w:lang w:val="ru-RU"/>
        </w:rPr>
        <w:t xml:space="preserve"> </w:t>
      </w:r>
      <w:r>
        <w:rPr>
          <w:rFonts w:ascii="Times New Roman" w:hAnsi="Times New Roman" w:cs="Times New Roman"/>
          <w:sz w:val="28"/>
          <w:szCs w:val="28"/>
          <w:lang w:val="ru-RU"/>
        </w:rPr>
        <w:t>сприяють адгезії ендотел</w:t>
      </w:r>
      <w:r w:rsidRPr="00326822">
        <w:rPr>
          <w:rFonts w:ascii="Times New Roman" w:hAnsi="Times New Roman" w:cs="Times New Roman"/>
          <w:sz w:val="28"/>
          <w:szCs w:val="28"/>
          <w:lang w:val="ru-RU"/>
        </w:rPr>
        <w:t>ія [</w:t>
      </w:r>
      <w:r w:rsidR="004669B2">
        <w:rPr>
          <w:rFonts w:ascii="Times New Roman" w:hAnsi="Times New Roman" w:cs="Times New Roman"/>
          <w:sz w:val="28"/>
          <w:szCs w:val="28"/>
          <w:lang w:val="ru-RU"/>
        </w:rPr>
        <w:t>326</w:t>
      </w:r>
      <w:r w:rsidRPr="00326822">
        <w:rPr>
          <w:rFonts w:ascii="Times New Roman" w:hAnsi="Times New Roman" w:cs="Times New Roman"/>
          <w:sz w:val="28"/>
          <w:szCs w:val="28"/>
          <w:lang w:val="ru-RU"/>
        </w:rPr>
        <w:t xml:space="preserve">]. Синтез </w:t>
      </w:r>
      <w:r>
        <w:rPr>
          <w:rFonts w:ascii="Times New Roman" w:hAnsi="Times New Roman" w:cs="Times New Roman"/>
          <w:sz w:val="28"/>
          <w:szCs w:val="28"/>
          <w:lang w:val="ru-RU"/>
        </w:rPr>
        <w:t>тучними</w:t>
      </w:r>
      <w:r w:rsidRPr="00326822">
        <w:rPr>
          <w:rFonts w:ascii="Times New Roman" w:hAnsi="Times New Roman" w:cs="Times New Roman"/>
          <w:sz w:val="28"/>
          <w:szCs w:val="28"/>
          <w:lang w:val="ru-RU"/>
        </w:rPr>
        <w:t xml:space="preserve"> клітинами і звільненн</w:t>
      </w:r>
      <w:r>
        <w:rPr>
          <w:rFonts w:ascii="Times New Roman" w:hAnsi="Times New Roman" w:cs="Times New Roman"/>
          <w:sz w:val="28"/>
          <w:szCs w:val="28"/>
          <w:lang w:val="ru-RU"/>
        </w:rPr>
        <w:t>я інших медіаторів мають потужний і</w:t>
      </w:r>
      <w:r w:rsidRPr="00326822">
        <w:rPr>
          <w:rFonts w:ascii="Times New Roman" w:hAnsi="Times New Roman" w:cs="Times New Roman"/>
          <w:sz w:val="28"/>
          <w:szCs w:val="28"/>
          <w:lang w:val="ru-RU"/>
        </w:rPr>
        <w:t>мунорегуляторний вплив на інші типи к</w:t>
      </w:r>
      <w:r>
        <w:rPr>
          <w:rFonts w:ascii="Times New Roman" w:hAnsi="Times New Roman" w:cs="Times New Roman"/>
          <w:sz w:val="28"/>
          <w:szCs w:val="28"/>
          <w:lang w:val="ru-RU"/>
        </w:rPr>
        <w:t>літини, в той час як цитокіни Т-лі</w:t>
      </w:r>
      <w:r w:rsidRPr="00326822">
        <w:rPr>
          <w:rFonts w:ascii="Times New Roman" w:hAnsi="Times New Roman" w:cs="Times New Roman"/>
          <w:sz w:val="28"/>
          <w:szCs w:val="28"/>
          <w:lang w:val="ru-RU"/>
        </w:rPr>
        <w:t xml:space="preserve">мфоцитарного походження впливають на міграцію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і звільнення медіатора. Протеази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беруть участь у зміні базальних мембран при запаленні в порожнині р</w:t>
      </w:r>
      <w:r>
        <w:rPr>
          <w:rFonts w:ascii="Times New Roman" w:hAnsi="Times New Roman" w:cs="Times New Roman"/>
          <w:sz w:val="28"/>
          <w:szCs w:val="28"/>
          <w:lang w:val="ru-RU"/>
        </w:rPr>
        <w:t>ота, що дозволяє цитотоксичним</w:t>
      </w:r>
      <w:r w:rsidRPr="00326822">
        <w:rPr>
          <w:rFonts w:ascii="Times New Roman" w:hAnsi="Times New Roman" w:cs="Times New Roman"/>
          <w:sz w:val="28"/>
          <w:szCs w:val="28"/>
          <w:lang w:val="ru-RU"/>
        </w:rPr>
        <w:t xml:space="preserve"> лімфоцитам проникати в епітелій.</w:t>
      </w:r>
      <w:r w:rsidR="00EA5D82">
        <w:rPr>
          <w:rFonts w:ascii="Times New Roman" w:hAnsi="Times New Roman" w:cs="Times New Roman"/>
          <w:sz w:val="28"/>
          <w:szCs w:val="28"/>
          <w:lang w:val="ru-RU"/>
        </w:rPr>
        <w:t xml:space="preserve"> Існує тісний зв</w:t>
      </w:r>
      <w:r w:rsidR="00EA5D82" w:rsidRPr="00EA5D82">
        <w:rPr>
          <w:rFonts w:ascii="Times New Roman" w:hAnsi="Times New Roman" w:cs="Times New Roman"/>
          <w:sz w:val="28"/>
          <w:szCs w:val="28"/>
          <w:lang w:val="ru-RU"/>
        </w:rPr>
        <w:t>’</w:t>
      </w:r>
      <w:r w:rsidR="00EA5D82">
        <w:rPr>
          <w:rFonts w:ascii="Times New Roman" w:hAnsi="Times New Roman" w:cs="Times New Roman"/>
          <w:sz w:val="28"/>
          <w:szCs w:val="28"/>
          <w:lang w:val="ru-RU"/>
        </w:rPr>
        <w:t>язок</w:t>
      </w:r>
      <w:r w:rsidRPr="00326822">
        <w:rPr>
          <w:rFonts w:ascii="Times New Roman" w:hAnsi="Times New Roman" w:cs="Times New Roman"/>
          <w:sz w:val="28"/>
          <w:szCs w:val="28"/>
          <w:lang w:val="ru-RU"/>
        </w:rPr>
        <w:t xml:space="preserve"> між </w:t>
      </w:r>
      <w:r>
        <w:rPr>
          <w:rFonts w:ascii="Times New Roman" w:hAnsi="Times New Roman" w:cs="Times New Roman"/>
          <w:sz w:val="28"/>
          <w:szCs w:val="28"/>
          <w:lang w:val="ru-RU"/>
        </w:rPr>
        <w:t>тучними</w:t>
      </w:r>
      <w:r w:rsidR="00EA5D82">
        <w:rPr>
          <w:rFonts w:ascii="Times New Roman" w:hAnsi="Times New Roman" w:cs="Times New Roman"/>
          <w:sz w:val="28"/>
          <w:szCs w:val="28"/>
          <w:lang w:val="ru-RU"/>
        </w:rPr>
        <w:t xml:space="preserve"> клітинами, невральними</w:t>
      </w:r>
      <w:r w:rsidRPr="00326822">
        <w:rPr>
          <w:rFonts w:ascii="Times New Roman" w:hAnsi="Times New Roman" w:cs="Times New Roman"/>
          <w:sz w:val="28"/>
          <w:szCs w:val="28"/>
          <w:lang w:val="ru-RU"/>
        </w:rPr>
        <w:t xml:space="preserve"> елементами, і ламініном, що пояснює розподіл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клітин в тканинах. </w:t>
      </w:r>
      <w:r>
        <w:rPr>
          <w:rFonts w:ascii="Times New Roman" w:hAnsi="Times New Roman" w:cs="Times New Roman"/>
          <w:sz w:val="28"/>
          <w:szCs w:val="28"/>
          <w:lang w:val="ru-RU"/>
        </w:rPr>
        <w:t>Тучні</w:t>
      </w:r>
      <w:r w:rsidRPr="00326822">
        <w:rPr>
          <w:rFonts w:ascii="Times New Roman" w:hAnsi="Times New Roman" w:cs="Times New Roman"/>
          <w:sz w:val="28"/>
          <w:szCs w:val="28"/>
          <w:lang w:val="ru-RU"/>
        </w:rPr>
        <w:t xml:space="preserve"> клітини чутливі до нейр</w:t>
      </w:r>
      <w:r>
        <w:rPr>
          <w:rFonts w:ascii="Times New Roman" w:hAnsi="Times New Roman" w:cs="Times New Roman"/>
          <w:sz w:val="28"/>
          <w:szCs w:val="28"/>
          <w:lang w:val="ru-RU"/>
        </w:rPr>
        <w:t>опептидів і, шляхом їх взаємодії</w:t>
      </w:r>
      <w:r w:rsidRPr="00326822">
        <w:rPr>
          <w:rFonts w:ascii="Times New Roman" w:hAnsi="Times New Roman" w:cs="Times New Roman"/>
          <w:sz w:val="28"/>
          <w:szCs w:val="28"/>
          <w:lang w:val="ru-RU"/>
        </w:rPr>
        <w:t xml:space="preserve"> з невральної</w:t>
      </w:r>
      <w:r>
        <w:rPr>
          <w:rFonts w:ascii="Times New Roman" w:hAnsi="Times New Roman" w:cs="Times New Roman"/>
          <w:sz w:val="28"/>
          <w:szCs w:val="28"/>
          <w:lang w:val="ru-RU"/>
        </w:rPr>
        <w:t xml:space="preserve"> елементами, формують невральну</w:t>
      </w:r>
      <w:r w:rsidRPr="00326822">
        <w:rPr>
          <w:rFonts w:ascii="Times New Roman" w:hAnsi="Times New Roman" w:cs="Times New Roman"/>
          <w:sz w:val="28"/>
          <w:szCs w:val="28"/>
          <w:lang w:val="ru-RU"/>
        </w:rPr>
        <w:t xml:space="preserve"> і</w:t>
      </w:r>
      <w:r>
        <w:rPr>
          <w:rFonts w:ascii="Times New Roman" w:hAnsi="Times New Roman" w:cs="Times New Roman"/>
          <w:sz w:val="28"/>
          <w:szCs w:val="28"/>
          <w:lang w:val="ru-RU"/>
        </w:rPr>
        <w:t>мунну мережу з клітинами Лангерганса в слизовій оболонці</w:t>
      </w:r>
      <w:r w:rsidRPr="00326822">
        <w:rPr>
          <w:rFonts w:ascii="Times New Roman" w:hAnsi="Times New Roman" w:cs="Times New Roman"/>
          <w:sz w:val="28"/>
          <w:szCs w:val="28"/>
          <w:lang w:val="ru-RU"/>
        </w:rPr>
        <w:t xml:space="preserve"> ротової порожнини. Це сприяє дегрануляції </w:t>
      </w:r>
      <w:r>
        <w:rPr>
          <w:rFonts w:ascii="Times New Roman" w:hAnsi="Times New Roman" w:cs="Times New Roman"/>
          <w:sz w:val="28"/>
          <w:szCs w:val="28"/>
          <w:lang w:val="ru-RU"/>
        </w:rPr>
        <w:t>тучних клітин</w:t>
      </w:r>
      <w:r w:rsidRPr="00326822">
        <w:rPr>
          <w:rFonts w:ascii="Times New Roman" w:hAnsi="Times New Roman" w:cs="Times New Roman"/>
          <w:sz w:val="28"/>
          <w:szCs w:val="28"/>
          <w:lang w:val="ru-RU"/>
        </w:rPr>
        <w:t xml:space="preserve"> у відп</w:t>
      </w:r>
      <w:r>
        <w:rPr>
          <w:rFonts w:ascii="Times New Roman" w:hAnsi="Times New Roman" w:cs="Times New Roman"/>
          <w:sz w:val="28"/>
          <w:szCs w:val="28"/>
          <w:lang w:val="ru-RU"/>
        </w:rPr>
        <w:t>овідь на ряд імунологічних і не</w:t>
      </w:r>
      <w:r w:rsidRPr="00326822">
        <w:rPr>
          <w:rFonts w:ascii="Times New Roman" w:hAnsi="Times New Roman" w:cs="Times New Roman"/>
          <w:sz w:val="28"/>
          <w:szCs w:val="28"/>
          <w:lang w:val="ru-RU"/>
        </w:rPr>
        <w:t xml:space="preserve">імунологічних стимулів. Порушення обміну гепарину при запальних процесах в пародонті в </w:t>
      </w:r>
      <w:r>
        <w:rPr>
          <w:rFonts w:ascii="Times New Roman" w:hAnsi="Times New Roman" w:cs="Times New Roman"/>
          <w:sz w:val="28"/>
          <w:szCs w:val="28"/>
          <w:lang w:val="ru-RU"/>
        </w:rPr>
        <w:t>тучних</w:t>
      </w:r>
      <w:r w:rsidRPr="00326822">
        <w:rPr>
          <w:rFonts w:ascii="Times New Roman" w:hAnsi="Times New Roman" w:cs="Times New Roman"/>
          <w:sz w:val="28"/>
          <w:szCs w:val="28"/>
          <w:lang w:val="ru-RU"/>
        </w:rPr>
        <w:t xml:space="preserve"> к</w:t>
      </w:r>
      <w:r>
        <w:rPr>
          <w:rFonts w:ascii="Times New Roman" w:hAnsi="Times New Roman" w:cs="Times New Roman"/>
          <w:sz w:val="28"/>
          <w:szCs w:val="28"/>
          <w:lang w:val="ru-RU"/>
        </w:rPr>
        <w:t>літинах</w:t>
      </w:r>
      <w:r w:rsidRPr="00326822">
        <w:rPr>
          <w:rFonts w:ascii="Times New Roman" w:hAnsi="Times New Roman" w:cs="Times New Roman"/>
          <w:sz w:val="28"/>
          <w:szCs w:val="28"/>
          <w:lang w:val="ru-RU"/>
        </w:rPr>
        <w:t xml:space="preserve"> сприяє альтерації мембран мікроциркуляторного русла з підвищенням проникності і тенденцією до крововиливів [</w:t>
      </w:r>
      <w:r w:rsidR="004669B2">
        <w:rPr>
          <w:rFonts w:ascii="Times New Roman" w:hAnsi="Times New Roman" w:cs="Times New Roman"/>
          <w:sz w:val="28"/>
          <w:szCs w:val="28"/>
          <w:lang w:val="ru-RU"/>
        </w:rPr>
        <w:t>343, 344</w:t>
      </w:r>
      <w:r w:rsidRPr="00326822">
        <w:rPr>
          <w:rFonts w:ascii="Times New Roman" w:hAnsi="Times New Roman" w:cs="Times New Roman"/>
          <w:sz w:val="28"/>
          <w:szCs w:val="28"/>
          <w:lang w:val="ru-RU"/>
        </w:rPr>
        <w:t xml:space="preserve">]. </w:t>
      </w:r>
    </w:p>
    <w:p w14:paraId="3C68AB54" w14:textId="77777777" w:rsidR="00C90400" w:rsidRPr="00326822" w:rsidRDefault="00C90400" w:rsidP="00C90400">
      <w:pPr>
        <w:spacing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Безумовно, як ми вже відзначали, зміни клітинного складу крові і в тканина</w:t>
      </w:r>
      <w:r>
        <w:rPr>
          <w:rFonts w:ascii="Times New Roman" w:hAnsi="Times New Roman" w:cs="Times New Roman"/>
          <w:sz w:val="28"/>
          <w:szCs w:val="28"/>
          <w:lang w:val="ru-RU"/>
        </w:rPr>
        <w:t>х не завжди корелює між собою, у</w:t>
      </w:r>
      <w:r w:rsidRPr="00326822">
        <w:rPr>
          <w:rFonts w:ascii="Times New Roman" w:hAnsi="Times New Roman" w:cs="Times New Roman"/>
          <w:sz w:val="28"/>
          <w:szCs w:val="28"/>
          <w:lang w:val="ru-RU"/>
        </w:rPr>
        <w:t xml:space="preserve"> зв'язку з цим ми вважа</w:t>
      </w:r>
      <w:r>
        <w:rPr>
          <w:rFonts w:ascii="Times New Roman" w:hAnsi="Times New Roman" w:cs="Times New Roman"/>
          <w:sz w:val="28"/>
          <w:szCs w:val="28"/>
          <w:lang w:val="ru-RU"/>
        </w:rPr>
        <w:t>ли за доцільне вивчити зміну фенотипу найбільш патогенетично</w:t>
      </w:r>
      <w:r w:rsidRPr="00326822">
        <w:rPr>
          <w:rFonts w:ascii="Times New Roman" w:hAnsi="Times New Roman" w:cs="Times New Roman"/>
          <w:sz w:val="28"/>
          <w:szCs w:val="28"/>
          <w:lang w:val="ru-RU"/>
        </w:rPr>
        <w:t xml:space="preserve"> важливих елементів безпосередньо в тканинах слизової. Нами </w:t>
      </w:r>
      <w:r>
        <w:rPr>
          <w:rFonts w:ascii="Times New Roman" w:hAnsi="Times New Roman" w:cs="Times New Roman"/>
          <w:sz w:val="28"/>
          <w:szCs w:val="28"/>
          <w:lang w:val="ru-RU"/>
        </w:rPr>
        <w:t>відібрані CD3 (мультипротеїновий</w:t>
      </w:r>
      <w:r w:rsidRPr="00326822">
        <w:rPr>
          <w:rFonts w:ascii="Times New Roman" w:hAnsi="Times New Roman" w:cs="Times New Roman"/>
          <w:sz w:val="28"/>
          <w:szCs w:val="28"/>
          <w:lang w:val="ru-RU"/>
        </w:rPr>
        <w:t xml:space="preserve"> комплекс на поверхні Т-лімфоцитів), CD30 (також відомий як TNFRSF8 - протеїн клітинної мембрани з </w:t>
      </w:r>
      <w:r>
        <w:rPr>
          <w:rFonts w:ascii="Times New Roman" w:hAnsi="Times New Roman" w:cs="Times New Roman"/>
          <w:sz w:val="28"/>
          <w:szCs w:val="28"/>
          <w:lang w:val="ru-RU"/>
        </w:rPr>
        <w:t>родини</w:t>
      </w:r>
      <w:r w:rsidRPr="00326822">
        <w:rPr>
          <w:rFonts w:ascii="Times New Roman" w:hAnsi="Times New Roman" w:cs="Times New Roman"/>
          <w:sz w:val="28"/>
          <w:szCs w:val="28"/>
          <w:lang w:val="ru-RU"/>
        </w:rPr>
        <w:t xml:space="preserve"> рецепторів для факторів некрозу пухлини), CD 20 (B - лімфоцитарний антиген</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CD 20 - білок, корецептор, розташований на поверхні B лімфоцитів; продукт гена людини MS 4 A 1; точна функція цього білка до сих пір не встановлена, проте припускають, що він бере участь в активації і проліферації B-лімфоцитів); VEGF (рецептор з тірозінкіназной активністю</w:t>
      </w:r>
      <w:r>
        <w:rPr>
          <w:rFonts w:ascii="Times New Roman" w:hAnsi="Times New Roman" w:cs="Times New Roman"/>
          <w:sz w:val="28"/>
          <w:szCs w:val="28"/>
          <w:lang w:val="ru-RU"/>
        </w:rPr>
        <w:t>,</w:t>
      </w:r>
      <w:r w:rsidRPr="00326822">
        <w:rPr>
          <w:rFonts w:ascii="Times New Roman" w:hAnsi="Times New Roman" w:cs="Times New Roman"/>
          <w:sz w:val="28"/>
          <w:szCs w:val="28"/>
          <w:lang w:val="ru-RU"/>
        </w:rPr>
        <w:t xml:space="preserve"> який стимулює клітинний відгук, зв'язуючись з рецепторними тирозинкіназ на поверхні клітини; активізація даних білків відбувається шляхом їх трансфосфорілірова</w:t>
      </w:r>
      <w:r>
        <w:rPr>
          <w:rFonts w:ascii="Times New Roman" w:hAnsi="Times New Roman" w:cs="Times New Roman"/>
          <w:sz w:val="28"/>
          <w:szCs w:val="28"/>
          <w:lang w:val="ru-RU"/>
        </w:rPr>
        <w:t>нія); CD23 ( "низькоафінній" рецептор IgE, ізотип а</w:t>
      </w:r>
      <w:r w:rsidRPr="00326822">
        <w:rPr>
          <w:rFonts w:ascii="Times New Roman" w:hAnsi="Times New Roman" w:cs="Times New Roman"/>
          <w:sz w:val="28"/>
          <w:szCs w:val="28"/>
          <w:lang w:val="ru-RU"/>
        </w:rPr>
        <w:t xml:space="preserve">нтитіл, что </w:t>
      </w:r>
      <w:r>
        <w:rPr>
          <w:rFonts w:ascii="Times New Roman" w:hAnsi="Times New Roman" w:cs="Times New Roman"/>
          <w:sz w:val="28"/>
          <w:szCs w:val="28"/>
          <w:lang w:val="ru-RU"/>
        </w:rPr>
        <w:t>характеризує алергію</w:t>
      </w:r>
      <w:r w:rsidRPr="00326822">
        <w:rPr>
          <w:rFonts w:ascii="Times New Roman" w:hAnsi="Times New Roman" w:cs="Times New Roman"/>
          <w:sz w:val="28"/>
          <w:szCs w:val="28"/>
          <w:lang w:val="ru-RU"/>
        </w:rPr>
        <w:t xml:space="preserve"> та стійкість до паразітів, и є важліві</w:t>
      </w:r>
      <w:r>
        <w:rPr>
          <w:rFonts w:ascii="Times New Roman" w:hAnsi="Times New Roman" w:cs="Times New Roman"/>
          <w:sz w:val="28"/>
          <w:szCs w:val="28"/>
          <w:lang w:val="ru-RU"/>
        </w:rPr>
        <w:t>м при регуляції рівнів IgE; на в</w:t>
      </w:r>
      <w:r w:rsidRPr="00326822">
        <w:rPr>
          <w:rFonts w:ascii="Times New Roman" w:hAnsi="Times New Roman" w:cs="Times New Roman"/>
          <w:sz w:val="28"/>
          <w:szCs w:val="28"/>
          <w:lang w:val="ru-RU"/>
        </w:rPr>
        <w:t xml:space="preserve">ідміну від багатьох </w:t>
      </w:r>
      <w:r>
        <w:rPr>
          <w:rFonts w:ascii="Times New Roman" w:hAnsi="Times New Roman" w:cs="Times New Roman"/>
          <w:sz w:val="28"/>
          <w:szCs w:val="28"/>
          <w:lang w:val="ru-RU"/>
        </w:rPr>
        <w:t>рецепторів антитіл, CD23 представляє собою лектин C-типу. Він виявлений</w:t>
      </w:r>
      <w:r w:rsidRPr="00326822">
        <w:rPr>
          <w:rFonts w:ascii="Times New Roman" w:hAnsi="Times New Roman" w:cs="Times New Roman"/>
          <w:sz w:val="28"/>
          <w:szCs w:val="28"/>
          <w:lang w:val="ru-RU"/>
        </w:rPr>
        <w:t xml:space="preserve"> на зріліх В- к</w:t>
      </w:r>
      <w:r>
        <w:rPr>
          <w:rFonts w:ascii="Times New Roman" w:hAnsi="Times New Roman" w:cs="Times New Roman"/>
          <w:sz w:val="28"/>
          <w:szCs w:val="28"/>
          <w:lang w:val="ru-RU"/>
        </w:rPr>
        <w:t>літінах, активізовани</w:t>
      </w:r>
      <w:r w:rsidRPr="00326822">
        <w:rPr>
          <w:rFonts w:ascii="Times New Roman" w:hAnsi="Times New Roman" w:cs="Times New Roman"/>
          <w:sz w:val="28"/>
          <w:szCs w:val="28"/>
          <w:lang w:val="ru-RU"/>
        </w:rPr>
        <w:t>х макр</w:t>
      </w:r>
      <w:r>
        <w:rPr>
          <w:rFonts w:ascii="Times New Roman" w:hAnsi="Times New Roman" w:cs="Times New Roman"/>
          <w:sz w:val="28"/>
          <w:szCs w:val="28"/>
          <w:lang w:val="ru-RU"/>
        </w:rPr>
        <w:t>офагах, еозінофілах, фолікулярни</w:t>
      </w:r>
      <w:r w:rsidRPr="00326822">
        <w:rPr>
          <w:rFonts w:ascii="Times New Roman" w:hAnsi="Times New Roman" w:cs="Times New Roman"/>
          <w:sz w:val="28"/>
          <w:szCs w:val="28"/>
          <w:lang w:val="ru-RU"/>
        </w:rPr>
        <w:t xml:space="preserve">х дендритних клітінах та тромбоцитах). </w:t>
      </w:r>
    </w:p>
    <w:p w14:paraId="16817D00"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Цікавим результатом нашої роботи виявилося вивчення щільності клітинних елементів з </w:t>
      </w:r>
      <w:r>
        <w:rPr>
          <w:rFonts w:ascii="Times New Roman" w:hAnsi="Times New Roman" w:cs="Times New Roman"/>
          <w:sz w:val="28"/>
          <w:szCs w:val="28"/>
          <w:lang w:val="ru-RU"/>
        </w:rPr>
        <w:t>імунореактивністю</w:t>
      </w:r>
      <w:r w:rsidRPr="00326822">
        <w:rPr>
          <w:rFonts w:ascii="Times New Roman" w:hAnsi="Times New Roman" w:cs="Times New Roman"/>
          <w:sz w:val="28"/>
          <w:szCs w:val="28"/>
          <w:lang w:val="ru-RU"/>
        </w:rPr>
        <w:t xml:space="preserve"> до МКА білка CD 23, який, як зазначалося вище, виявляється на зрілих В-клітинах, активованих макрофагах, еозинофілів і, що важливо з точки зору вивчення атопічного</w:t>
      </w:r>
      <w:r>
        <w:rPr>
          <w:rFonts w:ascii="Times New Roman" w:hAnsi="Times New Roman" w:cs="Times New Roman"/>
          <w:sz w:val="28"/>
          <w:szCs w:val="28"/>
          <w:lang w:val="ru-RU"/>
        </w:rPr>
        <w:t xml:space="preserve"> процесу, володіє аффинітетом до</w:t>
      </w:r>
      <w:r w:rsidRPr="00326822">
        <w:rPr>
          <w:rFonts w:ascii="Times New Roman" w:hAnsi="Times New Roman" w:cs="Times New Roman"/>
          <w:sz w:val="28"/>
          <w:szCs w:val="28"/>
          <w:lang w:val="ru-RU"/>
        </w:rPr>
        <w:t xml:space="preserve"> IgE . Встановлено, що такі елементи в групі інтактних тварин зустрічаються у вигляді поодиноких клітин у власній пластинці слизової оболонк</w:t>
      </w:r>
      <w:r>
        <w:rPr>
          <w:rFonts w:ascii="Times New Roman" w:hAnsi="Times New Roman" w:cs="Times New Roman"/>
          <w:sz w:val="28"/>
          <w:szCs w:val="28"/>
          <w:lang w:val="ru-RU"/>
        </w:rPr>
        <w:t>и. У групі тварин з модельованою атопією</w:t>
      </w:r>
      <w:r w:rsidRPr="00326822">
        <w:rPr>
          <w:rFonts w:ascii="Times New Roman" w:hAnsi="Times New Roman" w:cs="Times New Roman"/>
          <w:sz w:val="28"/>
          <w:szCs w:val="28"/>
          <w:lang w:val="ru-RU"/>
        </w:rPr>
        <w:t xml:space="preserve"> їх розподіл відрізняється як якісно, так і кільк</w:t>
      </w:r>
      <w:r>
        <w:rPr>
          <w:rFonts w:ascii="Times New Roman" w:hAnsi="Times New Roman" w:cs="Times New Roman"/>
          <w:sz w:val="28"/>
          <w:szCs w:val="28"/>
          <w:lang w:val="ru-RU"/>
        </w:rPr>
        <w:t>існо. Перш за все, практично всі</w:t>
      </w:r>
      <w:r w:rsidRPr="00326822">
        <w:rPr>
          <w:rFonts w:ascii="Times New Roman" w:hAnsi="Times New Roman" w:cs="Times New Roman"/>
          <w:sz w:val="28"/>
          <w:szCs w:val="28"/>
          <w:lang w:val="ru-RU"/>
        </w:rPr>
        <w:t xml:space="preserve"> інтраепітеліальні запальні клітини виявилися позитивними до CD 23. У власній пластинці слизової також переважна більшість к</w:t>
      </w:r>
      <w:r>
        <w:rPr>
          <w:rFonts w:ascii="Times New Roman" w:hAnsi="Times New Roman" w:cs="Times New Roman"/>
          <w:sz w:val="28"/>
          <w:szCs w:val="28"/>
          <w:lang w:val="ru-RU"/>
        </w:rPr>
        <w:t>літинних елементів також виявилися іммунопозітівними</w:t>
      </w:r>
      <w:r w:rsidRPr="00326822">
        <w:rPr>
          <w:rFonts w:ascii="Times New Roman" w:hAnsi="Times New Roman" w:cs="Times New Roman"/>
          <w:sz w:val="28"/>
          <w:szCs w:val="28"/>
          <w:lang w:val="ru-RU"/>
        </w:rPr>
        <w:t xml:space="preserve"> до CD 23, при цьому щільність клітин з ядерним фарбуванням CD 23 виявилася в 7,7 раз вище, ніж у інтактних тварин. </w:t>
      </w:r>
    </w:p>
    <w:p w14:paraId="00A5276B"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При вивченні розподілу CD 20 (корецептор, розташований на поверхні B-лімфоцитів) виявляються </w:t>
      </w:r>
      <w:r>
        <w:rPr>
          <w:rFonts w:ascii="Times New Roman" w:hAnsi="Times New Roman" w:cs="Times New Roman"/>
          <w:sz w:val="28"/>
          <w:szCs w:val="28"/>
          <w:lang w:val="ru-RU"/>
        </w:rPr>
        <w:t>зміни якісно схожі з виявленими</w:t>
      </w:r>
      <w:r w:rsidRPr="00326822">
        <w:rPr>
          <w:rFonts w:ascii="Times New Roman" w:hAnsi="Times New Roman" w:cs="Times New Roman"/>
          <w:sz w:val="28"/>
          <w:szCs w:val="28"/>
          <w:lang w:val="ru-RU"/>
        </w:rPr>
        <w:t xml:space="preserve"> при </w:t>
      </w:r>
      <w:r>
        <w:rPr>
          <w:rFonts w:ascii="Times New Roman" w:hAnsi="Times New Roman" w:cs="Times New Roman"/>
          <w:sz w:val="28"/>
          <w:szCs w:val="28"/>
          <w:lang w:val="ru-RU"/>
        </w:rPr>
        <w:t>вивченні CD 23 (поява іммунопозити</w:t>
      </w:r>
      <w:r w:rsidRPr="00326822">
        <w:rPr>
          <w:rFonts w:ascii="Times New Roman" w:hAnsi="Times New Roman" w:cs="Times New Roman"/>
          <w:sz w:val="28"/>
          <w:szCs w:val="28"/>
          <w:lang w:val="ru-RU"/>
        </w:rPr>
        <w:t xml:space="preserve">вних клітин в епітелії і різке збільшення їх кількості у власній </w:t>
      </w:r>
      <w:r>
        <w:rPr>
          <w:rFonts w:ascii="Times New Roman" w:hAnsi="Times New Roman" w:cs="Times New Roman"/>
          <w:sz w:val="28"/>
          <w:szCs w:val="28"/>
          <w:lang w:val="ru-RU"/>
        </w:rPr>
        <w:t>пластинці слизової) з мембранною</w:t>
      </w:r>
      <w:r w:rsidRPr="00326822">
        <w:rPr>
          <w:rFonts w:ascii="Times New Roman" w:hAnsi="Times New Roman" w:cs="Times New Roman"/>
          <w:sz w:val="28"/>
          <w:szCs w:val="28"/>
          <w:lang w:val="ru-RU"/>
        </w:rPr>
        <w:t xml:space="preserve"> локалізацією барвника. Порівняння щільності клітин CD 20 інтактних тварин і тварин з атопією показало зростання даного показника в 8,9 разів. </w:t>
      </w:r>
    </w:p>
    <w:p w14:paraId="5AE5F31C" w14:textId="77777777" w:rsidR="00C90400" w:rsidRPr="00326822"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 xml:space="preserve">При зіставленні результатів ІГХ з eNOs, iNOs, CD 23, CD 20 найбільш виражена кореляція виявляється між CD 23 і CD 20 (r = 0,89), iNOs і CD 23 (r = 0,85), iNOs і CD 20 (r = 0,87). </w:t>
      </w:r>
    </w:p>
    <w:p w14:paraId="42AC5EB3" w14:textId="4F78A907" w:rsidR="00C90400" w:rsidRDefault="00C90400" w:rsidP="00EE3DAD">
      <w:pPr>
        <w:spacing w:after="0" w:line="360" w:lineRule="auto"/>
        <w:ind w:firstLine="709"/>
        <w:jc w:val="both"/>
        <w:rPr>
          <w:rFonts w:ascii="Times New Roman" w:hAnsi="Times New Roman" w:cs="Times New Roman"/>
          <w:sz w:val="28"/>
          <w:szCs w:val="28"/>
          <w:lang w:val="ru-RU"/>
        </w:rPr>
      </w:pPr>
      <w:r w:rsidRPr="00326822">
        <w:rPr>
          <w:rFonts w:ascii="Times New Roman" w:hAnsi="Times New Roman" w:cs="Times New Roman"/>
          <w:sz w:val="28"/>
          <w:szCs w:val="28"/>
          <w:lang w:val="ru-RU"/>
        </w:rPr>
        <w:t>Таким чином, 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 процесів, метаболічних розладів, в розвитку яких бере активну участь порушення обміну оксиду азоту та що може служити обгрунтуванням для розробки профілактичн</w:t>
      </w:r>
      <w:r>
        <w:rPr>
          <w:rFonts w:ascii="Times New Roman" w:hAnsi="Times New Roman" w:cs="Times New Roman"/>
          <w:sz w:val="28"/>
          <w:szCs w:val="28"/>
          <w:lang w:val="ru-RU"/>
        </w:rPr>
        <w:t>их заходів у хворих на атопічні захворювання,</w:t>
      </w:r>
      <w:r w:rsidRPr="00326822">
        <w:rPr>
          <w:rFonts w:ascii="Times New Roman" w:hAnsi="Times New Roman" w:cs="Times New Roman"/>
          <w:sz w:val="28"/>
          <w:szCs w:val="28"/>
          <w:lang w:val="ru-RU"/>
        </w:rPr>
        <w:t xml:space="preserve"> заснованими на корекції порушення </w:t>
      </w:r>
      <w:r w:rsidR="009D2741">
        <w:rPr>
          <w:rFonts w:ascii="Times New Roman" w:hAnsi="Times New Roman" w:cs="Times New Roman"/>
          <w:sz w:val="28"/>
          <w:szCs w:val="28"/>
          <w:lang w:val="ru-RU"/>
        </w:rPr>
        <w:t>імунної та антиоксидантної ланки</w:t>
      </w:r>
      <w:r w:rsidRPr="00326822">
        <w:rPr>
          <w:rFonts w:ascii="Times New Roman" w:hAnsi="Times New Roman" w:cs="Times New Roman"/>
          <w:sz w:val="28"/>
          <w:szCs w:val="28"/>
          <w:lang w:val="ru-RU"/>
        </w:rPr>
        <w:t xml:space="preserve">. </w:t>
      </w:r>
    </w:p>
    <w:p w14:paraId="08F60C64" w14:textId="4AE97E17" w:rsidR="00A82DB7" w:rsidRPr="00A82DB7" w:rsidRDefault="002C3FE4" w:rsidP="00EE3DAD">
      <w:pPr>
        <w:spacing w:after="0" w:line="360" w:lineRule="auto"/>
        <w:ind w:firstLine="709"/>
        <w:jc w:val="both"/>
        <w:rPr>
          <w:rFonts w:ascii="Times New Roman" w:hAnsi="Times New Roman" w:cs="Times New Roman"/>
          <w:sz w:val="28"/>
          <w:szCs w:val="28"/>
          <w:lang w:val="uk-UA"/>
        </w:rPr>
      </w:pPr>
      <w:r w:rsidRPr="00DB5994">
        <w:rPr>
          <w:rFonts w:ascii="Times New Roman" w:hAnsi="Times New Roman" w:cs="Times New Roman"/>
          <w:sz w:val="28"/>
          <w:szCs w:val="28"/>
          <w:lang w:val="uk-UA"/>
        </w:rPr>
        <w:t>Роль метаболічного дисбалансу в розвитку фізіол</w:t>
      </w:r>
      <w:r>
        <w:rPr>
          <w:rFonts w:ascii="Times New Roman" w:hAnsi="Times New Roman" w:cs="Times New Roman"/>
          <w:sz w:val="28"/>
          <w:szCs w:val="28"/>
          <w:lang w:val="uk-UA"/>
        </w:rPr>
        <w:t>огічних та патологічних процесів</w:t>
      </w:r>
      <w:r w:rsidRPr="00DB5994">
        <w:rPr>
          <w:rFonts w:ascii="Times New Roman" w:hAnsi="Times New Roman" w:cs="Times New Roman"/>
          <w:sz w:val="28"/>
          <w:szCs w:val="28"/>
          <w:lang w:val="uk-UA"/>
        </w:rPr>
        <w:t xml:space="preserve"> організму є надзвичайно важливою у патогенезі захворювань пародонту, саме тому ми приділили значну увагу дослідженню саме цієї ланки патогенезу.</w:t>
      </w:r>
      <w:r w:rsidRPr="002C3FE4">
        <w:rPr>
          <w:rFonts w:ascii="Times New Roman" w:hAnsi="Times New Roman" w:cs="Times New Roman"/>
          <w:sz w:val="28"/>
          <w:szCs w:val="28"/>
          <w:lang w:val="ru-RU"/>
        </w:rPr>
        <w:t xml:space="preserve"> </w:t>
      </w:r>
      <w:r w:rsidR="00C90400">
        <w:rPr>
          <w:rFonts w:ascii="Times New Roman" w:hAnsi="Times New Roman" w:cs="Times New Roman"/>
          <w:sz w:val="28"/>
          <w:szCs w:val="28"/>
          <w:lang w:val="uk-UA"/>
        </w:rPr>
        <w:t>Але крім цього значну увагу як на експериментальному, так і на етапі клініко-лабораторних досліджень ми приділяли імунологічним порушенням у організмі дітей з атопічними захворю</w:t>
      </w:r>
      <w:r>
        <w:rPr>
          <w:rFonts w:ascii="Times New Roman" w:hAnsi="Times New Roman" w:cs="Times New Roman"/>
          <w:sz w:val="28"/>
          <w:szCs w:val="28"/>
          <w:lang w:val="uk-UA"/>
        </w:rPr>
        <w:t>ваннями</w:t>
      </w:r>
      <w:r w:rsidR="00156A4E">
        <w:rPr>
          <w:rFonts w:ascii="Times New Roman" w:hAnsi="Times New Roman" w:cs="Times New Roman"/>
          <w:sz w:val="28"/>
          <w:szCs w:val="28"/>
          <w:lang w:val="uk-UA"/>
        </w:rPr>
        <w:t>.</w:t>
      </w:r>
    </w:p>
    <w:p w14:paraId="05D80358" w14:textId="034945B6" w:rsidR="00A82DB7" w:rsidRPr="00A82DB7" w:rsidRDefault="002C3FE4" w:rsidP="00EE3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бронхіальній астмі</w:t>
      </w:r>
      <w:r w:rsidR="00A82DB7" w:rsidRPr="00A82DB7">
        <w:rPr>
          <w:rFonts w:ascii="Times New Roman" w:hAnsi="Times New Roman" w:cs="Times New Roman"/>
          <w:sz w:val="28"/>
          <w:szCs w:val="28"/>
          <w:lang w:val="uk-UA"/>
        </w:rPr>
        <w:t xml:space="preserve"> спостерігається порушення синтезу і/або активності ендогенного оксиду азоту, які вносять важливий вклад в окремі ланки патогенезу, зокрема як дисбаланс місцевих бронхорелаксуючих і бронхоконстриктивних факторів: зсув нейрональних механізмів регуляції тонуса бронхів; запалення та імунні ре</w:t>
      </w:r>
      <w:r>
        <w:rPr>
          <w:rFonts w:ascii="Times New Roman" w:hAnsi="Times New Roman" w:cs="Times New Roman"/>
          <w:sz w:val="28"/>
          <w:szCs w:val="28"/>
          <w:lang w:val="uk-UA"/>
        </w:rPr>
        <w:t>акції.</w:t>
      </w:r>
      <w:r w:rsidR="00467AAB">
        <w:rPr>
          <w:rFonts w:ascii="Times New Roman" w:hAnsi="Times New Roman" w:cs="Times New Roman"/>
          <w:sz w:val="28"/>
          <w:szCs w:val="28"/>
          <w:lang w:val="uk-UA"/>
        </w:rPr>
        <w:t xml:space="preserve"> </w:t>
      </w:r>
      <w:r w:rsidR="00A82DB7" w:rsidRPr="00A82DB7">
        <w:rPr>
          <w:rFonts w:ascii="Times New Roman" w:hAnsi="Times New Roman" w:cs="Times New Roman"/>
          <w:sz w:val="28"/>
          <w:szCs w:val="28"/>
          <w:lang w:val="uk-UA"/>
        </w:rPr>
        <w:t>Збільшення продукції NO, маючи важливе адаптативне значення для організму, може перетворюватись із ланки адаптації в патогенетичну і стати небезпечним пошкоджувальним фактором для організму</w:t>
      </w:r>
      <w:r w:rsidR="00467AAB">
        <w:rPr>
          <w:rFonts w:ascii="Times New Roman" w:hAnsi="Times New Roman" w:cs="Times New Roman"/>
          <w:sz w:val="28"/>
          <w:szCs w:val="28"/>
          <w:lang w:val="uk-UA"/>
        </w:rPr>
        <w:t xml:space="preserve"> </w:t>
      </w:r>
      <w:r w:rsidR="00467AAB" w:rsidRPr="00467AAB">
        <w:rPr>
          <w:rFonts w:ascii="Times New Roman" w:hAnsi="Times New Roman" w:cs="Times New Roman"/>
          <w:sz w:val="28"/>
          <w:szCs w:val="28"/>
          <w:lang w:val="ru-RU"/>
        </w:rPr>
        <w:t>[</w:t>
      </w:r>
      <w:r w:rsidR="004669B2">
        <w:rPr>
          <w:rFonts w:ascii="Times New Roman" w:hAnsi="Times New Roman" w:cs="Times New Roman"/>
          <w:sz w:val="28"/>
          <w:szCs w:val="28"/>
          <w:lang w:val="ru-RU"/>
        </w:rPr>
        <w:t>345</w:t>
      </w:r>
      <w:r w:rsidR="00467AAB">
        <w:rPr>
          <w:rFonts w:ascii="Times New Roman" w:hAnsi="Times New Roman" w:cs="Times New Roman"/>
          <w:sz w:val="28"/>
          <w:szCs w:val="28"/>
          <w:lang w:val="ru-RU"/>
        </w:rPr>
        <w:t xml:space="preserve">, </w:t>
      </w:r>
      <w:r w:rsidR="004669B2">
        <w:rPr>
          <w:rFonts w:ascii="Times New Roman" w:hAnsi="Times New Roman" w:cs="Times New Roman"/>
          <w:sz w:val="28"/>
          <w:szCs w:val="28"/>
          <w:lang w:val="ru-RU"/>
        </w:rPr>
        <w:t>346</w:t>
      </w:r>
      <w:r w:rsidR="00467AAB" w:rsidRPr="00467AAB">
        <w:rPr>
          <w:rFonts w:ascii="Times New Roman" w:hAnsi="Times New Roman" w:cs="Times New Roman"/>
          <w:sz w:val="28"/>
          <w:szCs w:val="28"/>
          <w:lang w:val="ru-RU"/>
        </w:rPr>
        <w:t>]</w:t>
      </w:r>
      <w:r w:rsidR="00A82DB7" w:rsidRPr="00A82DB7">
        <w:rPr>
          <w:rFonts w:ascii="Times New Roman" w:hAnsi="Times New Roman" w:cs="Times New Roman"/>
          <w:sz w:val="28"/>
          <w:szCs w:val="28"/>
          <w:lang w:val="uk-UA"/>
        </w:rPr>
        <w:t>.</w:t>
      </w:r>
    </w:p>
    <w:p w14:paraId="3CA65502" w14:textId="0343861E" w:rsidR="0049043E" w:rsidRDefault="0049043E" w:rsidP="00EE3DAD">
      <w:pPr>
        <w:spacing w:after="0" w:line="360" w:lineRule="auto"/>
        <w:ind w:firstLine="709"/>
        <w:jc w:val="both"/>
        <w:rPr>
          <w:rFonts w:ascii="Times New Roman" w:hAnsi="Times New Roman" w:cs="Times New Roman"/>
          <w:sz w:val="28"/>
          <w:szCs w:val="28"/>
          <w:lang w:val="uk-UA"/>
        </w:rPr>
      </w:pPr>
      <w:r w:rsidRPr="00622FB8">
        <w:rPr>
          <w:rFonts w:ascii="Times New Roman" w:hAnsi="Times New Roman" w:cs="Times New Roman"/>
          <w:sz w:val="28"/>
          <w:szCs w:val="28"/>
          <w:lang w:val="uk-UA"/>
        </w:rPr>
        <w:t>При цьому, як видно, спос</w:t>
      </w:r>
      <w:r>
        <w:rPr>
          <w:rFonts w:ascii="Times New Roman" w:hAnsi="Times New Roman" w:cs="Times New Roman"/>
          <w:sz w:val="28"/>
          <w:szCs w:val="28"/>
          <w:lang w:val="uk-UA"/>
        </w:rPr>
        <w:t>терігається кілька напрямків ушкоджуючих ефектів</w:t>
      </w:r>
      <w:r w:rsidRPr="00622FB8">
        <w:rPr>
          <w:rFonts w:ascii="Times New Roman" w:hAnsi="Times New Roman" w:cs="Times New Roman"/>
          <w:sz w:val="28"/>
          <w:szCs w:val="28"/>
          <w:lang w:val="uk-UA"/>
        </w:rPr>
        <w:t xml:space="preserve">, в яких наголошується і </w:t>
      </w:r>
      <w:r>
        <w:rPr>
          <w:rFonts w:ascii="Times New Roman" w:hAnsi="Times New Roman" w:cs="Times New Roman"/>
          <w:sz w:val="28"/>
          <w:szCs w:val="28"/>
          <w:lang w:val="uk-UA"/>
        </w:rPr>
        <w:t>на підвищенні апоптотичної</w:t>
      </w:r>
      <w:r w:rsidRPr="00622FB8">
        <w:rPr>
          <w:rFonts w:ascii="Times New Roman" w:hAnsi="Times New Roman" w:cs="Times New Roman"/>
          <w:sz w:val="28"/>
          <w:szCs w:val="28"/>
          <w:lang w:val="uk-UA"/>
        </w:rPr>
        <w:t xml:space="preserve"> активності, що виявлено нами при моделюванні атопії. При цьому якщо в літературі присутні відомості про зміни в крові з високою експресією рецептора апоптозу CD95 при атопічних станах [</w:t>
      </w:r>
      <w:r w:rsidR="004669B2">
        <w:rPr>
          <w:rFonts w:ascii="Times New Roman" w:hAnsi="Times New Roman" w:cs="Times New Roman"/>
          <w:sz w:val="28"/>
          <w:szCs w:val="28"/>
          <w:lang w:val="uk-UA"/>
        </w:rPr>
        <w:t>339</w:t>
      </w:r>
      <w:r w:rsidR="00467AAB" w:rsidRPr="00467AAB">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343</w:t>
      </w:r>
      <w:r w:rsidRPr="00622FB8">
        <w:rPr>
          <w:rFonts w:ascii="Times New Roman" w:hAnsi="Times New Roman" w:cs="Times New Roman"/>
          <w:sz w:val="28"/>
          <w:szCs w:val="28"/>
          <w:lang w:val="uk-UA"/>
        </w:rPr>
        <w:t>], то гістологічного пошкодження (як в нашому дослідженні) процесів апоптозу в тканинах слизової нами в вивчених джерелах не знайдено. Підсумовуючи літературні дані і наші результати, можна припустити, що посилення Fas-опосередкованого апоптозу лімфоцитів може пригнічувати синтез IgE і прояви атопічної патології.</w:t>
      </w:r>
    </w:p>
    <w:p w14:paraId="54180A7D" w14:textId="6A52FE39" w:rsidR="0049043E" w:rsidRDefault="0049043E" w:rsidP="0049043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жаль, при досить широкій зацікавленості</w:t>
      </w:r>
      <w:r w:rsidRPr="00F84F12">
        <w:rPr>
          <w:rFonts w:ascii="Times New Roman" w:hAnsi="Times New Roman" w:cs="Times New Roman"/>
          <w:sz w:val="28"/>
          <w:szCs w:val="28"/>
          <w:lang w:val="uk-UA"/>
        </w:rPr>
        <w:t xml:space="preserve"> до атопічної патології, практично не освітленими залишаються патологічні процеси</w:t>
      </w:r>
      <w:r>
        <w:rPr>
          <w:rFonts w:ascii="Times New Roman" w:hAnsi="Times New Roman" w:cs="Times New Roman"/>
          <w:sz w:val="28"/>
          <w:szCs w:val="28"/>
          <w:lang w:val="uk-UA"/>
        </w:rPr>
        <w:t xml:space="preserve">, що </w:t>
      </w:r>
      <w:r w:rsidRPr="00F84F12">
        <w:rPr>
          <w:rFonts w:ascii="Times New Roman" w:hAnsi="Times New Roman" w:cs="Times New Roman"/>
          <w:sz w:val="28"/>
          <w:szCs w:val="28"/>
          <w:lang w:val="uk-UA"/>
        </w:rPr>
        <w:t>розвиваються при них</w:t>
      </w:r>
      <w:r>
        <w:rPr>
          <w:rFonts w:ascii="Times New Roman" w:hAnsi="Times New Roman" w:cs="Times New Roman"/>
          <w:sz w:val="28"/>
          <w:szCs w:val="28"/>
          <w:lang w:val="uk-UA"/>
        </w:rPr>
        <w:t>,</w:t>
      </w:r>
      <w:r w:rsidRPr="00F84F12">
        <w:rPr>
          <w:rFonts w:ascii="Times New Roman" w:hAnsi="Times New Roman" w:cs="Times New Roman"/>
          <w:sz w:val="28"/>
          <w:szCs w:val="28"/>
          <w:lang w:val="uk-UA"/>
        </w:rPr>
        <w:t xml:space="preserve"> в ротовій порожнині в цілому, і проблема порушення обміну оксиду азоту (роль якого в моделюванні імунних процесів відома) зокрема. При цьому останні роки характеризуються вивченням ролі порушення обміну оксиду азоту при патологіч</w:t>
      </w:r>
      <w:r w:rsidR="00467AAB">
        <w:rPr>
          <w:rFonts w:ascii="Times New Roman" w:hAnsi="Times New Roman" w:cs="Times New Roman"/>
          <w:sz w:val="28"/>
          <w:szCs w:val="28"/>
          <w:lang w:val="uk-UA"/>
        </w:rPr>
        <w:t>них процесах ротової порожнини</w:t>
      </w:r>
      <w:r w:rsidRPr="00F84F12">
        <w:rPr>
          <w:rFonts w:ascii="Times New Roman" w:hAnsi="Times New Roman" w:cs="Times New Roman"/>
          <w:sz w:val="28"/>
          <w:szCs w:val="28"/>
          <w:lang w:val="uk-UA"/>
        </w:rPr>
        <w:t>. Більш того, висуваються пропозиції розглядати рівень оксиду азоту як маркер активності патологічно</w:t>
      </w:r>
      <w:r>
        <w:rPr>
          <w:rFonts w:ascii="Times New Roman" w:hAnsi="Times New Roman" w:cs="Times New Roman"/>
          <w:sz w:val="28"/>
          <w:szCs w:val="28"/>
          <w:lang w:val="uk-UA"/>
        </w:rPr>
        <w:t>го</w:t>
      </w:r>
      <w:r w:rsidR="00C90400">
        <w:rPr>
          <w:rFonts w:ascii="Times New Roman" w:hAnsi="Times New Roman" w:cs="Times New Roman"/>
          <w:sz w:val="28"/>
          <w:szCs w:val="28"/>
          <w:lang w:val="uk-UA"/>
        </w:rPr>
        <w:t xml:space="preserve"> процесу.</w:t>
      </w:r>
      <w:r w:rsidRPr="00F84F12">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339, 340, 343</w:t>
      </w:r>
      <w:r w:rsidRPr="00F84F1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176C05A" w14:textId="4F140749" w:rsidR="00175D2F" w:rsidRPr="00381A51" w:rsidRDefault="009D2741" w:rsidP="00381A51">
      <w:pPr>
        <w:spacing w:after="0" w:line="360" w:lineRule="auto"/>
        <w:ind w:firstLine="709"/>
        <w:jc w:val="both"/>
        <w:rPr>
          <w:rFonts w:ascii="Times New Roman" w:hAnsi="Times New Roman" w:cs="Times New Roman"/>
          <w:sz w:val="28"/>
          <w:szCs w:val="28"/>
          <w:lang w:val="uk-UA"/>
        </w:rPr>
      </w:pPr>
      <w:r w:rsidRPr="00381A51">
        <w:rPr>
          <w:rFonts w:ascii="Times New Roman" w:hAnsi="Times New Roman" w:cs="Times New Roman"/>
          <w:sz w:val="28"/>
          <w:szCs w:val="28"/>
          <w:lang w:val="uk-UA"/>
        </w:rPr>
        <w:t xml:space="preserve">Таким чином, підсумовуючи дані, отримані нами в експерименті та підтверджені даними інших авторів, </w:t>
      </w:r>
      <w:r w:rsidR="00175D2F" w:rsidRPr="00381A51">
        <w:rPr>
          <w:rFonts w:ascii="Times New Roman" w:hAnsi="Times New Roman" w:cs="Times New Roman"/>
          <w:sz w:val="28"/>
          <w:szCs w:val="28"/>
          <w:lang w:val="uk-UA"/>
        </w:rPr>
        <w:t>характерним для атопічного процесу є запальні дистрофічні, дисциркуляторні зміни, що супроводжуються порушенням синтази оксиду азоту. Останнє характеризується зниженням синтезу ендотеліальної фракції синтази оксиду азоту, підвищенням активності індуцібельної синтази оксиду азоту більш ніж в два рази, підвищенням активності ендотеліальної си</w:t>
      </w:r>
      <w:r w:rsidR="003A14DC">
        <w:rPr>
          <w:rFonts w:ascii="Times New Roman" w:hAnsi="Times New Roman" w:cs="Times New Roman"/>
          <w:sz w:val="28"/>
          <w:szCs w:val="28"/>
          <w:lang w:val="uk-UA"/>
        </w:rPr>
        <w:t>нтази оксиду азоту у позасудинно</w:t>
      </w:r>
      <w:r w:rsidR="00175D2F" w:rsidRPr="00381A51">
        <w:rPr>
          <w:rFonts w:ascii="Times New Roman" w:hAnsi="Times New Roman" w:cs="Times New Roman"/>
          <w:sz w:val="28"/>
          <w:szCs w:val="28"/>
          <w:lang w:val="uk-UA"/>
        </w:rPr>
        <w:t>м</w:t>
      </w:r>
      <w:r w:rsidR="003A14DC">
        <w:rPr>
          <w:rFonts w:ascii="Times New Roman" w:hAnsi="Times New Roman" w:cs="Times New Roman"/>
          <w:sz w:val="28"/>
          <w:szCs w:val="28"/>
          <w:lang w:val="uk-UA"/>
        </w:rPr>
        <w:t>у</w:t>
      </w:r>
      <w:r w:rsidR="00175D2F" w:rsidRPr="00381A51">
        <w:rPr>
          <w:rFonts w:ascii="Times New Roman" w:hAnsi="Times New Roman" w:cs="Times New Roman"/>
          <w:sz w:val="28"/>
          <w:szCs w:val="28"/>
          <w:lang w:val="uk-UA"/>
        </w:rPr>
        <w:t xml:space="preserve"> просторі. Застосування запропонованої методики лікування дозволяє поліпшити стан мікроциркуляторного русла слизової оболонки, що проявляється у відновленні констрікторно-ділататорних механізмів судинного тонусу.</w:t>
      </w:r>
    </w:p>
    <w:p w14:paraId="75ECC0A1" w14:textId="626EE981" w:rsidR="00C90400" w:rsidRPr="00523140" w:rsidRDefault="0052314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атопічні захворювання безумовно впливають на стан м</w:t>
      </w:r>
      <w:r w:rsidRPr="00C44FE8">
        <w:rPr>
          <w:rFonts w:ascii="Times New Roman" w:hAnsi="Times New Roman" w:cs="Times New Roman"/>
          <w:sz w:val="28"/>
          <w:szCs w:val="28"/>
          <w:lang w:val="uk-UA"/>
        </w:rPr>
        <w:t>’</w:t>
      </w:r>
      <w:r>
        <w:rPr>
          <w:rFonts w:ascii="Times New Roman" w:hAnsi="Times New Roman" w:cs="Times New Roman"/>
          <w:sz w:val="28"/>
          <w:szCs w:val="28"/>
          <w:lang w:val="uk-UA"/>
        </w:rPr>
        <w:t xml:space="preserve">яких тканин порожнини рота, як зазначено у дослідженнях авторів та у проведеному нами експериментальному дослідженні, нами був здійснений комплексний аналіз стоматологічного статусу дітей з атопією. Для отримання достовірних даних, пародонтальний статус ми оцінювали за кількома стоматологічними індексами, а саме через визначення ступеню кровоточивості (індекс </w:t>
      </w:r>
      <w:r>
        <w:rPr>
          <w:rFonts w:ascii="Times New Roman" w:hAnsi="Times New Roman" w:cs="Times New Roman"/>
          <w:sz w:val="28"/>
          <w:szCs w:val="28"/>
        </w:rPr>
        <w:t>SBI</w:t>
      </w:r>
      <w:r>
        <w:rPr>
          <w:rFonts w:ascii="Times New Roman" w:hAnsi="Times New Roman" w:cs="Times New Roman"/>
          <w:sz w:val="28"/>
          <w:szCs w:val="28"/>
          <w:lang w:val="uk-UA"/>
        </w:rPr>
        <w:t>)</w:t>
      </w:r>
      <w:r w:rsidRPr="00523140">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через визначення ступеню запалення ясен (індекс РМА). Зміни пародонтального статусу фіксували до проведення лікування, через один, три та шість місяців серед пацієнтів, яким було застосовано концептуально нову та традиційну програму лікування та профілактики лікування та серед пацієнтів контрольної групи. Такий підхід дозволив фіксувати патологічні зміни у тканинах пародонту якнайраніше та визначити особливості клініки та патогенезу гінгівіту на тлі атопічних захворювань. </w:t>
      </w:r>
    </w:p>
    <w:p w14:paraId="725CE000" w14:textId="477277A9" w:rsidR="00381A51" w:rsidRPr="00F647A8" w:rsidRDefault="0052314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стану тканин пародонту </w:t>
      </w:r>
      <w:r w:rsidR="00B517EB">
        <w:rPr>
          <w:rFonts w:ascii="Times New Roman" w:hAnsi="Times New Roman" w:cs="Times New Roman"/>
          <w:sz w:val="28"/>
          <w:szCs w:val="28"/>
          <w:lang w:val="uk-UA"/>
        </w:rPr>
        <w:t xml:space="preserve">за індексом кровоточивості показав достовірну різницю у середніх показниках у групі дітей з атопічними захворюваннями та без таких. Так, середній рівень індексу </w:t>
      </w:r>
      <w:r w:rsidR="00B517EB">
        <w:rPr>
          <w:rFonts w:ascii="Times New Roman" w:hAnsi="Times New Roman" w:cs="Times New Roman"/>
          <w:sz w:val="28"/>
          <w:szCs w:val="28"/>
        </w:rPr>
        <w:t>SBI</w:t>
      </w:r>
      <w:r w:rsidR="00B517EB" w:rsidRPr="00B517EB">
        <w:rPr>
          <w:rFonts w:ascii="Times New Roman" w:hAnsi="Times New Roman" w:cs="Times New Roman"/>
          <w:sz w:val="28"/>
          <w:szCs w:val="28"/>
          <w:lang w:val="uk-UA"/>
        </w:rPr>
        <w:t xml:space="preserve"> </w:t>
      </w:r>
      <w:r w:rsidR="00B517EB">
        <w:rPr>
          <w:rFonts w:ascii="Times New Roman" w:hAnsi="Times New Roman" w:cs="Times New Roman"/>
          <w:sz w:val="28"/>
          <w:szCs w:val="28"/>
          <w:lang w:val="uk-UA"/>
        </w:rPr>
        <w:t>у чотирьох групах дітей з атопічними захворюваннями дорівнював 2.11 ± 0.22 бали та 0.48 ± 0.21 бали серед дітей контрольн</w:t>
      </w:r>
      <w:r w:rsidR="001A76B7">
        <w:rPr>
          <w:rFonts w:ascii="Times New Roman" w:hAnsi="Times New Roman" w:cs="Times New Roman"/>
          <w:sz w:val="28"/>
          <w:szCs w:val="28"/>
          <w:lang w:val="uk-UA"/>
        </w:rPr>
        <w:t>ої групи. Таким чином, очевидною</w:t>
      </w:r>
      <w:r w:rsidR="00B517EB">
        <w:rPr>
          <w:rFonts w:ascii="Times New Roman" w:hAnsi="Times New Roman" w:cs="Times New Roman"/>
          <w:sz w:val="28"/>
          <w:szCs w:val="28"/>
          <w:lang w:val="uk-UA"/>
        </w:rPr>
        <w:t xml:space="preserve"> є наявність запалення ясен на тлі атопії, що обумовлює необхідність моніторінгу та профілактики захворювань тканин пародонту серед даного контингенту дітей. Отримані дані співпадають з даними інших авторів, які присвятили роботи вивченню пародонтального статусу пацієнтів дитячого віку з бронхіальною астмою, алергічним ринітом та атопічним дерматитом</w:t>
      </w:r>
      <w:r w:rsidR="00F647A8" w:rsidRPr="00F647A8">
        <w:rPr>
          <w:rFonts w:ascii="Times New Roman" w:hAnsi="Times New Roman" w:cs="Times New Roman"/>
          <w:sz w:val="28"/>
          <w:szCs w:val="28"/>
          <w:lang w:val="uk-UA"/>
        </w:rPr>
        <w:t xml:space="preserve"> [</w:t>
      </w:r>
      <w:r w:rsidR="004669B2">
        <w:rPr>
          <w:rFonts w:ascii="Times New Roman" w:hAnsi="Times New Roman" w:cs="Times New Roman"/>
          <w:sz w:val="28"/>
          <w:szCs w:val="28"/>
          <w:lang w:val="uk-UA"/>
        </w:rPr>
        <w:t>347-349, 351</w:t>
      </w:r>
      <w:r w:rsidR="00F647A8" w:rsidRPr="00F647A8">
        <w:rPr>
          <w:rFonts w:ascii="Times New Roman" w:hAnsi="Times New Roman" w:cs="Times New Roman"/>
          <w:sz w:val="28"/>
          <w:szCs w:val="28"/>
          <w:lang w:val="uk-UA"/>
        </w:rPr>
        <w:t>]</w:t>
      </w:r>
      <w:r w:rsidR="00B517EB">
        <w:rPr>
          <w:rFonts w:ascii="Times New Roman" w:hAnsi="Times New Roman" w:cs="Times New Roman"/>
          <w:sz w:val="28"/>
          <w:szCs w:val="28"/>
          <w:lang w:val="uk-UA"/>
        </w:rPr>
        <w:t xml:space="preserve">. </w:t>
      </w:r>
    </w:p>
    <w:p w14:paraId="07924271" w14:textId="1811D66A" w:rsidR="00B517EB" w:rsidRDefault="001A76B7"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Цікавим виявився аналіз показників індексу </w:t>
      </w:r>
      <w:r>
        <w:rPr>
          <w:rFonts w:ascii="Times New Roman" w:hAnsi="Times New Roman" w:cs="Times New Roman"/>
          <w:sz w:val="28"/>
          <w:szCs w:val="28"/>
        </w:rPr>
        <w:t>SBI</w:t>
      </w:r>
      <w:r w:rsidRPr="001A76B7">
        <w:rPr>
          <w:rFonts w:ascii="Times New Roman" w:hAnsi="Times New Roman" w:cs="Times New Roman"/>
          <w:sz w:val="28"/>
          <w:szCs w:val="28"/>
          <w:lang w:val="uk-UA"/>
        </w:rPr>
        <w:t xml:space="preserve"> </w:t>
      </w:r>
      <w:r>
        <w:rPr>
          <w:rFonts w:ascii="Times New Roman" w:hAnsi="Times New Roman" w:cs="Times New Roman"/>
          <w:sz w:val="28"/>
          <w:szCs w:val="28"/>
          <w:lang w:val="uk-UA"/>
        </w:rPr>
        <w:t>у динаміці.</w:t>
      </w:r>
      <w:r w:rsidR="00B6374F">
        <w:rPr>
          <w:rFonts w:ascii="Times New Roman" w:hAnsi="Times New Roman" w:cs="Times New Roman"/>
          <w:sz w:val="28"/>
          <w:szCs w:val="28"/>
          <w:lang w:val="uk-UA"/>
        </w:rPr>
        <w:t xml:space="preserve"> Якщо початковий рівень </w:t>
      </w:r>
      <w:r w:rsidR="00B6374F">
        <w:rPr>
          <w:rFonts w:ascii="Times New Roman" w:hAnsi="Times New Roman" w:cs="Times New Roman"/>
          <w:sz w:val="28"/>
          <w:szCs w:val="28"/>
        </w:rPr>
        <w:t>SBI</w:t>
      </w:r>
      <w:r w:rsidR="00B6374F" w:rsidRPr="00B6374F">
        <w:rPr>
          <w:rFonts w:ascii="Times New Roman" w:hAnsi="Times New Roman" w:cs="Times New Roman"/>
          <w:sz w:val="28"/>
          <w:szCs w:val="28"/>
          <w:lang w:val="uk-UA"/>
        </w:rPr>
        <w:t xml:space="preserve"> </w:t>
      </w:r>
      <w:r w:rsidR="00B6374F">
        <w:rPr>
          <w:rFonts w:ascii="Times New Roman" w:hAnsi="Times New Roman" w:cs="Times New Roman"/>
          <w:sz w:val="28"/>
          <w:szCs w:val="28"/>
          <w:lang w:val="uk-UA"/>
        </w:rPr>
        <w:t xml:space="preserve">у групах дітей з атопічними захворюваннями та вираженими клінічними проявами гінгівіту був доволі високий та дорівнював </w:t>
      </w:r>
      <w:r w:rsidR="00B6374F">
        <w:rPr>
          <w:rFonts w:ascii="Times New Roman" w:hAnsi="Times New Roman"/>
          <w:sz w:val="28"/>
          <w:szCs w:val="28"/>
          <w:lang w:val="uk-UA"/>
        </w:rPr>
        <w:t>3,42</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0,42 бали у першій групі та 3,33</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w:t>
      </w:r>
      <w:r w:rsidR="004669B2" w:rsidRPr="004669B2">
        <w:rPr>
          <w:rFonts w:ascii="Times New Roman" w:hAnsi="Times New Roman"/>
          <w:sz w:val="28"/>
          <w:szCs w:val="28"/>
          <w:lang w:val="uk-UA"/>
        </w:rPr>
        <w:t xml:space="preserve"> </w:t>
      </w:r>
      <w:r w:rsidR="00B6374F">
        <w:rPr>
          <w:rFonts w:ascii="Times New Roman" w:hAnsi="Times New Roman"/>
          <w:sz w:val="28"/>
          <w:szCs w:val="28"/>
          <w:lang w:val="uk-UA"/>
        </w:rPr>
        <w:t>0,43 бали у третій групі на початку, то через дванадцять місяців ми спостерігали достовірну різницю у показниках даних груп. У групі дітей з атопічними захворюваннями, до яких було застосовано концептуально нову програму лікування гінгівіту</w:t>
      </w:r>
      <w:r w:rsidR="00D7711D">
        <w:rPr>
          <w:rFonts w:ascii="Times New Roman" w:hAnsi="Times New Roman"/>
          <w:sz w:val="28"/>
          <w:szCs w:val="28"/>
          <w:lang w:val="uk-UA"/>
        </w:rPr>
        <w:t xml:space="preserve">, ми спостерігали майже повну відсутність кровоточивості ясен, у той час як у групі дітей з традиціним підходом до лікування спостерігали рецидив гінгівіту, індекс </w:t>
      </w:r>
      <w:r w:rsidR="00D7711D">
        <w:rPr>
          <w:rFonts w:ascii="Times New Roman" w:hAnsi="Times New Roman"/>
          <w:sz w:val="28"/>
          <w:szCs w:val="28"/>
        </w:rPr>
        <w:t>SBI</w:t>
      </w:r>
      <w:r w:rsidR="00D7711D" w:rsidRPr="00D7711D">
        <w:rPr>
          <w:rFonts w:ascii="Times New Roman" w:hAnsi="Times New Roman"/>
          <w:sz w:val="28"/>
          <w:szCs w:val="28"/>
          <w:lang w:val="uk-UA"/>
        </w:rPr>
        <w:t xml:space="preserve"> </w:t>
      </w:r>
      <w:r w:rsidR="00D7711D">
        <w:rPr>
          <w:rFonts w:ascii="Times New Roman" w:hAnsi="Times New Roman"/>
          <w:sz w:val="28"/>
          <w:szCs w:val="28"/>
          <w:lang w:val="uk-UA"/>
        </w:rPr>
        <w:t>дорівнював 3,15</w:t>
      </w:r>
      <w:r w:rsidR="004669B2" w:rsidRPr="004669B2">
        <w:rPr>
          <w:rFonts w:ascii="Times New Roman" w:hAnsi="Times New Roman"/>
          <w:sz w:val="28"/>
          <w:szCs w:val="28"/>
          <w:lang w:val="uk-UA"/>
        </w:rPr>
        <w:t xml:space="preserve"> </w:t>
      </w:r>
      <w:r w:rsidR="00D7711D">
        <w:rPr>
          <w:rFonts w:ascii="Times New Roman" w:hAnsi="Times New Roman" w:cs="Times New Roman"/>
          <w:sz w:val="28"/>
          <w:szCs w:val="28"/>
          <w:lang w:val="uk-UA"/>
        </w:rPr>
        <w:t>±</w:t>
      </w:r>
      <w:r w:rsidR="004669B2" w:rsidRPr="004669B2">
        <w:rPr>
          <w:rFonts w:ascii="Times New Roman" w:hAnsi="Times New Roman" w:cs="Times New Roman"/>
          <w:sz w:val="28"/>
          <w:szCs w:val="28"/>
          <w:lang w:val="uk-UA"/>
        </w:rPr>
        <w:t xml:space="preserve"> </w:t>
      </w:r>
      <w:r w:rsidR="00D7711D">
        <w:rPr>
          <w:rFonts w:ascii="Times New Roman" w:hAnsi="Times New Roman"/>
          <w:sz w:val="28"/>
          <w:szCs w:val="28"/>
          <w:lang w:val="uk-UA"/>
        </w:rPr>
        <w:t xml:space="preserve">0,34 бали. Звертає на себе увагу той факт, що </w:t>
      </w:r>
      <w:r w:rsidR="0085071C">
        <w:rPr>
          <w:rFonts w:ascii="Times New Roman" w:hAnsi="Times New Roman"/>
          <w:sz w:val="28"/>
          <w:szCs w:val="28"/>
          <w:lang w:val="uk-UA"/>
        </w:rPr>
        <w:t xml:space="preserve">через один місяць спостережень достовірної різниці між показниками не було. Отже, патогенез гінгівіту на тлі атопічних захворювань має свої особливості, які пояснюються імунометаболічними змінами, які відбуваюься в організмі дитини. На користь цього також свідчить задовільний гігієнічний статус у дітей обох групах, але різні значення індексу кровоточивості. Це підтверджує той факт, що мікробний фактор у етіології та патогенезі гінгівіту на тлі атопічних захворювань не є першочерговим. </w:t>
      </w:r>
    </w:p>
    <w:p w14:paraId="14507F21" w14:textId="6556AA07" w:rsidR="0085071C" w:rsidRDefault="0085071C"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Зроблені нами висновки стосовно ступеню запалення тканин пародонту згідно з індексом кровоточивості, визначеним у ході дослідження, підтверджуються даними інших науковців </w:t>
      </w:r>
      <w:r w:rsidRPr="0085071C">
        <w:rPr>
          <w:rFonts w:ascii="Times New Roman" w:hAnsi="Times New Roman"/>
          <w:sz w:val="28"/>
          <w:szCs w:val="28"/>
          <w:lang w:val="uk-UA"/>
        </w:rPr>
        <w:t>[</w:t>
      </w:r>
      <w:r w:rsidR="004669B2">
        <w:rPr>
          <w:rFonts w:ascii="Times New Roman" w:hAnsi="Times New Roman"/>
          <w:sz w:val="28"/>
          <w:szCs w:val="28"/>
          <w:lang w:val="uk-UA"/>
        </w:rPr>
        <w:t>352, 353</w:t>
      </w:r>
      <w:r w:rsidRPr="00BC084A">
        <w:rPr>
          <w:rFonts w:ascii="Times New Roman" w:hAnsi="Times New Roman"/>
          <w:sz w:val="28"/>
          <w:szCs w:val="28"/>
          <w:lang w:val="uk-UA"/>
        </w:rPr>
        <w:t>]</w:t>
      </w:r>
      <w:r>
        <w:rPr>
          <w:rFonts w:ascii="Times New Roman" w:hAnsi="Times New Roman"/>
          <w:sz w:val="28"/>
          <w:szCs w:val="28"/>
          <w:lang w:val="uk-UA"/>
        </w:rPr>
        <w:t xml:space="preserve">. </w:t>
      </w:r>
      <w:r w:rsidR="00252474">
        <w:rPr>
          <w:rFonts w:ascii="Times New Roman" w:hAnsi="Times New Roman"/>
          <w:sz w:val="28"/>
          <w:szCs w:val="28"/>
          <w:lang w:val="uk-UA"/>
        </w:rPr>
        <w:t>Авторами показане погіршення гінгівального статусу у дітей, хворих на атопічні захворювання, а також зміни параметрів ротової рідини, таких як в</w:t>
      </w:r>
      <w:r w:rsidR="00252474" w:rsidRPr="00252474">
        <w:rPr>
          <w:rFonts w:ascii="Times New Roman" w:hAnsi="Times New Roman"/>
          <w:sz w:val="28"/>
          <w:szCs w:val="28"/>
          <w:lang w:val="uk-UA"/>
        </w:rPr>
        <w:t>’</w:t>
      </w:r>
      <w:r w:rsidR="00252474">
        <w:rPr>
          <w:rFonts w:ascii="Times New Roman" w:hAnsi="Times New Roman"/>
          <w:sz w:val="28"/>
          <w:szCs w:val="28"/>
          <w:lang w:val="uk-UA"/>
        </w:rPr>
        <w:t>язкість та буферна ємність.</w:t>
      </w:r>
    </w:p>
    <w:p w14:paraId="6D9746BF" w14:textId="32BF73FE" w:rsidR="00252474" w:rsidRDefault="0048045B"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Надзвичайно корисними для розробки та впровадження профілактичних заходів були спостереження у групі дітей, хворих на атопічні захворювання, але без клінічних проявів гінгівіту. Клінічне визначення індексу кровоточивості, зроблене у другій та четвертій групах, показало суттєве зростання індексу у четвертій групі пацієнтів через шість та дванадцять місяців, де профілактичні заходи не були направлені на корекцію імунометаболічних розладів. Дане спостереження доводить два факти. По-перше, діти з атопічними захворюваннями знаходяться у групі ризику за захворюваннями пародонту, по-друге, серед даного контингенту дітей потрібна специфічна профілатика, направлена на корекцію імунологічного та антиоксидантного дисбалансу.</w:t>
      </w:r>
    </w:p>
    <w:p w14:paraId="6AA05F51" w14:textId="77777777" w:rsidR="009964AA" w:rsidRDefault="00E86CEB"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Для повної характеристики стану тканин пародонту у дітей з атопічними захворюваннями ми проаналізували</w:t>
      </w:r>
      <w:r w:rsidR="00BC084A">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рівень індексу РМА.</w:t>
      </w:r>
      <w:r w:rsidR="00BC084A" w:rsidRPr="00BC084A">
        <w:rPr>
          <w:rFonts w:ascii="Times New Roman" w:hAnsi="Times New Roman" w:cs="Times New Roman"/>
          <w:sz w:val="28"/>
          <w:szCs w:val="28"/>
          <w:lang w:val="ru-RU"/>
        </w:rPr>
        <w:t xml:space="preserve"> </w:t>
      </w:r>
      <w:r w:rsidR="00BC084A">
        <w:rPr>
          <w:rFonts w:ascii="Times New Roman" w:hAnsi="Times New Roman" w:cs="Times New Roman"/>
          <w:sz w:val="28"/>
          <w:szCs w:val="28"/>
          <w:lang w:val="uk-UA"/>
        </w:rPr>
        <w:t xml:space="preserve">При дослідженні даного індексу ми спостерігали схожу з індексом кровоточивості картину. На початку дослідження нами був встановлений середній ступінь запалення ясен у першій та третій групах пацієнтів, у другій та четвертій групах легкий ступінь гінгівіту. Аналіз показників у динаміці виявив відмінності у відповіді організму на проведене лікування. Так, пацієнти першої та другої груп, до яких було застосовано концептуально нову програму лікування та профілактики гінгівіту, показали стабільне покращення гінгівального статусу та відсутність ознак запалення, індекс РМА дорівнював </w:t>
      </w:r>
      <w:r w:rsidR="00BC084A" w:rsidRPr="00BC084A">
        <w:rPr>
          <w:rFonts w:ascii="Times New Roman" w:hAnsi="Times New Roman"/>
          <w:sz w:val="28"/>
          <w:szCs w:val="28"/>
          <w:lang w:val="uk-UA"/>
        </w:rPr>
        <w:t xml:space="preserve">3,59 </w:t>
      </w:r>
      <w:r w:rsidR="00BC084A" w:rsidRPr="00BC084A">
        <w:rPr>
          <w:rFonts w:ascii="Times New Roman" w:hAnsi="Times New Roman" w:cs="Times New Roman"/>
          <w:sz w:val="28"/>
          <w:szCs w:val="28"/>
          <w:lang w:val="uk-UA"/>
        </w:rPr>
        <w:t xml:space="preserve">± 2,31 % та </w:t>
      </w:r>
      <w:r w:rsidR="00BC084A">
        <w:rPr>
          <w:rFonts w:ascii="Times New Roman" w:hAnsi="Times New Roman"/>
          <w:sz w:val="28"/>
          <w:szCs w:val="28"/>
          <w:lang w:val="uk-UA"/>
        </w:rPr>
        <w:t xml:space="preserve">1,94 </w:t>
      </w:r>
      <w:r w:rsidR="00BC084A">
        <w:rPr>
          <w:rFonts w:ascii="Times New Roman" w:hAnsi="Times New Roman" w:cs="Times New Roman"/>
          <w:sz w:val="28"/>
          <w:szCs w:val="28"/>
          <w:lang w:val="uk-UA"/>
        </w:rPr>
        <w:t xml:space="preserve">± </w:t>
      </w:r>
      <w:r w:rsidR="00BC084A">
        <w:rPr>
          <w:rFonts w:ascii="Times New Roman" w:hAnsi="Times New Roman"/>
          <w:sz w:val="28"/>
          <w:szCs w:val="28"/>
          <w:lang w:val="uk-UA"/>
        </w:rPr>
        <w:t>1,61 % відповідно. При застосування до дітей з атопічними захворюваннями традиційного підходу до лікування та профілактики через шість та дванадцять місяців ми спостерігали погіршення стану тканин пародо</w:t>
      </w:r>
      <w:r w:rsidR="009964AA">
        <w:rPr>
          <w:rFonts w:ascii="Times New Roman" w:hAnsi="Times New Roman"/>
          <w:sz w:val="28"/>
          <w:szCs w:val="28"/>
          <w:lang w:val="uk-UA"/>
        </w:rPr>
        <w:t xml:space="preserve">нту. У третій групі пацієнтів ступінь запалення через дванадцять місяців повернувся до початкового рівня, а у четвертій групі нами було констатоване збільшення індексу РМА та достовірна різниця у порівнянні з початковим рівнем. </w:t>
      </w:r>
    </w:p>
    <w:p w14:paraId="75D19516" w14:textId="3D61AE92" w:rsidR="0048045B" w:rsidRDefault="009964AA"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згідно з клінічними показниками стану тканин пародонту, які були проаналізовані та порівняні у динаміці, очевидною є наявність складного ланцюгу запальних реакцій, які ініційовані імунними розладами у дітей на тлі бронхіальної астми, алергічного риніту та атопічного дерматиту.</w:t>
      </w:r>
      <w:r w:rsidR="00BB4B9B">
        <w:rPr>
          <w:rFonts w:ascii="Times New Roman" w:hAnsi="Times New Roman"/>
          <w:sz w:val="28"/>
          <w:szCs w:val="28"/>
          <w:lang w:val="uk-UA"/>
        </w:rPr>
        <w:t xml:space="preserve"> Отримані нами результати дослідження схожі на ті, що вже були отримані. Результати досліджень </w:t>
      </w:r>
      <w:r w:rsidR="00BB4B9B">
        <w:rPr>
          <w:rFonts w:ascii="Times New Roman" w:hAnsi="Times New Roman"/>
          <w:sz w:val="28"/>
          <w:szCs w:val="28"/>
        </w:rPr>
        <w:t>R</w:t>
      </w:r>
      <w:r w:rsidR="00BB4B9B" w:rsidRPr="00BB4B9B">
        <w:rPr>
          <w:rFonts w:ascii="Times New Roman" w:hAnsi="Times New Roman"/>
          <w:sz w:val="28"/>
          <w:szCs w:val="28"/>
          <w:lang w:val="uk-UA"/>
        </w:rPr>
        <w:t xml:space="preserve">. </w:t>
      </w:r>
      <w:r w:rsidR="00BB4B9B">
        <w:rPr>
          <w:rFonts w:ascii="Times New Roman" w:hAnsi="Times New Roman"/>
          <w:sz w:val="28"/>
          <w:szCs w:val="28"/>
        </w:rPr>
        <w:t>Uppal</w:t>
      </w:r>
      <w:r w:rsidR="00BB4B9B" w:rsidRPr="00BB4B9B">
        <w:rPr>
          <w:rFonts w:ascii="Times New Roman" w:hAnsi="Times New Roman"/>
          <w:sz w:val="28"/>
          <w:szCs w:val="28"/>
          <w:lang w:val="uk-UA"/>
        </w:rPr>
        <w:t xml:space="preserve"> [</w:t>
      </w:r>
      <w:r w:rsidR="00F81F79">
        <w:rPr>
          <w:rFonts w:ascii="Times New Roman" w:hAnsi="Times New Roman"/>
          <w:sz w:val="28"/>
          <w:szCs w:val="28"/>
          <w:lang w:val="uk-UA"/>
        </w:rPr>
        <w:t>354</w:t>
      </w:r>
      <w:r w:rsidR="00BB4B9B" w:rsidRPr="00BB4B9B">
        <w:rPr>
          <w:rFonts w:ascii="Times New Roman" w:hAnsi="Times New Roman"/>
          <w:sz w:val="28"/>
          <w:szCs w:val="28"/>
          <w:lang w:val="uk-UA"/>
        </w:rPr>
        <w:t>] показали, що деструкція пародонту була більшою в групі</w:t>
      </w:r>
      <w:r w:rsidR="009D152D" w:rsidRPr="009D152D">
        <w:rPr>
          <w:rFonts w:ascii="Times New Roman" w:hAnsi="Times New Roman"/>
          <w:sz w:val="28"/>
          <w:szCs w:val="28"/>
          <w:lang w:val="uk-UA"/>
        </w:rPr>
        <w:t xml:space="preserve"> </w:t>
      </w:r>
      <w:r w:rsidR="009D152D">
        <w:rPr>
          <w:rFonts w:ascii="Times New Roman" w:hAnsi="Times New Roman"/>
          <w:sz w:val="28"/>
          <w:szCs w:val="28"/>
          <w:lang w:val="uk-UA"/>
        </w:rPr>
        <w:t>пацієнтів з астмою</w:t>
      </w:r>
      <w:r w:rsidR="00BB4B9B" w:rsidRPr="00BB4B9B">
        <w:rPr>
          <w:rFonts w:ascii="Times New Roman" w:hAnsi="Times New Roman"/>
          <w:sz w:val="28"/>
          <w:szCs w:val="28"/>
          <w:lang w:val="uk-UA"/>
        </w:rPr>
        <w:t xml:space="preserve"> порівняно з неастматичною гр</w:t>
      </w:r>
      <w:r w:rsidR="009D152D">
        <w:rPr>
          <w:rFonts w:ascii="Times New Roman" w:hAnsi="Times New Roman"/>
          <w:sz w:val="28"/>
          <w:szCs w:val="28"/>
          <w:lang w:val="uk-UA"/>
        </w:rPr>
        <w:t>упою</w:t>
      </w:r>
      <w:r w:rsidR="00BB4B9B" w:rsidRPr="00BB4B9B">
        <w:rPr>
          <w:rFonts w:ascii="Times New Roman" w:hAnsi="Times New Roman"/>
          <w:sz w:val="28"/>
          <w:szCs w:val="28"/>
          <w:lang w:val="uk-UA"/>
        </w:rPr>
        <w:t>. Ці висновки узгоджуються з попередніми дослідженнями</w:t>
      </w:r>
      <w:r w:rsidR="009D152D">
        <w:rPr>
          <w:rFonts w:ascii="Times New Roman" w:hAnsi="Times New Roman"/>
          <w:sz w:val="28"/>
          <w:szCs w:val="28"/>
          <w:lang w:val="uk-UA"/>
        </w:rPr>
        <w:t xml:space="preserve"> </w:t>
      </w:r>
      <w:r w:rsidR="009D152D" w:rsidRPr="009D152D">
        <w:rPr>
          <w:rFonts w:ascii="Times New Roman" w:hAnsi="Times New Roman"/>
          <w:sz w:val="28"/>
          <w:szCs w:val="28"/>
          <w:lang w:val="uk-UA"/>
        </w:rPr>
        <w:t>[</w:t>
      </w:r>
      <w:r w:rsidR="00F81F79">
        <w:rPr>
          <w:rFonts w:ascii="Times New Roman" w:hAnsi="Times New Roman"/>
          <w:sz w:val="28"/>
          <w:szCs w:val="28"/>
          <w:lang w:val="uk-UA"/>
        </w:rPr>
        <w:t>355, 56</w:t>
      </w:r>
      <w:r w:rsidR="00DA55C2" w:rsidRPr="00DA55C2">
        <w:rPr>
          <w:rFonts w:ascii="Times New Roman" w:hAnsi="Times New Roman"/>
          <w:sz w:val="28"/>
          <w:szCs w:val="28"/>
          <w:lang w:val="uk-UA"/>
        </w:rPr>
        <w:t>].</w:t>
      </w:r>
      <w:r w:rsidR="009D152D">
        <w:rPr>
          <w:rFonts w:ascii="Times New Roman" w:hAnsi="Times New Roman"/>
          <w:sz w:val="28"/>
          <w:szCs w:val="28"/>
          <w:lang w:val="uk-UA"/>
        </w:rPr>
        <w:t xml:space="preserve"> Hyppa et al. [</w:t>
      </w:r>
      <w:r w:rsidR="00F81F79">
        <w:rPr>
          <w:rFonts w:ascii="Times New Roman" w:hAnsi="Times New Roman"/>
          <w:sz w:val="28"/>
          <w:szCs w:val="28"/>
          <w:lang w:val="uk-UA"/>
        </w:rPr>
        <w:t>357</w:t>
      </w:r>
      <w:r w:rsidR="009D152D">
        <w:rPr>
          <w:rFonts w:ascii="Times New Roman" w:hAnsi="Times New Roman"/>
          <w:sz w:val="28"/>
          <w:szCs w:val="28"/>
          <w:lang w:val="uk-UA"/>
        </w:rPr>
        <w:t>] та McDeera et al. [</w:t>
      </w:r>
      <w:r w:rsidR="00F81F79">
        <w:rPr>
          <w:rFonts w:ascii="Times New Roman" w:hAnsi="Times New Roman"/>
          <w:sz w:val="28"/>
          <w:szCs w:val="28"/>
          <w:lang w:val="uk-UA"/>
        </w:rPr>
        <w:t>358</w:t>
      </w:r>
      <w:r w:rsidR="009D152D">
        <w:rPr>
          <w:rFonts w:ascii="Times New Roman" w:hAnsi="Times New Roman"/>
          <w:sz w:val="28"/>
          <w:szCs w:val="28"/>
          <w:lang w:val="uk-UA"/>
        </w:rPr>
        <w:t>]</w:t>
      </w:r>
      <w:r w:rsidR="00BB4B9B" w:rsidRPr="00BB4B9B">
        <w:rPr>
          <w:rFonts w:ascii="Times New Roman" w:hAnsi="Times New Roman"/>
          <w:sz w:val="28"/>
          <w:szCs w:val="28"/>
          <w:lang w:val="uk-UA"/>
        </w:rPr>
        <w:t xml:space="preserve"> також повідомляють, що астма</w:t>
      </w:r>
      <w:r w:rsidR="009D152D">
        <w:rPr>
          <w:rFonts w:ascii="Times New Roman" w:hAnsi="Times New Roman"/>
          <w:sz w:val="28"/>
          <w:szCs w:val="28"/>
          <w:lang w:val="uk-UA"/>
        </w:rPr>
        <w:t>тики мають гірший</w:t>
      </w:r>
      <w:r w:rsidR="00BB4B9B" w:rsidRPr="00BB4B9B">
        <w:rPr>
          <w:rFonts w:ascii="Times New Roman" w:hAnsi="Times New Roman"/>
          <w:sz w:val="28"/>
          <w:szCs w:val="28"/>
          <w:lang w:val="uk-UA"/>
        </w:rPr>
        <w:t xml:space="preserve"> стан пародонту, ніж </w:t>
      </w:r>
      <w:r w:rsidR="009D152D">
        <w:rPr>
          <w:rFonts w:ascii="Times New Roman" w:hAnsi="Times New Roman"/>
          <w:sz w:val="28"/>
          <w:szCs w:val="28"/>
          <w:lang w:val="uk-UA"/>
        </w:rPr>
        <w:t>група контролю</w:t>
      </w:r>
      <w:r w:rsidR="00BB4B9B" w:rsidRPr="00BB4B9B">
        <w:rPr>
          <w:rFonts w:ascii="Times New Roman" w:hAnsi="Times New Roman"/>
          <w:sz w:val="28"/>
          <w:szCs w:val="28"/>
          <w:lang w:val="uk-UA"/>
        </w:rPr>
        <w:t>. У кількох звітах не виявлено істотних відмінностей у пародонтологічному статусі астматичних та</w:t>
      </w:r>
      <w:r w:rsidR="009D152D">
        <w:rPr>
          <w:rFonts w:ascii="Times New Roman" w:hAnsi="Times New Roman"/>
          <w:sz w:val="28"/>
          <w:szCs w:val="28"/>
          <w:lang w:val="uk-UA"/>
        </w:rPr>
        <w:t xml:space="preserve"> неастматичних суб'єктів </w:t>
      </w:r>
      <w:r w:rsidR="009D152D" w:rsidRPr="009D152D">
        <w:rPr>
          <w:rFonts w:ascii="Times New Roman" w:hAnsi="Times New Roman"/>
          <w:sz w:val="28"/>
          <w:szCs w:val="28"/>
          <w:lang w:val="uk-UA"/>
        </w:rPr>
        <w:t>[</w:t>
      </w:r>
      <w:r w:rsidR="00F81F79">
        <w:rPr>
          <w:rFonts w:ascii="Times New Roman" w:hAnsi="Times New Roman"/>
          <w:sz w:val="28"/>
          <w:szCs w:val="28"/>
          <w:lang w:val="ru-RU"/>
        </w:rPr>
        <w:t>359</w:t>
      </w:r>
      <w:r w:rsidR="009D152D" w:rsidRPr="009D152D">
        <w:rPr>
          <w:rFonts w:ascii="Times New Roman" w:hAnsi="Times New Roman"/>
          <w:sz w:val="28"/>
          <w:szCs w:val="28"/>
          <w:lang w:val="uk-UA"/>
        </w:rPr>
        <w:t>]</w:t>
      </w:r>
      <w:r w:rsidR="009D152D">
        <w:rPr>
          <w:rFonts w:ascii="Times New Roman" w:hAnsi="Times New Roman"/>
          <w:sz w:val="28"/>
          <w:szCs w:val="28"/>
          <w:lang w:val="uk-UA"/>
        </w:rPr>
        <w:t>.</w:t>
      </w:r>
      <w:r w:rsidR="00BB4B9B" w:rsidRPr="00BB4B9B">
        <w:rPr>
          <w:rFonts w:ascii="Times New Roman" w:hAnsi="Times New Roman"/>
          <w:sz w:val="28"/>
          <w:szCs w:val="28"/>
          <w:lang w:val="uk-UA"/>
        </w:rPr>
        <w:t xml:space="preserve"> Більше руйнування пародонтологічного апарату в астматичній групі може бути пов'язане з підвищенням рівн</w:t>
      </w:r>
      <w:r w:rsidR="009D152D">
        <w:rPr>
          <w:rFonts w:ascii="Times New Roman" w:hAnsi="Times New Roman"/>
          <w:sz w:val="28"/>
          <w:szCs w:val="28"/>
          <w:lang w:val="uk-UA"/>
        </w:rPr>
        <w:t>я IgE в тканинах ясен</w:t>
      </w:r>
      <w:r w:rsidR="00BB4B9B" w:rsidRPr="00BB4B9B">
        <w:rPr>
          <w:rFonts w:ascii="Times New Roman" w:hAnsi="Times New Roman"/>
          <w:sz w:val="28"/>
          <w:szCs w:val="28"/>
          <w:lang w:val="uk-UA"/>
        </w:rPr>
        <w:t>, що може призвести до реакції гіперчутливо</w:t>
      </w:r>
      <w:r w:rsidR="009D152D">
        <w:rPr>
          <w:rFonts w:ascii="Times New Roman" w:hAnsi="Times New Roman"/>
          <w:sz w:val="28"/>
          <w:szCs w:val="28"/>
          <w:lang w:val="uk-UA"/>
        </w:rPr>
        <w:t>сті та зниження рівня IgA</w:t>
      </w:r>
      <w:r w:rsidR="009D152D" w:rsidRPr="009D152D">
        <w:rPr>
          <w:rFonts w:ascii="Times New Roman" w:hAnsi="Times New Roman"/>
          <w:sz w:val="28"/>
          <w:szCs w:val="28"/>
          <w:lang w:val="uk-UA"/>
        </w:rPr>
        <w:t xml:space="preserve"> [</w:t>
      </w:r>
      <w:r w:rsidR="00F81F79">
        <w:rPr>
          <w:rFonts w:ascii="Times New Roman" w:hAnsi="Times New Roman"/>
          <w:sz w:val="28"/>
          <w:szCs w:val="28"/>
          <w:lang w:val="uk-UA"/>
        </w:rPr>
        <w:t>360</w:t>
      </w:r>
      <w:r w:rsidR="00DA55C2" w:rsidRPr="00DA55C2">
        <w:rPr>
          <w:rFonts w:ascii="Times New Roman" w:hAnsi="Times New Roman"/>
          <w:sz w:val="28"/>
          <w:szCs w:val="28"/>
          <w:lang w:val="uk-UA"/>
        </w:rPr>
        <w:t>, 69</w:t>
      </w:r>
      <w:r w:rsidR="009D152D" w:rsidRPr="009D152D">
        <w:rPr>
          <w:rFonts w:ascii="Times New Roman" w:hAnsi="Times New Roman"/>
          <w:sz w:val="28"/>
          <w:szCs w:val="28"/>
          <w:lang w:val="uk-UA"/>
        </w:rPr>
        <w:t>]</w:t>
      </w:r>
      <w:r w:rsidR="009D152D">
        <w:rPr>
          <w:rFonts w:ascii="Times New Roman" w:hAnsi="Times New Roman"/>
          <w:sz w:val="28"/>
          <w:szCs w:val="28"/>
          <w:lang w:val="uk-UA"/>
        </w:rPr>
        <w:t>. Індекси</w:t>
      </w:r>
      <w:r w:rsidR="00763FF8">
        <w:rPr>
          <w:rFonts w:ascii="Times New Roman" w:hAnsi="Times New Roman"/>
          <w:sz w:val="28"/>
          <w:szCs w:val="28"/>
          <w:lang w:val="uk-UA"/>
        </w:rPr>
        <w:t xml:space="preserve"> гінгівіту</w:t>
      </w:r>
      <w:r w:rsidR="00BB4B9B" w:rsidRPr="00BB4B9B">
        <w:rPr>
          <w:rFonts w:ascii="Times New Roman" w:hAnsi="Times New Roman"/>
          <w:sz w:val="28"/>
          <w:szCs w:val="28"/>
          <w:lang w:val="uk-UA"/>
        </w:rPr>
        <w:t xml:space="preserve"> PBI та GI показали, що поширеність гінгівіту була вищою серед астматичної групи. Ці висновки можуть бути підтверджені різними попе</w:t>
      </w:r>
      <w:r w:rsidR="009D152D">
        <w:rPr>
          <w:rFonts w:ascii="Times New Roman" w:hAnsi="Times New Roman"/>
          <w:sz w:val="28"/>
          <w:szCs w:val="28"/>
          <w:lang w:val="uk-UA"/>
        </w:rPr>
        <w:t xml:space="preserve">редніми звітами. </w:t>
      </w:r>
      <w:r w:rsidR="00BB4B9B" w:rsidRPr="00BB4B9B">
        <w:rPr>
          <w:rFonts w:ascii="Times New Roman" w:hAnsi="Times New Roman"/>
          <w:sz w:val="28"/>
          <w:szCs w:val="28"/>
          <w:lang w:val="uk-UA"/>
        </w:rPr>
        <w:t>Підвищений</w:t>
      </w:r>
      <w:r w:rsidR="009D152D">
        <w:rPr>
          <w:rFonts w:ascii="Times New Roman" w:hAnsi="Times New Roman"/>
          <w:sz w:val="28"/>
          <w:szCs w:val="28"/>
          <w:lang w:val="uk-UA"/>
        </w:rPr>
        <w:t xml:space="preserve"> рівень розповсюдженості</w:t>
      </w:r>
      <w:r w:rsidR="00BB4B9B" w:rsidRPr="00BB4B9B">
        <w:rPr>
          <w:rFonts w:ascii="Times New Roman" w:hAnsi="Times New Roman"/>
          <w:sz w:val="28"/>
          <w:szCs w:val="28"/>
          <w:lang w:val="uk-UA"/>
        </w:rPr>
        <w:t xml:space="preserve"> гінгівіт</w:t>
      </w:r>
      <w:r w:rsidR="009D152D">
        <w:rPr>
          <w:rFonts w:ascii="Times New Roman" w:hAnsi="Times New Roman"/>
          <w:sz w:val="28"/>
          <w:szCs w:val="28"/>
          <w:lang w:val="uk-UA"/>
        </w:rPr>
        <w:t>у в</w:t>
      </w:r>
      <w:r w:rsidR="00BB4B9B" w:rsidRPr="00BB4B9B">
        <w:rPr>
          <w:rFonts w:ascii="Times New Roman" w:hAnsi="Times New Roman"/>
          <w:sz w:val="28"/>
          <w:szCs w:val="28"/>
          <w:lang w:val="uk-UA"/>
        </w:rPr>
        <w:t xml:space="preserve"> астматичній групі може бути пов'язаний із зміною імунної відповіді. </w:t>
      </w:r>
      <w:r w:rsidR="003C53FB">
        <w:rPr>
          <w:rFonts w:ascii="Times New Roman" w:hAnsi="Times New Roman"/>
          <w:sz w:val="28"/>
          <w:szCs w:val="28"/>
          <w:lang w:val="uk-UA"/>
        </w:rPr>
        <w:t>Ксеростомія</w:t>
      </w:r>
      <w:r w:rsidR="00BB4B9B" w:rsidRPr="00BB4B9B">
        <w:rPr>
          <w:rFonts w:ascii="Times New Roman" w:hAnsi="Times New Roman"/>
          <w:sz w:val="28"/>
          <w:szCs w:val="28"/>
          <w:lang w:val="uk-UA"/>
        </w:rPr>
        <w:t xml:space="preserve"> через </w:t>
      </w:r>
      <w:r w:rsidR="003C53FB">
        <w:rPr>
          <w:rFonts w:ascii="Times New Roman" w:hAnsi="Times New Roman"/>
          <w:sz w:val="28"/>
          <w:szCs w:val="28"/>
          <w:lang w:val="uk-UA"/>
        </w:rPr>
        <w:t>ротове дихання</w:t>
      </w:r>
      <w:r w:rsidR="00BB4B9B" w:rsidRPr="00BB4B9B">
        <w:rPr>
          <w:rFonts w:ascii="Times New Roman" w:hAnsi="Times New Roman"/>
          <w:sz w:val="28"/>
          <w:szCs w:val="28"/>
          <w:lang w:val="uk-UA"/>
        </w:rPr>
        <w:t xml:space="preserve"> при астматичній атаці також може бути</w:t>
      </w:r>
      <w:r w:rsidR="003C53FB">
        <w:rPr>
          <w:rFonts w:ascii="Times New Roman" w:hAnsi="Times New Roman"/>
          <w:sz w:val="28"/>
          <w:szCs w:val="28"/>
          <w:lang w:val="uk-UA"/>
        </w:rPr>
        <w:t xml:space="preserve"> фактором, що викликає гінгівіт, як показують д</w:t>
      </w:r>
      <w:r w:rsidR="00BB4B9B" w:rsidRPr="00BB4B9B">
        <w:rPr>
          <w:rFonts w:ascii="Times New Roman" w:hAnsi="Times New Roman"/>
          <w:sz w:val="28"/>
          <w:szCs w:val="28"/>
          <w:lang w:val="uk-UA"/>
        </w:rPr>
        <w:t>ослідже</w:t>
      </w:r>
      <w:r w:rsidR="003C53FB">
        <w:rPr>
          <w:rFonts w:ascii="Times New Roman" w:hAnsi="Times New Roman"/>
          <w:sz w:val="28"/>
          <w:szCs w:val="28"/>
          <w:lang w:val="uk-UA"/>
        </w:rPr>
        <w:t xml:space="preserve">ння Шульмана та співавт. </w:t>
      </w:r>
      <w:r w:rsidR="00BB4B9B" w:rsidRPr="00BB4B9B">
        <w:rPr>
          <w:rFonts w:ascii="Times New Roman" w:hAnsi="Times New Roman"/>
          <w:sz w:val="28"/>
          <w:szCs w:val="28"/>
          <w:lang w:val="uk-UA"/>
        </w:rPr>
        <w:t xml:space="preserve">У </w:t>
      </w:r>
      <w:r w:rsidR="003C53FB">
        <w:rPr>
          <w:rFonts w:ascii="Times New Roman" w:hAnsi="Times New Roman"/>
          <w:sz w:val="28"/>
          <w:szCs w:val="28"/>
          <w:lang w:val="uk-UA"/>
        </w:rPr>
        <w:t>дослідженні</w:t>
      </w:r>
      <w:r w:rsidR="00BB4B9B" w:rsidRPr="00BB4B9B">
        <w:rPr>
          <w:rFonts w:ascii="Times New Roman" w:hAnsi="Times New Roman"/>
          <w:sz w:val="28"/>
          <w:szCs w:val="28"/>
          <w:lang w:val="uk-UA"/>
        </w:rPr>
        <w:t xml:space="preserve"> </w:t>
      </w:r>
      <w:r w:rsidR="003C53FB">
        <w:rPr>
          <w:rFonts w:ascii="Times New Roman" w:hAnsi="Times New Roman"/>
          <w:sz w:val="28"/>
          <w:szCs w:val="28"/>
        </w:rPr>
        <w:t>R</w:t>
      </w:r>
      <w:r w:rsidR="003C53FB" w:rsidRPr="00BB4B9B">
        <w:rPr>
          <w:rFonts w:ascii="Times New Roman" w:hAnsi="Times New Roman"/>
          <w:sz w:val="28"/>
          <w:szCs w:val="28"/>
          <w:lang w:val="uk-UA"/>
        </w:rPr>
        <w:t xml:space="preserve">. </w:t>
      </w:r>
      <w:r w:rsidR="003C53FB">
        <w:rPr>
          <w:rFonts w:ascii="Times New Roman" w:hAnsi="Times New Roman"/>
          <w:sz w:val="28"/>
          <w:szCs w:val="28"/>
        </w:rPr>
        <w:t>Uppal</w:t>
      </w:r>
      <w:r w:rsidR="003C53FB" w:rsidRPr="00BB4B9B">
        <w:rPr>
          <w:rFonts w:ascii="Times New Roman" w:hAnsi="Times New Roman"/>
          <w:sz w:val="28"/>
          <w:szCs w:val="28"/>
          <w:lang w:val="uk-UA"/>
        </w:rPr>
        <w:t xml:space="preserve"> </w:t>
      </w:r>
      <w:r w:rsidR="00C1367E">
        <w:rPr>
          <w:rFonts w:ascii="Times New Roman" w:hAnsi="Times New Roman"/>
          <w:sz w:val="28"/>
          <w:szCs w:val="28"/>
          <w:lang w:val="uk-UA"/>
        </w:rPr>
        <w:t>рівень індексу зубного каменю (</w:t>
      </w:r>
      <w:r w:rsidR="00C1367E">
        <w:rPr>
          <w:rFonts w:ascii="Times New Roman" w:hAnsi="Times New Roman"/>
          <w:sz w:val="28"/>
          <w:szCs w:val="28"/>
        </w:rPr>
        <w:t>Calculus</w:t>
      </w:r>
      <w:r w:rsidR="00C1367E" w:rsidRPr="00C1367E">
        <w:rPr>
          <w:rFonts w:ascii="Times New Roman" w:hAnsi="Times New Roman"/>
          <w:sz w:val="28"/>
          <w:szCs w:val="28"/>
          <w:lang w:val="uk-UA"/>
        </w:rPr>
        <w:t xml:space="preserve"> </w:t>
      </w:r>
      <w:r w:rsidR="00C1367E">
        <w:rPr>
          <w:rFonts w:ascii="Times New Roman" w:hAnsi="Times New Roman"/>
          <w:sz w:val="28"/>
          <w:szCs w:val="28"/>
        </w:rPr>
        <w:t>index</w:t>
      </w:r>
      <w:r w:rsidR="00C1367E">
        <w:rPr>
          <w:rFonts w:ascii="Times New Roman" w:hAnsi="Times New Roman"/>
          <w:sz w:val="28"/>
          <w:szCs w:val="28"/>
          <w:lang w:val="uk-UA"/>
        </w:rPr>
        <w:t xml:space="preserve">) </w:t>
      </w:r>
      <w:r w:rsidR="00BB4B9B" w:rsidRPr="00BB4B9B">
        <w:rPr>
          <w:rFonts w:ascii="Times New Roman" w:hAnsi="Times New Roman"/>
          <w:sz w:val="28"/>
          <w:szCs w:val="28"/>
          <w:lang w:val="uk-UA"/>
        </w:rPr>
        <w:t>був значно вищий у</w:t>
      </w:r>
      <w:r w:rsidR="00C1367E" w:rsidRPr="00C1367E">
        <w:rPr>
          <w:rFonts w:ascii="Times New Roman" w:hAnsi="Times New Roman"/>
          <w:sz w:val="28"/>
          <w:szCs w:val="28"/>
          <w:lang w:val="uk-UA"/>
        </w:rPr>
        <w:t xml:space="preserve"> </w:t>
      </w:r>
      <w:r w:rsidR="00C1367E">
        <w:rPr>
          <w:rFonts w:ascii="Times New Roman" w:hAnsi="Times New Roman"/>
          <w:sz w:val="28"/>
          <w:szCs w:val="28"/>
          <w:lang w:val="uk-UA"/>
        </w:rPr>
        <w:t>дослідній</w:t>
      </w:r>
      <w:r w:rsidR="00BB4B9B" w:rsidRPr="00BB4B9B">
        <w:rPr>
          <w:rFonts w:ascii="Times New Roman" w:hAnsi="Times New Roman"/>
          <w:sz w:val="28"/>
          <w:szCs w:val="28"/>
          <w:lang w:val="uk-UA"/>
        </w:rPr>
        <w:t xml:space="preserve"> групі порівняно з контрольною групою, і це аналогічно результатам попередніх досліджень</w:t>
      </w:r>
      <w:r w:rsidR="00C1367E">
        <w:rPr>
          <w:rFonts w:ascii="Times New Roman" w:hAnsi="Times New Roman"/>
          <w:sz w:val="28"/>
          <w:szCs w:val="28"/>
          <w:lang w:val="uk-UA"/>
        </w:rPr>
        <w:t xml:space="preserve"> </w:t>
      </w:r>
      <w:r w:rsidR="00C1367E" w:rsidRPr="00C1367E">
        <w:rPr>
          <w:rFonts w:ascii="Times New Roman" w:hAnsi="Times New Roman"/>
          <w:sz w:val="28"/>
          <w:szCs w:val="28"/>
          <w:lang w:val="uk-UA"/>
        </w:rPr>
        <w:t>[</w:t>
      </w:r>
      <w:r w:rsidR="00F81F79">
        <w:rPr>
          <w:rFonts w:ascii="Times New Roman" w:hAnsi="Times New Roman"/>
          <w:sz w:val="28"/>
          <w:szCs w:val="28"/>
          <w:lang w:val="uk-UA"/>
        </w:rPr>
        <w:t>354</w:t>
      </w:r>
      <w:r w:rsidR="00C1367E" w:rsidRPr="00C1367E">
        <w:rPr>
          <w:rFonts w:ascii="Times New Roman" w:hAnsi="Times New Roman"/>
          <w:sz w:val="28"/>
          <w:szCs w:val="28"/>
          <w:lang w:val="uk-UA"/>
        </w:rPr>
        <w:t>]</w:t>
      </w:r>
      <w:r w:rsidR="00BB4B9B" w:rsidRPr="00BB4B9B">
        <w:rPr>
          <w:rFonts w:ascii="Times New Roman" w:hAnsi="Times New Roman"/>
          <w:sz w:val="28"/>
          <w:szCs w:val="28"/>
          <w:lang w:val="uk-UA"/>
        </w:rPr>
        <w:t>. Це може бути пов'язано з підвищеним рівнем вмісту кальцію та фосфору в субмаксілярній і паротиновій сли</w:t>
      </w:r>
      <w:r w:rsidR="00C1367E">
        <w:rPr>
          <w:rFonts w:ascii="Times New Roman" w:hAnsi="Times New Roman"/>
          <w:sz w:val="28"/>
          <w:szCs w:val="28"/>
          <w:lang w:val="uk-UA"/>
        </w:rPr>
        <w:t>ні астматичних пацієнтів.</w:t>
      </w:r>
      <w:r w:rsidR="00BB4B9B" w:rsidRPr="00BB4B9B">
        <w:rPr>
          <w:rFonts w:ascii="Times New Roman" w:hAnsi="Times New Roman"/>
          <w:sz w:val="28"/>
          <w:szCs w:val="28"/>
          <w:lang w:val="uk-UA"/>
        </w:rPr>
        <w:t xml:space="preserve"> </w:t>
      </w:r>
      <w:r w:rsidR="00C1367E">
        <w:rPr>
          <w:rFonts w:ascii="Times New Roman" w:hAnsi="Times New Roman"/>
          <w:sz w:val="28"/>
          <w:szCs w:val="28"/>
          <w:lang w:val="uk-UA"/>
        </w:rPr>
        <w:t>З</w:t>
      </w:r>
      <w:r w:rsidR="00A731FF">
        <w:rPr>
          <w:rFonts w:ascii="Times New Roman" w:hAnsi="Times New Roman"/>
          <w:sz w:val="28"/>
          <w:szCs w:val="28"/>
          <w:lang w:val="uk-UA"/>
        </w:rPr>
        <w:t>міни з</w:t>
      </w:r>
      <w:r w:rsidR="00C1367E">
        <w:rPr>
          <w:rFonts w:ascii="Times New Roman" w:hAnsi="Times New Roman"/>
          <w:sz w:val="28"/>
          <w:szCs w:val="28"/>
          <w:lang w:val="uk-UA"/>
        </w:rPr>
        <w:t>начення індексу рівню прикріплення ясен (</w:t>
      </w:r>
      <w:r w:rsidR="00C1367E" w:rsidRPr="00C1367E">
        <w:rPr>
          <w:rFonts w:ascii="Times New Roman" w:hAnsi="Times New Roman"/>
          <w:sz w:val="28"/>
          <w:szCs w:val="28"/>
          <w:lang w:val="uk-UA"/>
        </w:rPr>
        <w:t>Clinical attachment level (CAL)</w:t>
      </w:r>
      <w:r w:rsidR="00C1367E">
        <w:rPr>
          <w:rFonts w:ascii="Times New Roman" w:hAnsi="Times New Roman"/>
          <w:sz w:val="28"/>
          <w:szCs w:val="28"/>
          <w:lang w:val="uk-UA"/>
        </w:rPr>
        <w:t>)</w:t>
      </w:r>
      <w:r w:rsidR="00BB4B9B" w:rsidRPr="00BB4B9B">
        <w:rPr>
          <w:rFonts w:ascii="Times New Roman" w:hAnsi="Times New Roman"/>
          <w:sz w:val="28"/>
          <w:szCs w:val="28"/>
          <w:lang w:val="uk-UA"/>
        </w:rPr>
        <w:t xml:space="preserve"> є ознакою хронічного захворювання пародонту</w:t>
      </w:r>
      <w:r w:rsidR="00A731FF">
        <w:rPr>
          <w:rFonts w:ascii="Times New Roman" w:hAnsi="Times New Roman"/>
          <w:sz w:val="28"/>
          <w:szCs w:val="28"/>
          <w:lang w:val="uk-UA"/>
        </w:rPr>
        <w:t xml:space="preserve">, що було вивчено авторами </w:t>
      </w:r>
      <w:r w:rsidR="00A731FF" w:rsidRPr="00BB4B9B">
        <w:rPr>
          <w:rFonts w:ascii="Times New Roman" w:hAnsi="Times New Roman"/>
          <w:sz w:val="28"/>
          <w:szCs w:val="28"/>
          <w:lang w:val="uk-UA"/>
        </w:rPr>
        <w:t>[</w:t>
      </w:r>
      <w:r w:rsidR="00F81F79">
        <w:rPr>
          <w:rFonts w:ascii="Times New Roman" w:hAnsi="Times New Roman"/>
          <w:sz w:val="28"/>
          <w:szCs w:val="28"/>
          <w:lang w:val="uk-UA"/>
        </w:rPr>
        <w:t>354, 356</w:t>
      </w:r>
      <w:r w:rsidR="00A731FF" w:rsidRPr="00BB4B9B">
        <w:rPr>
          <w:rFonts w:ascii="Times New Roman" w:hAnsi="Times New Roman"/>
          <w:sz w:val="28"/>
          <w:szCs w:val="28"/>
          <w:lang w:val="uk-UA"/>
        </w:rPr>
        <w:t>]</w:t>
      </w:r>
      <w:r w:rsidR="00A731FF">
        <w:rPr>
          <w:rFonts w:ascii="Times New Roman" w:hAnsi="Times New Roman"/>
          <w:sz w:val="28"/>
          <w:szCs w:val="28"/>
          <w:lang w:val="uk-UA"/>
        </w:rPr>
        <w:t>. П</w:t>
      </w:r>
      <w:r w:rsidR="00BB4B9B" w:rsidRPr="00BB4B9B">
        <w:rPr>
          <w:rFonts w:ascii="Times New Roman" w:hAnsi="Times New Roman"/>
          <w:sz w:val="28"/>
          <w:szCs w:val="28"/>
          <w:lang w:val="uk-UA"/>
        </w:rPr>
        <w:t xml:space="preserve">орівняння значень CAL групи </w:t>
      </w:r>
      <w:r w:rsidR="00A731FF">
        <w:rPr>
          <w:rFonts w:ascii="Times New Roman" w:hAnsi="Times New Roman"/>
          <w:sz w:val="28"/>
          <w:szCs w:val="28"/>
          <w:lang w:val="uk-UA"/>
        </w:rPr>
        <w:t>пацієнтів з різними ступенями тяжкості астми та контрольної групи було зроблене</w:t>
      </w:r>
      <w:r w:rsidR="00BB4B9B" w:rsidRPr="00BB4B9B">
        <w:rPr>
          <w:rFonts w:ascii="Times New Roman" w:hAnsi="Times New Roman"/>
          <w:sz w:val="28"/>
          <w:szCs w:val="28"/>
          <w:lang w:val="uk-UA"/>
        </w:rPr>
        <w:t xml:space="preserve">, і це дало статистично значущі результати. Було відзначено, що значення </w:t>
      </w:r>
      <w:r w:rsidR="00A731FF">
        <w:rPr>
          <w:rFonts w:ascii="Times New Roman" w:hAnsi="Times New Roman"/>
          <w:sz w:val="28"/>
          <w:szCs w:val="28"/>
          <w:lang w:val="uk-UA"/>
        </w:rPr>
        <w:t>індексу постійно збільшує</w:t>
      </w:r>
      <w:r w:rsidR="00BB4B9B" w:rsidRPr="00BB4B9B">
        <w:rPr>
          <w:rFonts w:ascii="Times New Roman" w:hAnsi="Times New Roman"/>
          <w:sz w:val="28"/>
          <w:szCs w:val="28"/>
          <w:lang w:val="uk-UA"/>
        </w:rPr>
        <w:t>ться при збільшенні тяжкості астми, що вказує на зв'язок між тяжкістю астми та зн</w:t>
      </w:r>
      <w:r w:rsidR="00A731FF">
        <w:rPr>
          <w:rFonts w:ascii="Times New Roman" w:hAnsi="Times New Roman"/>
          <w:sz w:val="28"/>
          <w:szCs w:val="28"/>
          <w:lang w:val="uk-UA"/>
        </w:rPr>
        <w:t>ищенням пародонту. Добре відомі вже</w:t>
      </w:r>
      <w:r w:rsidR="00BB4B9B" w:rsidRPr="00BB4B9B">
        <w:rPr>
          <w:rFonts w:ascii="Times New Roman" w:hAnsi="Times New Roman"/>
          <w:sz w:val="28"/>
          <w:szCs w:val="28"/>
          <w:lang w:val="uk-UA"/>
        </w:rPr>
        <w:t xml:space="preserve"> </w:t>
      </w:r>
      <w:r w:rsidR="00A731FF">
        <w:rPr>
          <w:rFonts w:ascii="Times New Roman" w:hAnsi="Times New Roman"/>
          <w:sz w:val="28"/>
          <w:szCs w:val="28"/>
          <w:lang w:val="uk-UA"/>
        </w:rPr>
        <w:t>зміни тканин</w:t>
      </w:r>
      <w:r w:rsidR="00BB4B9B" w:rsidRPr="00BB4B9B">
        <w:rPr>
          <w:rFonts w:ascii="Times New Roman" w:hAnsi="Times New Roman"/>
          <w:sz w:val="28"/>
          <w:szCs w:val="28"/>
          <w:lang w:val="uk-UA"/>
        </w:rPr>
        <w:t xml:space="preserve"> пародонта при системн</w:t>
      </w:r>
      <w:r w:rsidR="00A731FF">
        <w:rPr>
          <w:rFonts w:ascii="Times New Roman" w:hAnsi="Times New Roman"/>
          <w:sz w:val="28"/>
          <w:szCs w:val="28"/>
          <w:lang w:val="uk-UA"/>
        </w:rPr>
        <w:t>их захворюваннях також підтримують</w:t>
      </w:r>
      <w:r w:rsidR="00BB4B9B" w:rsidRPr="00BB4B9B">
        <w:rPr>
          <w:rFonts w:ascii="Times New Roman" w:hAnsi="Times New Roman"/>
          <w:sz w:val="28"/>
          <w:szCs w:val="28"/>
          <w:lang w:val="uk-UA"/>
        </w:rPr>
        <w:t xml:space="preserve"> цю асоціацію. Це можна пояснити тим, що існує спадкоємність</w:t>
      </w:r>
      <w:r w:rsidR="00A731FF">
        <w:rPr>
          <w:rFonts w:ascii="Times New Roman" w:hAnsi="Times New Roman"/>
          <w:sz w:val="28"/>
          <w:szCs w:val="28"/>
          <w:lang w:val="uk-UA"/>
        </w:rPr>
        <w:t xml:space="preserve"> стану тканин</w:t>
      </w:r>
      <w:r w:rsidR="00BB4B9B" w:rsidRPr="00BB4B9B">
        <w:rPr>
          <w:rFonts w:ascii="Times New Roman" w:hAnsi="Times New Roman"/>
          <w:sz w:val="28"/>
          <w:szCs w:val="28"/>
          <w:lang w:val="uk-UA"/>
        </w:rPr>
        <w:t xml:space="preserve"> поро</w:t>
      </w:r>
      <w:r w:rsidR="00A731FF">
        <w:rPr>
          <w:rFonts w:ascii="Times New Roman" w:hAnsi="Times New Roman"/>
          <w:sz w:val="28"/>
          <w:szCs w:val="28"/>
          <w:lang w:val="uk-UA"/>
        </w:rPr>
        <w:t>жнини рота та дихальних шляхів, у астматичній хворобі</w:t>
      </w:r>
      <w:r w:rsidR="00BB4B9B" w:rsidRPr="00BB4B9B">
        <w:rPr>
          <w:rFonts w:ascii="Times New Roman" w:hAnsi="Times New Roman"/>
          <w:sz w:val="28"/>
          <w:szCs w:val="28"/>
          <w:lang w:val="uk-UA"/>
        </w:rPr>
        <w:t xml:space="preserve"> імунна відповідь є механізмом, що пов'язаний з патогенезом та прогресуванням захворювання</w:t>
      </w:r>
      <w:r w:rsidR="00A731FF">
        <w:rPr>
          <w:rFonts w:ascii="Times New Roman" w:hAnsi="Times New Roman"/>
          <w:sz w:val="28"/>
          <w:szCs w:val="28"/>
          <w:lang w:val="uk-UA"/>
        </w:rPr>
        <w:t xml:space="preserve"> </w:t>
      </w:r>
      <w:r w:rsidR="00A731FF" w:rsidRPr="00A731FF">
        <w:rPr>
          <w:rFonts w:ascii="Times New Roman" w:hAnsi="Times New Roman"/>
          <w:sz w:val="28"/>
          <w:szCs w:val="28"/>
          <w:lang w:val="uk-UA"/>
        </w:rPr>
        <w:t>[</w:t>
      </w:r>
      <w:r w:rsidR="00F81F79">
        <w:rPr>
          <w:rFonts w:ascii="Times New Roman" w:hAnsi="Times New Roman"/>
          <w:sz w:val="28"/>
          <w:szCs w:val="28"/>
          <w:lang w:val="uk-UA"/>
        </w:rPr>
        <w:t>3</w:t>
      </w:r>
      <w:r w:rsidR="00F81F79" w:rsidRPr="00F81F79">
        <w:rPr>
          <w:rFonts w:ascii="Times New Roman" w:hAnsi="Times New Roman"/>
          <w:sz w:val="28"/>
          <w:szCs w:val="28"/>
          <w:lang w:val="uk-UA"/>
        </w:rPr>
        <w:t>6</w:t>
      </w:r>
      <w:r w:rsidR="00F81F79">
        <w:rPr>
          <w:rFonts w:ascii="Times New Roman" w:hAnsi="Times New Roman"/>
          <w:sz w:val="28"/>
          <w:szCs w:val="28"/>
          <w:lang w:val="uk-UA"/>
        </w:rPr>
        <w:t>1</w:t>
      </w:r>
      <w:r w:rsidR="00A731FF" w:rsidRPr="00A731FF">
        <w:rPr>
          <w:rFonts w:ascii="Times New Roman" w:hAnsi="Times New Roman"/>
          <w:sz w:val="28"/>
          <w:szCs w:val="28"/>
          <w:lang w:val="uk-UA"/>
        </w:rPr>
        <w:t>]</w:t>
      </w:r>
      <w:r w:rsidR="00BB4B9B" w:rsidRPr="00BB4B9B">
        <w:rPr>
          <w:rFonts w:ascii="Times New Roman" w:hAnsi="Times New Roman"/>
          <w:sz w:val="28"/>
          <w:szCs w:val="28"/>
          <w:lang w:val="uk-UA"/>
        </w:rPr>
        <w:t>. Зміни в імунному функціонуванні при астмі</w:t>
      </w:r>
      <w:r w:rsidR="00A731FF">
        <w:rPr>
          <w:rFonts w:ascii="Times New Roman" w:hAnsi="Times New Roman"/>
          <w:sz w:val="28"/>
          <w:szCs w:val="28"/>
          <w:lang w:val="uk-UA"/>
        </w:rPr>
        <w:t xml:space="preserve"> не</w:t>
      </w:r>
      <w:r w:rsidR="00BB4B9B" w:rsidRPr="00BB4B9B">
        <w:rPr>
          <w:rFonts w:ascii="Times New Roman" w:hAnsi="Times New Roman"/>
          <w:sz w:val="28"/>
          <w:szCs w:val="28"/>
          <w:lang w:val="uk-UA"/>
        </w:rPr>
        <w:t xml:space="preserve"> можуть </w:t>
      </w:r>
      <w:r w:rsidR="00A731FF">
        <w:rPr>
          <w:rFonts w:ascii="Times New Roman" w:hAnsi="Times New Roman"/>
          <w:sz w:val="28"/>
          <w:szCs w:val="28"/>
          <w:lang w:val="uk-UA"/>
        </w:rPr>
        <w:t xml:space="preserve">не </w:t>
      </w:r>
      <w:r w:rsidR="00BB4B9B" w:rsidRPr="00BB4B9B">
        <w:rPr>
          <w:rFonts w:ascii="Times New Roman" w:hAnsi="Times New Roman"/>
          <w:sz w:val="28"/>
          <w:szCs w:val="28"/>
          <w:lang w:val="uk-UA"/>
        </w:rPr>
        <w:t xml:space="preserve">призвести до руйнування пародонту. </w:t>
      </w:r>
      <w:r w:rsidR="00A731FF">
        <w:rPr>
          <w:rFonts w:ascii="Times New Roman" w:hAnsi="Times New Roman"/>
          <w:sz w:val="28"/>
          <w:szCs w:val="28"/>
          <w:lang w:val="uk-UA"/>
        </w:rPr>
        <w:t>За даними дослідників, у пацієнтів</w:t>
      </w:r>
      <w:r w:rsidR="00BB4B9B" w:rsidRPr="00BB4B9B">
        <w:rPr>
          <w:rFonts w:ascii="Times New Roman" w:hAnsi="Times New Roman"/>
          <w:sz w:val="28"/>
          <w:szCs w:val="28"/>
          <w:lang w:val="uk-UA"/>
        </w:rPr>
        <w:t xml:space="preserve"> з</w:t>
      </w:r>
      <w:r w:rsidR="00A731FF">
        <w:rPr>
          <w:rFonts w:ascii="Times New Roman" w:hAnsi="Times New Roman"/>
          <w:sz w:val="28"/>
          <w:szCs w:val="28"/>
          <w:lang w:val="uk-UA"/>
        </w:rPr>
        <w:t xml:space="preserve"> атопічною</w:t>
      </w:r>
      <w:r w:rsidR="00BB4B9B" w:rsidRPr="00BB4B9B">
        <w:rPr>
          <w:rFonts w:ascii="Times New Roman" w:hAnsi="Times New Roman"/>
          <w:sz w:val="28"/>
          <w:szCs w:val="28"/>
          <w:lang w:val="uk-UA"/>
        </w:rPr>
        <w:t xml:space="preserve"> астмою відзнач</w:t>
      </w:r>
      <w:r w:rsidR="00312EF6">
        <w:rPr>
          <w:rFonts w:ascii="Times New Roman" w:hAnsi="Times New Roman"/>
          <w:sz w:val="28"/>
          <w:szCs w:val="28"/>
          <w:lang w:val="uk-UA"/>
        </w:rPr>
        <w:t>ають зниження рівня IgA .</w:t>
      </w:r>
      <w:r w:rsidR="00BB4B9B" w:rsidRPr="00BB4B9B">
        <w:rPr>
          <w:rFonts w:ascii="Times New Roman" w:hAnsi="Times New Roman"/>
          <w:sz w:val="28"/>
          <w:szCs w:val="28"/>
          <w:lang w:val="uk-UA"/>
        </w:rPr>
        <w:t xml:space="preserve"> Оскільки IgA діє як захист першої лінії для слизової оболонки і відіграє важливу роль у обмеженні захворювання пародонту, його знижені рівні у хворих астмою можуть бути пов'язані з руйнуванням пародонту. Як було пояснено раніше, рівні IgE збільшені в </w:t>
      </w:r>
      <w:r w:rsidR="003C2587">
        <w:rPr>
          <w:rFonts w:ascii="Times New Roman" w:hAnsi="Times New Roman"/>
          <w:sz w:val="28"/>
          <w:szCs w:val="28"/>
          <w:lang w:val="uk-UA"/>
        </w:rPr>
        <w:t>ротовій рідині хворих астмою і це може також мати свої наслідки</w:t>
      </w:r>
      <w:r w:rsidR="00EE3DAD">
        <w:rPr>
          <w:rFonts w:ascii="Times New Roman" w:hAnsi="Times New Roman"/>
          <w:sz w:val="28"/>
          <w:szCs w:val="28"/>
          <w:lang w:val="uk-UA"/>
        </w:rPr>
        <w:t xml:space="preserve"> у</w:t>
      </w:r>
      <w:r w:rsidR="00BB4B9B" w:rsidRPr="00BB4B9B">
        <w:rPr>
          <w:rFonts w:ascii="Times New Roman" w:hAnsi="Times New Roman"/>
          <w:sz w:val="28"/>
          <w:szCs w:val="28"/>
          <w:lang w:val="uk-UA"/>
        </w:rPr>
        <w:t xml:space="preserve"> </w:t>
      </w:r>
      <w:r w:rsidR="003C2587">
        <w:rPr>
          <w:rFonts w:ascii="Times New Roman" w:hAnsi="Times New Roman"/>
          <w:sz w:val="28"/>
          <w:szCs w:val="28"/>
          <w:lang w:val="uk-UA"/>
        </w:rPr>
        <w:t xml:space="preserve">руйнуванні </w:t>
      </w:r>
      <w:r w:rsidR="003C2587" w:rsidRPr="00BB4B9B">
        <w:rPr>
          <w:rFonts w:ascii="Times New Roman" w:hAnsi="Times New Roman"/>
          <w:sz w:val="28"/>
          <w:szCs w:val="28"/>
          <w:lang w:val="uk-UA"/>
        </w:rPr>
        <w:t>пародонту</w:t>
      </w:r>
      <w:r w:rsidR="00BB4B9B" w:rsidRPr="00BB4B9B">
        <w:rPr>
          <w:rFonts w:ascii="Times New Roman" w:hAnsi="Times New Roman"/>
          <w:sz w:val="28"/>
          <w:szCs w:val="28"/>
          <w:lang w:val="uk-UA"/>
        </w:rPr>
        <w:t>. Більше того</w:t>
      </w:r>
      <w:r w:rsidR="003C2587">
        <w:rPr>
          <w:rFonts w:ascii="Times New Roman" w:hAnsi="Times New Roman"/>
          <w:sz w:val="28"/>
          <w:szCs w:val="28"/>
          <w:lang w:val="uk-UA"/>
        </w:rPr>
        <w:t>, медикаментозна терапія,</w:t>
      </w:r>
      <w:r w:rsidR="00BB4B9B" w:rsidRPr="00BB4B9B">
        <w:rPr>
          <w:rFonts w:ascii="Times New Roman" w:hAnsi="Times New Roman"/>
          <w:sz w:val="28"/>
          <w:szCs w:val="28"/>
          <w:lang w:val="uk-UA"/>
        </w:rPr>
        <w:t xml:space="preserve"> викорис</w:t>
      </w:r>
      <w:r w:rsidR="003C2587">
        <w:rPr>
          <w:rFonts w:ascii="Times New Roman" w:hAnsi="Times New Roman"/>
          <w:sz w:val="28"/>
          <w:szCs w:val="28"/>
          <w:lang w:val="uk-UA"/>
        </w:rPr>
        <w:t xml:space="preserve">тана </w:t>
      </w:r>
      <w:r w:rsidR="00EE3DAD">
        <w:rPr>
          <w:rFonts w:ascii="Times New Roman" w:hAnsi="Times New Roman"/>
          <w:sz w:val="28"/>
          <w:szCs w:val="28"/>
          <w:lang w:val="uk-UA"/>
        </w:rPr>
        <w:t>д</w:t>
      </w:r>
      <w:r w:rsidR="003C2587">
        <w:rPr>
          <w:rFonts w:ascii="Times New Roman" w:hAnsi="Times New Roman"/>
          <w:sz w:val="28"/>
          <w:szCs w:val="28"/>
          <w:lang w:val="uk-UA"/>
        </w:rPr>
        <w:t>ля управління астмою</w:t>
      </w:r>
      <w:r w:rsidR="00BB4B9B" w:rsidRPr="00BB4B9B">
        <w:rPr>
          <w:rFonts w:ascii="Times New Roman" w:hAnsi="Times New Roman"/>
          <w:sz w:val="28"/>
          <w:szCs w:val="28"/>
          <w:lang w:val="uk-UA"/>
        </w:rPr>
        <w:t xml:space="preserve"> може впливати</w:t>
      </w:r>
      <w:r w:rsidR="003C2587">
        <w:rPr>
          <w:rFonts w:ascii="Times New Roman" w:hAnsi="Times New Roman"/>
          <w:sz w:val="28"/>
          <w:szCs w:val="28"/>
          <w:lang w:val="uk-UA"/>
        </w:rPr>
        <w:t xml:space="preserve"> на формування запалення та імунну </w:t>
      </w:r>
      <w:r w:rsidR="00BB4B9B" w:rsidRPr="00BB4B9B">
        <w:rPr>
          <w:rFonts w:ascii="Times New Roman" w:hAnsi="Times New Roman"/>
          <w:sz w:val="28"/>
          <w:szCs w:val="28"/>
          <w:lang w:val="uk-UA"/>
        </w:rPr>
        <w:t>відповідь</w:t>
      </w:r>
      <w:r w:rsidR="003C2587">
        <w:rPr>
          <w:rFonts w:ascii="Times New Roman" w:hAnsi="Times New Roman"/>
          <w:sz w:val="28"/>
          <w:szCs w:val="28"/>
          <w:lang w:val="uk-UA"/>
        </w:rPr>
        <w:t>, що</w:t>
      </w:r>
      <w:r w:rsidR="00BB4B9B" w:rsidRPr="00BB4B9B">
        <w:rPr>
          <w:rFonts w:ascii="Times New Roman" w:hAnsi="Times New Roman"/>
          <w:sz w:val="28"/>
          <w:szCs w:val="28"/>
          <w:lang w:val="uk-UA"/>
        </w:rPr>
        <w:t xml:space="preserve"> тим самим негативно впливає</w:t>
      </w:r>
      <w:r w:rsidR="003C2587">
        <w:rPr>
          <w:rFonts w:ascii="Times New Roman" w:hAnsi="Times New Roman"/>
          <w:sz w:val="28"/>
          <w:szCs w:val="28"/>
          <w:lang w:val="uk-UA"/>
        </w:rPr>
        <w:t xml:space="preserve"> на стан ясен та пародонтальний</w:t>
      </w:r>
      <w:r w:rsidR="00BB4B9B" w:rsidRPr="00BB4B9B">
        <w:rPr>
          <w:rFonts w:ascii="Times New Roman" w:hAnsi="Times New Roman"/>
          <w:sz w:val="28"/>
          <w:szCs w:val="28"/>
          <w:lang w:val="uk-UA"/>
        </w:rPr>
        <w:t xml:space="preserve"> с</w:t>
      </w:r>
      <w:r w:rsidR="00F81F79">
        <w:rPr>
          <w:rFonts w:ascii="Times New Roman" w:hAnsi="Times New Roman"/>
          <w:sz w:val="28"/>
          <w:szCs w:val="28"/>
          <w:lang w:val="uk-UA"/>
        </w:rPr>
        <w:t>татус [362</w:t>
      </w:r>
      <w:r w:rsidR="00A731FF" w:rsidRPr="00DA55C2">
        <w:rPr>
          <w:rFonts w:ascii="Times New Roman" w:hAnsi="Times New Roman"/>
          <w:sz w:val="28"/>
          <w:szCs w:val="28"/>
          <w:lang w:val="ru-RU"/>
        </w:rPr>
        <w:t>]</w:t>
      </w:r>
      <w:r w:rsidR="00BB4B9B" w:rsidRPr="00BB4B9B">
        <w:rPr>
          <w:rFonts w:ascii="Times New Roman" w:hAnsi="Times New Roman"/>
          <w:sz w:val="28"/>
          <w:szCs w:val="28"/>
          <w:lang w:val="uk-UA"/>
        </w:rPr>
        <w:t>.</w:t>
      </w:r>
      <w:r w:rsidR="003C2587">
        <w:rPr>
          <w:rFonts w:ascii="Times New Roman" w:hAnsi="Times New Roman"/>
          <w:sz w:val="28"/>
          <w:szCs w:val="28"/>
          <w:lang w:val="uk-UA"/>
        </w:rPr>
        <w:t xml:space="preserve"> Отже, факторів, які призводять до запалення тканин пародонту у дітей, хворих на атопічні захворювання, є значна кількість. Виявлені нами зміни у стані тканин пародонту згідно з індексною оцінкою цілком підтверджуються даними інших авторів та пояснюються зміненою імунною відповіддю організму за наявності атопії.</w:t>
      </w:r>
    </w:p>
    <w:p w14:paraId="12D1288B" w14:textId="6D193FE2" w:rsidR="008B5A84" w:rsidRDefault="00314E80" w:rsidP="007D7D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виявлення ролі мікробного фактору у етіології та патогенезі гінгівіту у дітей на тлі атопічних захворювань нами був проведений моніторінг стану гігієни порожнини рота у динаміці на основі даних індексу Грін-Вермільйона. Як відомо, мікробний фактор вважається провідним у етіології гінгівіту, проте,як вже було показано у інших дослідженнях, наявність атопічних захворювань впливає та змінює патогенез запальних захворювань пародонту </w:t>
      </w:r>
      <w:r w:rsidRPr="00314E80">
        <w:rPr>
          <w:rFonts w:ascii="Times New Roman" w:hAnsi="Times New Roman" w:cs="Times New Roman"/>
          <w:sz w:val="28"/>
          <w:szCs w:val="28"/>
          <w:lang w:val="uk-UA"/>
        </w:rPr>
        <w:t>[</w:t>
      </w:r>
      <w:r w:rsidR="00F81F79">
        <w:rPr>
          <w:rFonts w:ascii="Times New Roman" w:hAnsi="Times New Roman" w:cs="Times New Roman"/>
          <w:sz w:val="28"/>
          <w:szCs w:val="28"/>
          <w:lang w:val="uk-UA"/>
        </w:rPr>
        <w:t>363, 364</w:t>
      </w:r>
      <w:r w:rsidRPr="00314E80">
        <w:rPr>
          <w:rFonts w:ascii="Times New Roman" w:hAnsi="Times New Roman" w:cs="Times New Roman"/>
          <w:sz w:val="28"/>
          <w:szCs w:val="28"/>
          <w:lang w:val="uk-UA"/>
        </w:rPr>
        <w:t>]</w:t>
      </w:r>
      <w:r>
        <w:rPr>
          <w:rFonts w:ascii="Times New Roman" w:hAnsi="Times New Roman" w:cs="Times New Roman"/>
          <w:sz w:val="28"/>
          <w:szCs w:val="28"/>
          <w:lang w:val="uk-UA"/>
        </w:rPr>
        <w:t>.</w:t>
      </w:r>
      <w:r w:rsidR="008B5A84" w:rsidRPr="008B5A84">
        <w:rPr>
          <w:rFonts w:ascii="Times New Roman" w:hAnsi="Times New Roman" w:cs="Times New Roman"/>
          <w:sz w:val="28"/>
          <w:szCs w:val="28"/>
          <w:lang w:val="uk-UA"/>
        </w:rPr>
        <w:t xml:space="preserve"> </w:t>
      </w:r>
    </w:p>
    <w:p w14:paraId="7759A64B" w14:textId="3D1DE272" w:rsidR="008B5A84" w:rsidRDefault="008B5A84"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Середній рівень гігієни у групах дітей з атопічними захворюваннями дорівнював 1.54</w:t>
      </w:r>
      <w:r w:rsidR="00F81F79" w:rsidRPr="00F81F79">
        <w:rPr>
          <w:rFonts w:ascii="Times New Roman" w:hAnsi="Times New Roman"/>
          <w:sz w:val="28"/>
          <w:szCs w:val="28"/>
          <w:lang w:val="ru-RU"/>
        </w:rPr>
        <w:t xml:space="preserve"> </w:t>
      </w:r>
      <w:r>
        <w:rPr>
          <w:rFonts w:ascii="Times New Roman" w:hAnsi="Times New Roman" w:cs="Times New Roman"/>
          <w:sz w:val="28"/>
          <w:szCs w:val="28"/>
          <w:lang w:val="uk-UA"/>
        </w:rPr>
        <w:t>±</w:t>
      </w:r>
      <w:r w:rsidR="00F81F79" w:rsidRPr="00F81F79">
        <w:rPr>
          <w:rFonts w:ascii="Times New Roman" w:hAnsi="Times New Roman" w:cs="Times New Roman"/>
          <w:sz w:val="28"/>
          <w:szCs w:val="28"/>
          <w:lang w:val="ru-RU"/>
        </w:rPr>
        <w:t xml:space="preserve"> </w:t>
      </w:r>
      <w:r>
        <w:rPr>
          <w:rFonts w:ascii="Times New Roman" w:hAnsi="Times New Roman"/>
          <w:sz w:val="28"/>
          <w:szCs w:val="28"/>
          <w:lang w:val="uk-UA"/>
        </w:rPr>
        <w:t>0.42 бали, що</w:t>
      </w:r>
      <w:r w:rsidRPr="008B5A84">
        <w:rPr>
          <w:rFonts w:ascii="Times New Roman" w:hAnsi="Times New Roman"/>
          <w:sz w:val="28"/>
          <w:szCs w:val="28"/>
          <w:lang w:val="ru-RU"/>
        </w:rPr>
        <w:t xml:space="preserve"> </w:t>
      </w:r>
      <w:r>
        <w:rPr>
          <w:rFonts w:ascii="Times New Roman" w:hAnsi="Times New Roman"/>
          <w:sz w:val="28"/>
          <w:szCs w:val="28"/>
          <w:lang w:val="uk-UA"/>
        </w:rPr>
        <w:t>було достовірно вище за контрольну групу. Згідно з отриманими результатами стан гігієни ротової порожнини у пацієнтів першої та третьої групи був незадовільним на початку дослідження, а через шість та дванадцять місяців відповідав рівню «добре», але показники запалення тканин пародонту, такі як індекс кровоточивості та індекс РМА, говорили про наявність запалення. Отже, мікробний фактор не є першочерговим у розвитку запалення у тканинах пародонта у дітей з атопічними захворюваннями. Характерною також була клінічна картина стану ясен, яку ми спостерігали під час обстеження даного контингенту дітей. На фоні задовільної гігієни порожнини рота та незначних проявів гіперемії ми фіксували значну кровоточивість при зондуванні та запалення ясен, яке відповідало середньому ступеню тяжкості гінгівіту. Так само на тлі задовільного стану гігієни ми спостерігали значні порушення мукозального імунітету та антиоксидантний дисбаланс. Це підтверджує провідну роль імунометаболічних розладів у етіології, патогенезі та клініці гінгівіту у дітей з атопічними захворюваннями.</w:t>
      </w:r>
    </w:p>
    <w:p w14:paraId="6F476B23" w14:textId="2AFA72B9" w:rsidR="00342BE1" w:rsidRPr="00342BE1" w:rsidRDefault="00354D2E" w:rsidP="00342B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протязі проведення дослідження, нами були вивчені фізичні властивості ротової рідини, а саме був визначений рівень муцину та рН. Як показали результати дослідження рівню муцину у ротовій рідині дітей з атопічними захворюваннями та соматично здорових дітей, мало місце підвищення його вмісту на тлі атопічних захворювань. При цьому важливо відмітити, що призначення концептуально нової програми профілактики та лікування хронічного гінгівіту у дітей з атопічними захворюваннями призвело до нормалізації вмісту муцину у ротовій рідині. </w:t>
      </w:r>
      <w:r w:rsidR="00B64947" w:rsidRPr="00B64947">
        <w:rPr>
          <w:rFonts w:ascii="Times New Roman" w:hAnsi="Times New Roman"/>
          <w:sz w:val="28"/>
          <w:szCs w:val="28"/>
          <w:lang w:val="uk-UA"/>
        </w:rPr>
        <w:t>Важ</w:t>
      </w:r>
      <w:r w:rsidR="00B64947">
        <w:rPr>
          <w:rFonts w:ascii="Times New Roman" w:hAnsi="Times New Roman"/>
          <w:sz w:val="28"/>
          <w:szCs w:val="28"/>
          <w:lang w:val="uk-UA"/>
        </w:rPr>
        <w:t xml:space="preserve">ливість рівню муцину у ротовій рідині пояснена багатьма фундаментальними дослідженнями, так само як її участь у формуванні патологічних процесів на слизових оболонках </w:t>
      </w:r>
      <w:r w:rsidR="00B64947" w:rsidRPr="00B64947">
        <w:rPr>
          <w:rFonts w:ascii="Times New Roman" w:hAnsi="Times New Roman"/>
          <w:sz w:val="28"/>
          <w:szCs w:val="28"/>
          <w:lang w:val="uk-UA"/>
        </w:rPr>
        <w:t>[</w:t>
      </w:r>
      <w:r w:rsidR="00F81F79">
        <w:rPr>
          <w:rFonts w:ascii="Times New Roman" w:hAnsi="Times New Roman"/>
          <w:sz w:val="28"/>
          <w:szCs w:val="28"/>
          <w:lang w:val="ru-RU"/>
        </w:rPr>
        <w:t>365, 366</w:t>
      </w:r>
      <w:r w:rsidR="001A6893" w:rsidRPr="001A6893">
        <w:rPr>
          <w:rFonts w:ascii="Times New Roman" w:hAnsi="Times New Roman"/>
          <w:sz w:val="28"/>
          <w:szCs w:val="28"/>
          <w:lang w:val="ru-RU"/>
        </w:rPr>
        <w:t>].</w:t>
      </w:r>
      <w:r w:rsidR="00342BE1">
        <w:rPr>
          <w:rFonts w:ascii="Times New Roman" w:hAnsi="Times New Roman"/>
          <w:color w:val="FF0000"/>
          <w:sz w:val="16"/>
          <w:szCs w:val="16"/>
          <w:lang w:val="uk-UA"/>
        </w:rPr>
        <w:t xml:space="preserve"> </w:t>
      </w:r>
      <w:r w:rsidR="00342BE1">
        <w:rPr>
          <w:rFonts w:ascii="Times New Roman" w:hAnsi="Times New Roman"/>
          <w:sz w:val="28"/>
          <w:szCs w:val="28"/>
          <w:lang w:val="uk-UA"/>
        </w:rPr>
        <w:t>Як встановлено вченими, муцин відіграє</w:t>
      </w:r>
      <w:r w:rsidR="00342BE1" w:rsidRPr="00342BE1">
        <w:rPr>
          <w:rFonts w:ascii="Times New Roman" w:hAnsi="Times New Roman"/>
          <w:sz w:val="28"/>
          <w:szCs w:val="28"/>
          <w:lang w:val="uk-UA"/>
        </w:rPr>
        <w:t xml:space="preserve"> важливу роль у мо</w:t>
      </w:r>
      <w:r w:rsidR="00342BE1">
        <w:rPr>
          <w:rFonts w:ascii="Times New Roman" w:hAnsi="Times New Roman"/>
          <w:sz w:val="28"/>
          <w:szCs w:val="28"/>
          <w:lang w:val="uk-UA"/>
        </w:rPr>
        <w:t>дуляції оральної флори, змащенні та тканинному покритті</w:t>
      </w:r>
      <w:r w:rsidR="00342BE1" w:rsidRPr="00342BE1">
        <w:rPr>
          <w:rFonts w:ascii="Times New Roman" w:hAnsi="Times New Roman"/>
          <w:sz w:val="28"/>
          <w:szCs w:val="28"/>
          <w:lang w:val="uk-UA"/>
        </w:rPr>
        <w:t xml:space="preserve"> оральних твердих і м'яких тканин [</w:t>
      </w:r>
      <w:r w:rsidR="00F81F79">
        <w:rPr>
          <w:rFonts w:ascii="Times New Roman" w:hAnsi="Times New Roman"/>
          <w:sz w:val="28"/>
          <w:szCs w:val="28"/>
          <w:lang w:val="ru-RU"/>
        </w:rPr>
        <w:t>367</w:t>
      </w:r>
      <w:r w:rsidR="00342BE1" w:rsidRPr="00342BE1">
        <w:rPr>
          <w:rFonts w:ascii="Times New Roman" w:hAnsi="Times New Roman"/>
          <w:sz w:val="28"/>
          <w:szCs w:val="28"/>
          <w:lang w:val="uk-UA"/>
        </w:rPr>
        <w:t>]. Недавні дослідження показують, що муцин слини демонструє бактерицидну активність проти Aggregatibacter actinomycetemcomitans, що є одним з основних патогенів,</w:t>
      </w:r>
      <w:r w:rsidR="00342BE1">
        <w:rPr>
          <w:rFonts w:ascii="Times New Roman" w:hAnsi="Times New Roman"/>
          <w:sz w:val="28"/>
          <w:szCs w:val="28"/>
          <w:lang w:val="uk-UA"/>
        </w:rPr>
        <w:t xml:space="preserve"> відповідальних за пародонтит [</w:t>
      </w:r>
      <w:r w:rsidR="00F81F79">
        <w:rPr>
          <w:rFonts w:ascii="Times New Roman" w:hAnsi="Times New Roman"/>
          <w:sz w:val="28"/>
          <w:szCs w:val="28"/>
          <w:lang w:val="uk-UA"/>
        </w:rPr>
        <w:t>368</w:t>
      </w:r>
      <w:r w:rsidR="00342BE1" w:rsidRPr="00342BE1">
        <w:rPr>
          <w:rFonts w:ascii="Times New Roman" w:hAnsi="Times New Roman"/>
          <w:sz w:val="28"/>
          <w:szCs w:val="28"/>
          <w:lang w:val="uk-UA"/>
        </w:rPr>
        <w:t>]</w:t>
      </w:r>
      <w:r w:rsidR="00342BE1">
        <w:rPr>
          <w:rFonts w:ascii="Times New Roman" w:hAnsi="Times New Roman"/>
          <w:sz w:val="28"/>
          <w:szCs w:val="28"/>
          <w:lang w:val="uk-UA"/>
        </w:rPr>
        <w:t>. Муц</w:t>
      </w:r>
      <w:r w:rsidR="00342BE1" w:rsidRPr="00342BE1">
        <w:rPr>
          <w:rFonts w:ascii="Times New Roman" w:hAnsi="Times New Roman"/>
          <w:sz w:val="28"/>
          <w:szCs w:val="28"/>
          <w:lang w:val="uk-UA"/>
        </w:rPr>
        <w:t xml:space="preserve">ини, що містяться </w:t>
      </w:r>
      <w:r w:rsidR="00342BE1">
        <w:rPr>
          <w:rFonts w:ascii="Times New Roman" w:hAnsi="Times New Roman"/>
          <w:sz w:val="28"/>
          <w:szCs w:val="28"/>
          <w:lang w:val="uk-UA"/>
        </w:rPr>
        <w:t>у ротовій рідині</w:t>
      </w:r>
      <w:r w:rsidR="00342BE1" w:rsidRPr="00342BE1">
        <w:rPr>
          <w:rFonts w:ascii="Times New Roman" w:hAnsi="Times New Roman"/>
          <w:sz w:val="28"/>
          <w:szCs w:val="28"/>
          <w:lang w:val="uk-UA"/>
        </w:rPr>
        <w:t>, являють собою гетерогенну групу глікопротеїнів, синтезованих і вивільнених підщелепними та під'яз</w:t>
      </w:r>
      <w:r w:rsidR="00D608E8">
        <w:rPr>
          <w:rFonts w:ascii="Times New Roman" w:hAnsi="Times New Roman"/>
          <w:sz w:val="28"/>
          <w:szCs w:val="28"/>
          <w:lang w:val="uk-UA"/>
        </w:rPr>
        <w:t>иковими залозами, а також дрібними</w:t>
      </w:r>
      <w:r w:rsidR="00342BE1" w:rsidRPr="00342BE1">
        <w:rPr>
          <w:rFonts w:ascii="Times New Roman" w:hAnsi="Times New Roman"/>
          <w:sz w:val="28"/>
          <w:szCs w:val="28"/>
          <w:lang w:val="uk-UA"/>
        </w:rPr>
        <w:t xml:space="preserve"> зало</w:t>
      </w:r>
      <w:r w:rsidR="00D608E8">
        <w:rPr>
          <w:rFonts w:ascii="Times New Roman" w:hAnsi="Times New Roman"/>
          <w:sz w:val="28"/>
          <w:szCs w:val="28"/>
          <w:lang w:val="uk-UA"/>
        </w:rPr>
        <w:t>зами</w:t>
      </w:r>
      <w:r w:rsidR="00342BE1" w:rsidRPr="00342BE1">
        <w:rPr>
          <w:rFonts w:ascii="Times New Roman" w:hAnsi="Times New Roman"/>
          <w:sz w:val="28"/>
          <w:szCs w:val="28"/>
          <w:lang w:val="uk-UA"/>
        </w:rPr>
        <w:t xml:space="preserve"> слизової оболонки порожнини рота [</w:t>
      </w:r>
      <w:r w:rsidR="00F81F79">
        <w:rPr>
          <w:rFonts w:ascii="Times New Roman" w:hAnsi="Times New Roman"/>
          <w:sz w:val="28"/>
          <w:szCs w:val="28"/>
          <w:lang w:val="uk-UA"/>
        </w:rPr>
        <w:t>369</w:t>
      </w:r>
      <w:r w:rsidR="00342BE1" w:rsidRPr="00342BE1">
        <w:rPr>
          <w:rFonts w:ascii="Times New Roman" w:hAnsi="Times New Roman"/>
          <w:sz w:val="28"/>
          <w:szCs w:val="28"/>
          <w:lang w:val="uk-UA"/>
        </w:rPr>
        <w:t xml:space="preserve">]. </w:t>
      </w:r>
      <w:r w:rsidR="00D608E8">
        <w:rPr>
          <w:rFonts w:ascii="Times New Roman" w:hAnsi="Times New Roman"/>
          <w:sz w:val="28"/>
          <w:szCs w:val="28"/>
          <w:lang w:val="uk-UA"/>
        </w:rPr>
        <w:t>Муци</w:t>
      </w:r>
      <w:r w:rsidR="00342BE1" w:rsidRPr="00342BE1">
        <w:rPr>
          <w:rFonts w:ascii="Times New Roman" w:hAnsi="Times New Roman"/>
          <w:sz w:val="28"/>
          <w:szCs w:val="28"/>
          <w:lang w:val="uk-UA"/>
        </w:rPr>
        <w:t>ни важливі як для підтримання в'язко-пружних та реологічних властивостей слини, так і для зв'язування різних оральних мікроорганізмів [</w:t>
      </w:r>
      <w:r w:rsidR="00F81F79">
        <w:rPr>
          <w:rFonts w:ascii="Times New Roman" w:hAnsi="Times New Roman"/>
          <w:sz w:val="28"/>
          <w:szCs w:val="28"/>
          <w:lang w:val="uk-UA"/>
        </w:rPr>
        <w:t>370</w:t>
      </w:r>
      <w:r w:rsidR="00342BE1" w:rsidRPr="00342BE1">
        <w:rPr>
          <w:rFonts w:ascii="Times New Roman" w:hAnsi="Times New Roman"/>
          <w:sz w:val="28"/>
          <w:szCs w:val="28"/>
          <w:lang w:val="uk-UA"/>
        </w:rPr>
        <w:t>].</w:t>
      </w:r>
    </w:p>
    <w:p w14:paraId="21E60D0F" w14:textId="67B7F87D" w:rsidR="00342BE1" w:rsidRPr="00342BE1" w:rsidRDefault="00D608E8" w:rsidP="00342B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342BE1" w:rsidRPr="00342BE1">
        <w:rPr>
          <w:rFonts w:ascii="Times New Roman" w:hAnsi="Times New Roman"/>
          <w:sz w:val="28"/>
          <w:szCs w:val="28"/>
          <w:lang w:val="uk-UA"/>
        </w:rPr>
        <w:t xml:space="preserve"> дослідженні</w:t>
      </w:r>
      <w:r>
        <w:rPr>
          <w:rFonts w:ascii="Times New Roman" w:hAnsi="Times New Roman"/>
          <w:sz w:val="28"/>
          <w:szCs w:val="28"/>
          <w:lang w:val="uk-UA"/>
        </w:rPr>
        <w:t xml:space="preserve"> </w:t>
      </w:r>
      <w:r w:rsidRPr="00D608E8">
        <w:rPr>
          <w:rFonts w:ascii="Times New Roman" w:hAnsi="Times New Roman"/>
          <w:sz w:val="28"/>
          <w:szCs w:val="28"/>
          <w:lang w:val="uk-UA"/>
        </w:rPr>
        <w:t>Kejriwal</w:t>
      </w:r>
      <w:r>
        <w:rPr>
          <w:rFonts w:ascii="Times New Roman" w:hAnsi="Times New Roman"/>
          <w:sz w:val="28"/>
          <w:szCs w:val="28"/>
          <w:lang w:val="uk-UA"/>
        </w:rPr>
        <w:t xml:space="preserve"> була проведена оцінка муцин</w:t>
      </w:r>
      <w:r w:rsidR="00342BE1" w:rsidRPr="00342BE1">
        <w:rPr>
          <w:rFonts w:ascii="Times New Roman" w:hAnsi="Times New Roman"/>
          <w:sz w:val="28"/>
          <w:szCs w:val="28"/>
          <w:lang w:val="uk-UA"/>
        </w:rPr>
        <w:t>ів у нестимульованій слині у здорових</w:t>
      </w:r>
      <w:r>
        <w:rPr>
          <w:rFonts w:ascii="Times New Roman" w:hAnsi="Times New Roman"/>
          <w:sz w:val="28"/>
          <w:szCs w:val="28"/>
          <w:lang w:val="uk-UA"/>
        </w:rPr>
        <w:t xml:space="preserve"> пацієнтів</w:t>
      </w:r>
      <w:r w:rsidR="00342BE1" w:rsidRPr="00342BE1">
        <w:rPr>
          <w:rFonts w:ascii="Times New Roman" w:hAnsi="Times New Roman"/>
          <w:sz w:val="28"/>
          <w:szCs w:val="28"/>
          <w:lang w:val="uk-UA"/>
        </w:rPr>
        <w:t xml:space="preserve">, </w:t>
      </w:r>
      <w:r>
        <w:rPr>
          <w:rFonts w:ascii="Times New Roman" w:hAnsi="Times New Roman"/>
          <w:sz w:val="28"/>
          <w:szCs w:val="28"/>
          <w:lang w:val="uk-UA"/>
        </w:rPr>
        <w:t>на тлі гінгівіту та хронічного</w:t>
      </w:r>
      <w:r w:rsidR="00342BE1" w:rsidRPr="00342BE1">
        <w:rPr>
          <w:rFonts w:ascii="Times New Roman" w:hAnsi="Times New Roman"/>
          <w:sz w:val="28"/>
          <w:szCs w:val="28"/>
          <w:lang w:val="uk-UA"/>
        </w:rPr>
        <w:t xml:space="preserve"> пародо</w:t>
      </w:r>
      <w:r>
        <w:rPr>
          <w:rFonts w:ascii="Times New Roman" w:hAnsi="Times New Roman"/>
          <w:sz w:val="28"/>
          <w:szCs w:val="28"/>
          <w:lang w:val="uk-UA"/>
        </w:rPr>
        <w:t xml:space="preserve">нтиту </w:t>
      </w:r>
      <w:r w:rsidRPr="00D608E8">
        <w:rPr>
          <w:rFonts w:ascii="Times New Roman" w:hAnsi="Times New Roman"/>
          <w:sz w:val="28"/>
          <w:szCs w:val="28"/>
          <w:lang w:val="uk-UA"/>
        </w:rPr>
        <w:t>[</w:t>
      </w:r>
      <w:r w:rsidR="00F81F79">
        <w:rPr>
          <w:rFonts w:ascii="Times New Roman" w:hAnsi="Times New Roman"/>
          <w:sz w:val="28"/>
          <w:szCs w:val="28"/>
          <w:lang w:val="uk-UA"/>
        </w:rPr>
        <w:t>371</w:t>
      </w:r>
      <w:r w:rsidRPr="00D608E8">
        <w:rPr>
          <w:rFonts w:ascii="Times New Roman" w:hAnsi="Times New Roman"/>
          <w:sz w:val="28"/>
          <w:szCs w:val="28"/>
          <w:lang w:val="uk-UA"/>
        </w:rPr>
        <w:t>]</w:t>
      </w:r>
      <w:r w:rsidR="00342BE1" w:rsidRPr="00342BE1">
        <w:rPr>
          <w:rFonts w:ascii="Times New Roman" w:hAnsi="Times New Roman"/>
          <w:sz w:val="28"/>
          <w:szCs w:val="28"/>
          <w:lang w:val="uk-UA"/>
        </w:rPr>
        <w:t>. Результати показали збільшення рівня</w:t>
      </w:r>
      <w:r>
        <w:rPr>
          <w:rFonts w:ascii="Times New Roman" w:hAnsi="Times New Roman"/>
          <w:sz w:val="28"/>
          <w:szCs w:val="28"/>
          <w:lang w:val="uk-UA"/>
        </w:rPr>
        <w:t xml:space="preserve"> муцину у</w:t>
      </w:r>
      <w:r w:rsidR="00342BE1" w:rsidRPr="00342BE1">
        <w:rPr>
          <w:rFonts w:ascii="Times New Roman" w:hAnsi="Times New Roman"/>
          <w:sz w:val="28"/>
          <w:szCs w:val="28"/>
          <w:lang w:val="uk-UA"/>
        </w:rPr>
        <w:t xml:space="preserve"> пацієнтів з гінгівітом. Подібно до загального білка та альфа-амілази, збільшення концентрації муцину може розглядатися як зусилля слинних залоз для посилення захисного</w:t>
      </w:r>
      <w:r>
        <w:rPr>
          <w:rFonts w:ascii="Times New Roman" w:hAnsi="Times New Roman"/>
          <w:sz w:val="28"/>
          <w:szCs w:val="28"/>
          <w:lang w:val="uk-UA"/>
        </w:rPr>
        <w:t xml:space="preserve"> потенціалу слини, оскільки муцин відомий</w:t>
      </w:r>
      <w:r w:rsidR="00342BE1" w:rsidRPr="00342BE1">
        <w:rPr>
          <w:rFonts w:ascii="Times New Roman" w:hAnsi="Times New Roman"/>
          <w:sz w:val="28"/>
          <w:szCs w:val="28"/>
          <w:lang w:val="uk-UA"/>
        </w:rPr>
        <w:t xml:space="preserve"> як один з білків, який захищає порожнину рота від мікробних інфекцій [</w:t>
      </w:r>
      <w:r w:rsidR="00F81F79">
        <w:rPr>
          <w:rFonts w:ascii="Times New Roman" w:hAnsi="Times New Roman"/>
          <w:sz w:val="28"/>
          <w:szCs w:val="28"/>
          <w:lang w:val="uk-UA"/>
        </w:rPr>
        <w:t>372</w:t>
      </w:r>
      <w:r w:rsidR="00342BE1" w:rsidRPr="00342BE1">
        <w:rPr>
          <w:rFonts w:ascii="Times New Roman" w:hAnsi="Times New Roman"/>
          <w:sz w:val="28"/>
          <w:szCs w:val="28"/>
          <w:lang w:val="uk-UA"/>
        </w:rPr>
        <w:t>]</w:t>
      </w:r>
      <w:r>
        <w:rPr>
          <w:rFonts w:ascii="Times New Roman" w:hAnsi="Times New Roman"/>
          <w:sz w:val="28"/>
          <w:szCs w:val="28"/>
          <w:lang w:val="uk-UA"/>
        </w:rPr>
        <w:t>.</w:t>
      </w:r>
    </w:p>
    <w:p w14:paraId="2CDB2673" w14:textId="787451ED" w:rsidR="00B64947" w:rsidRPr="00712783" w:rsidRDefault="00D608E8" w:rsidP="00712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 виявилося те, що у</w:t>
      </w:r>
      <w:r w:rsidR="00342BE1" w:rsidRPr="00342BE1">
        <w:rPr>
          <w:rFonts w:ascii="Times New Roman" w:hAnsi="Times New Roman"/>
          <w:sz w:val="28"/>
          <w:szCs w:val="28"/>
          <w:lang w:val="uk-UA"/>
        </w:rPr>
        <w:t xml:space="preserve"> групі</w:t>
      </w:r>
      <w:r>
        <w:rPr>
          <w:rFonts w:ascii="Times New Roman" w:hAnsi="Times New Roman"/>
          <w:sz w:val="28"/>
          <w:szCs w:val="28"/>
          <w:lang w:val="uk-UA"/>
        </w:rPr>
        <w:t xml:space="preserve"> пацієнтів з пародонтитом</w:t>
      </w:r>
      <w:r w:rsidR="00342BE1" w:rsidRPr="00342BE1">
        <w:rPr>
          <w:rFonts w:ascii="Times New Roman" w:hAnsi="Times New Roman"/>
          <w:sz w:val="28"/>
          <w:szCs w:val="28"/>
          <w:lang w:val="uk-UA"/>
        </w:rPr>
        <w:t xml:space="preserve"> спостерігалося зниження концентрації муцину у порівнянні з пацієнтами з гінгівітом. Це </w:t>
      </w:r>
      <w:r>
        <w:rPr>
          <w:rFonts w:ascii="Times New Roman" w:hAnsi="Times New Roman"/>
          <w:sz w:val="28"/>
          <w:szCs w:val="28"/>
          <w:lang w:val="uk-UA"/>
        </w:rPr>
        <w:t xml:space="preserve">можна тлумачити двома способами. </w:t>
      </w:r>
      <w:r w:rsidR="00342BE1" w:rsidRPr="00342BE1">
        <w:rPr>
          <w:rFonts w:ascii="Times New Roman" w:hAnsi="Times New Roman"/>
          <w:sz w:val="28"/>
          <w:szCs w:val="28"/>
          <w:lang w:val="uk-UA"/>
        </w:rPr>
        <w:t xml:space="preserve">По-перше, </w:t>
      </w:r>
      <w:r>
        <w:rPr>
          <w:rFonts w:ascii="Times New Roman" w:hAnsi="Times New Roman"/>
          <w:sz w:val="28"/>
          <w:szCs w:val="28"/>
          <w:lang w:val="uk-UA"/>
        </w:rPr>
        <w:t xml:space="preserve">даний факт </w:t>
      </w:r>
      <w:r w:rsidR="00342BE1" w:rsidRPr="00342BE1">
        <w:rPr>
          <w:rFonts w:ascii="Times New Roman" w:hAnsi="Times New Roman"/>
          <w:sz w:val="28"/>
          <w:szCs w:val="28"/>
          <w:lang w:val="uk-UA"/>
        </w:rPr>
        <w:t>може</w:t>
      </w:r>
      <w:r>
        <w:rPr>
          <w:rFonts w:ascii="Times New Roman" w:hAnsi="Times New Roman"/>
          <w:sz w:val="28"/>
          <w:szCs w:val="28"/>
          <w:lang w:val="uk-UA"/>
        </w:rPr>
        <w:t xml:space="preserve"> бути спричинений</w:t>
      </w:r>
      <w:r w:rsidR="00342BE1" w:rsidRPr="00342BE1">
        <w:rPr>
          <w:rFonts w:ascii="Times New Roman" w:hAnsi="Times New Roman"/>
          <w:sz w:val="28"/>
          <w:szCs w:val="28"/>
          <w:lang w:val="uk-UA"/>
        </w:rPr>
        <w:t xml:space="preserve"> зменшення</w:t>
      </w:r>
      <w:r>
        <w:rPr>
          <w:rFonts w:ascii="Times New Roman" w:hAnsi="Times New Roman"/>
          <w:sz w:val="28"/>
          <w:szCs w:val="28"/>
          <w:lang w:val="uk-UA"/>
        </w:rPr>
        <w:t>м</w:t>
      </w:r>
      <w:r w:rsidR="00342BE1" w:rsidRPr="00342BE1">
        <w:rPr>
          <w:rFonts w:ascii="Times New Roman" w:hAnsi="Times New Roman"/>
          <w:sz w:val="28"/>
          <w:szCs w:val="28"/>
          <w:lang w:val="uk-UA"/>
        </w:rPr>
        <w:t xml:space="preserve"> синтезу або секреції слизових слинних залоз. Дослідження показують, що при паро</w:t>
      </w:r>
      <w:r>
        <w:rPr>
          <w:rFonts w:ascii="Times New Roman" w:hAnsi="Times New Roman"/>
          <w:sz w:val="28"/>
          <w:szCs w:val="28"/>
          <w:lang w:val="uk-UA"/>
        </w:rPr>
        <w:t xml:space="preserve">донтиті у відповідь на різні </w:t>
      </w:r>
      <w:r w:rsidR="00342BE1" w:rsidRPr="00342BE1">
        <w:rPr>
          <w:rFonts w:ascii="Times New Roman" w:hAnsi="Times New Roman"/>
          <w:sz w:val="28"/>
          <w:szCs w:val="28"/>
          <w:lang w:val="uk-UA"/>
        </w:rPr>
        <w:t>запальні стимули, такі як цитокіни, ендотоксини, такі як ліпополісахарид</w:t>
      </w:r>
      <w:r>
        <w:rPr>
          <w:rFonts w:ascii="Times New Roman" w:hAnsi="Times New Roman"/>
          <w:sz w:val="28"/>
          <w:szCs w:val="28"/>
          <w:lang w:val="uk-UA"/>
        </w:rPr>
        <w:t>и</w:t>
      </w:r>
      <w:r w:rsidR="00342BE1" w:rsidRPr="00342BE1">
        <w:rPr>
          <w:rFonts w:ascii="Times New Roman" w:hAnsi="Times New Roman"/>
          <w:sz w:val="28"/>
          <w:szCs w:val="28"/>
          <w:lang w:val="uk-UA"/>
        </w:rPr>
        <w:t>, збільшується експресія індукованої синтази азотної оксиду (iNOS), що призводить до утворення великої кіл</w:t>
      </w:r>
      <w:r>
        <w:rPr>
          <w:rFonts w:ascii="Times New Roman" w:hAnsi="Times New Roman"/>
          <w:sz w:val="28"/>
          <w:szCs w:val="28"/>
          <w:lang w:val="uk-UA"/>
        </w:rPr>
        <w:t>ькості оксиду азоту (NO) [</w:t>
      </w:r>
      <w:r w:rsidR="00F81F79">
        <w:rPr>
          <w:rFonts w:ascii="Times New Roman" w:hAnsi="Times New Roman"/>
          <w:sz w:val="28"/>
          <w:szCs w:val="28"/>
          <w:lang w:val="uk-UA"/>
        </w:rPr>
        <w:t>373</w:t>
      </w:r>
      <w:r w:rsidR="00342BE1" w:rsidRPr="00342BE1">
        <w:rPr>
          <w:rFonts w:ascii="Times New Roman" w:hAnsi="Times New Roman"/>
          <w:sz w:val="28"/>
          <w:szCs w:val="28"/>
          <w:lang w:val="uk-UA"/>
        </w:rPr>
        <w:t>]. Вплив ацинарних клітин слинних залоз на NO викликає дозозалежне зниження синтезу муцину [</w:t>
      </w:r>
      <w:r w:rsidR="00F81F79">
        <w:rPr>
          <w:rFonts w:ascii="Times New Roman" w:hAnsi="Times New Roman"/>
          <w:sz w:val="28"/>
          <w:szCs w:val="28"/>
          <w:lang w:val="uk-UA"/>
        </w:rPr>
        <w:t>374</w:t>
      </w:r>
      <w:r w:rsidR="00342BE1" w:rsidRPr="00342BE1">
        <w:rPr>
          <w:rFonts w:ascii="Times New Roman" w:hAnsi="Times New Roman"/>
          <w:sz w:val="28"/>
          <w:szCs w:val="28"/>
          <w:lang w:val="uk-UA"/>
        </w:rPr>
        <w:t xml:space="preserve">]. </w:t>
      </w:r>
      <w:r>
        <w:rPr>
          <w:rFonts w:ascii="Times New Roman" w:hAnsi="Times New Roman"/>
          <w:sz w:val="28"/>
          <w:szCs w:val="28"/>
          <w:lang w:val="uk-UA"/>
        </w:rPr>
        <w:t>Ліпополісахариди</w:t>
      </w:r>
      <w:r w:rsidR="00342BE1" w:rsidRPr="00342BE1">
        <w:rPr>
          <w:rFonts w:ascii="Times New Roman" w:hAnsi="Times New Roman"/>
          <w:sz w:val="28"/>
          <w:szCs w:val="28"/>
          <w:lang w:val="uk-UA"/>
        </w:rPr>
        <w:t xml:space="preserve"> деяких бактерій, таких як Porphyr</w:t>
      </w:r>
      <w:r>
        <w:rPr>
          <w:rFonts w:ascii="Times New Roman" w:hAnsi="Times New Roman"/>
          <w:sz w:val="28"/>
          <w:szCs w:val="28"/>
          <w:lang w:val="uk-UA"/>
        </w:rPr>
        <w:t>omonas gingivalis</w:t>
      </w:r>
      <w:r w:rsidR="00342BE1" w:rsidRPr="00342BE1">
        <w:rPr>
          <w:rFonts w:ascii="Times New Roman" w:hAnsi="Times New Roman"/>
          <w:sz w:val="28"/>
          <w:szCs w:val="28"/>
          <w:lang w:val="uk-UA"/>
        </w:rPr>
        <w:t>, також може безпосередньо впливати на ацинарні клітини, щоб зменшити синтез муцину [</w:t>
      </w:r>
      <w:r w:rsidR="00F81F79">
        <w:rPr>
          <w:rFonts w:ascii="Times New Roman" w:hAnsi="Times New Roman"/>
          <w:sz w:val="28"/>
          <w:szCs w:val="28"/>
          <w:lang w:val="uk-UA"/>
        </w:rPr>
        <w:t>375-376</w:t>
      </w:r>
      <w:r w:rsidR="00342BE1" w:rsidRPr="00342BE1">
        <w:rPr>
          <w:rFonts w:ascii="Times New Roman" w:hAnsi="Times New Roman"/>
          <w:sz w:val="28"/>
          <w:szCs w:val="28"/>
          <w:lang w:val="uk-UA"/>
        </w:rPr>
        <w:t>]. Таким чином, застосування інгібіторів синтази оксиду азоту як частини моду</w:t>
      </w:r>
      <w:r w:rsidR="00110751">
        <w:rPr>
          <w:rFonts w:ascii="Times New Roman" w:hAnsi="Times New Roman"/>
          <w:sz w:val="28"/>
          <w:szCs w:val="28"/>
          <w:lang w:val="uk-UA"/>
        </w:rPr>
        <w:t>ляційної терапії</w:t>
      </w:r>
      <w:r w:rsidR="00342BE1" w:rsidRPr="00342BE1">
        <w:rPr>
          <w:rFonts w:ascii="Times New Roman" w:hAnsi="Times New Roman"/>
          <w:sz w:val="28"/>
          <w:szCs w:val="28"/>
          <w:lang w:val="uk-UA"/>
        </w:rPr>
        <w:t xml:space="preserve"> може мати велике значення при лікуванні пародонтиту</w:t>
      </w:r>
      <w:r w:rsidR="00110751">
        <w:rPr>
          <w:rFonts w:ascii="Times New Roman" w:hAnsi="Times New Roman"/>
          <w:sz w:val="28"/>
          <w:szCs w:val="28"/>
          <w:lang w:val="uk-UA"/>
        </w:rPr>
        <w:t xml:space="preserve"> та гінгівіту</w:t>
      </w:r>
      <w:r w:rsidR="00342BE1" w:rsidRPr="00342BE1">
        <w:rPr>
          <w:rFonts w:ascii="Times New Roman" w:hAnsi="Times New Roman"/>
          <w:sz w:val="28"/>
          <w:szCs w:val="28"/>
          <w:lang w:val="uk-UA"/>
        </w:rPr>
        <w:t>.</w:t>
      </w:r>
      <w:r w:rsidR="00712783">
        <w:rPr>
          <w:rFonts w:ascii="Times New Roman" w:hAnsi="Times New Roman"/>
          <w:sz w:val="28"/>
          <w:szCs w:val="28"/>
          <w:lang w:val="uk-UA"/>
        </w:rPr>
        <w:t xml:space="preserve"> </w:t>
      </w:r>
      <w:r w:rsidR="00342BE1" w:rsidRPr="00342BE1">
        <w:rPr>
          <w:rFonts w:ascii="Times New Roman" w:hAnsi="Times New Roman"/>
          <w:sz w:val="28"/>
          <w:szCs w:val="28"/>
          <w:lang w:val="uk-UA"/>
        </w:rPr>
        <w:t xml:space="preserve">По-друге, </w:t>
      </w:r>
      <w:r w:rsidR="00712783">
        <w:rPr>
          <w:rFonts w:ascii="Times New Roman" w:hAnsi="Times New Roman"/>
          <w:sz w:val="28"/>
          <w:szCs w:val="28"/>
          <w:lang w:val="uk-UA"/>
        </w:rPr>
        <w:t xml:space="preserve">даний факт </w:t>
      </w:r>
      <w:r w:rsidR="00342BE1" w:rsidRPr="00342BE1">
        <w:rPr>
          <w:rFonts w:ascii="Times New Roman" w:hAnsi="Times New Roman"/>
          <w:sz w:val="28"/>
          <w:szCs w:val="28"/>
          <w:lang w:val="uk-UA"/>
        </w:rPr>
        <w:t xml:space="preserve">може бути </w:t>
      </w:r>
      <w:r w:rsidR="00712783">
        <w:rPr>
          <w:rFonts w:ascii="Times New Roman" w:hAnsi="Times New Roman"/>
          <w:sz w:val="28"/>
          <w:szCs w:val="28"/>
          <w:lang w:val="uk-UA"/>
        </w:rPr>
        <w:t xml:space="preserve">пояснений деградацією </w:t>
      </w:r>
      <w:r w:rsidR="00342BE1" w:rsidRPr="00342BE1">
        <w:rPr>
          <w:rFonts w:ascii="Times New Roman" w:hAnsi="Times New Roman"/>
          <w:sz w:val="28"/>
          <w:szCs w:val="28"/>
          <w:lang w:val="uk-UA"/>
        </w:rPr>
        <w:t>мікроорганізмів</w:t>
      </w:r>
      <w:r w:rsidR="00712783">
        <w:rPr>
          <w:rFonts w:ascii="Times New Roman" w:hAnsi="Times New Roman"/>
          <w:sz w:val="28"/>
          <w:szCs w:val="28"/>
          <w:lang w:val="uk-UA"/>
        </w:rPr>
        <w:t>, що знаходяться у ротовій рідині</w:t>
      </w:r>
      <w:r w:rsidR="00342BE1" w:rsidRPr="00342BE1">
        <w:rPr>
          <w:rFonts w:ascii="Times New Roman" w:hAnsi="Times New Roman"/>
          <w:sz w:val="28"/>
          <w:szCs w:val="28"/>
          <w:lang w:val="uk-UA"/>
        </w:rPr>
        <w:t xml:space="preserve">. Під час дозрівання бляшки </w:t>
      </w:r>
      <w:r w:rsidR="00712783">
        <w:rPr>
          <w:rFonts w:ascii="Times New Roman" w:hAnsi="Times New Roman"/>
          <w:sz w:val="28"/>
          <w:szCs w:val="28"/>
          <w:lang w:val="uk-UA"/>
        </w:rPr>
        <w:t>ротова рідина містить як грампозитивні</w:t>
      </w:r>
      <w:r w:rsidR="00342BE1" w:rsidRPr="00342BE1">
        <w:rPr>
          <w:rFonts w:ascii="Times New Roman" w:hAnsi="Times New Roman"/>
          <w:sz w:val="28"/>
          <w:szCs w:val="28"/>
          <w:lang w:val="uk-UA"/>
        </w:rPr>
        <w:t>, так і грамнегативні бактерії, ріст яких передусім залежить від їх здатності використовувати ендогенні поживні речовини, особливо глік</w:t>
      </w:r>
      <w:r w:rsidR="00712783">
        <w:rPr>
          <w:rFonts w:ascii="Times New Roman" w:hAnsi="Times New Roman"/>
          <w:sz w:val="28"/>
          <w:szCs w:val="28"/>
          <w:lang w:val="uk-UA"/>
        </w:rPr>
        <w:t>опротеїни, включаючи слинні муци</w:t>
      </w:r>
      <w:r w:rsidR="00342BE1" w:rsidRPr="00342BE1">
        <w:rPr>
          <w:rFonts w:ascii="Times New Roman" w:hAnsi="Times New Roman"/>
          <w:sz w:val="28"/>
          <w:szCs w:val="28"/>
          <w:lang w:val="uk-UA"/>
        </w:rPr>
        <w:t>ни [</w:t>
      </w:r>
      <w:r w:rsidR="00F81F79">
        <w:rPr>
          <w:rFonts w:ascii="Times New Roman" w:hAnsi="Times New Roman"/>
          <w:sz w:val="28"/>
          <w:szCs w:val="28"/>
          <w:lang w:val="uk-UA"/>
        </w:rPr>
        <w:t>377</w:t>
      </w:r>
      <w:r w:rsidR="00342BE1" w:rsidRPr="00342BE1">
        <w:rPr>
          <w:rFonts w:ascii="Times New Roman" w:hAnsi="Times New Roman"/>
          <w:sz w:val="28"/>
          <w:szCs w:val="28"/>
          <w:lang w:val="uk-UA"/>
        </w:rPr>
        <w:t xml:space="preserve">]. </w:t>
      </w:r>
      <w:r w:rsidR="00712783">
        <w:rPr>
          <w:rFonts w:ascii="Times New Roman" w:hAnsi="Times New Roman"/>
          <w:sz w:val="28"/>
          <w:szCs w:val="28"/>
          <w:lang w:val="uk-UA"/>
        </w:rPr>
        <w:t>Саме тому значну увагу ми приділяли вивченню рівня муцину на протязі нашого дослідження, а програма лікування та профілактики гінгівіту враховувала даний патогенетичний компонент, а також наявність ксеростомії у пацієнтів.</w:t>
      </w:r>
    </w:p>
    <w:p w14:paraId="528E1A4B" w14:textId="6E5EE69D" w:rsidR="003C2587" w:rsidRDefault="00354D2E"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дослідження рівня кислотності ротової рідини було встановлено, що атопічні захворювання впливають на гоместаз ротової рідини, що призводить до підвищення рівня кислотності, а отже й підвищує ризик стоматологічних захворювань за рахунок зниження резистентності до бактеріальної колонізації та результатів її діяльності. </w:t>
      </w:r>
    </w:p>
    <w:p w14:paraId="56A9A2F7" w14:textId="1B01BC32" w:rsidR="00712783" w:rsidRPr="001A7F14" w:rsidRDefault="001A7F14"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багатьма дослідниками встановлено наявність імунних порушень у пацієнтів на тлі атопічних захворювань, метою нашого дослідження було визначення характерних імунометаболічних змін у ротовій рідині, можливість їх використання для діагностики та лікування захворювань пародонту та їх залежність від призначеної програми лікування та профілактики. Для об</w:t>
      </w:r>
      <w:r w:rsidRPr="001A7F14">
        <w:rPr>
          <w:rFonts w:ascii="Times New Roman" w:hAnsi="Times New Roman"/>
          <w:sz w:val="28"/>
          <w:szCs w:val="28"/>
          <w:lang w:val="uk-UA"/>
        </w:rPr>
        <w:t>’</w:t>
      </w:r>
      <w:r>
        <w:rPr>
          <w:rFonts w:ascii="Times New Roman" w:hAnsi="Times New Roman"/>
          <w:sz w:val="28"/>
          <w:szCs w:val="28"/>
          <w:lang w:val="uk-UA"/>
        </w:rPr>
        <w:t xml:space="preserve">єктивного оцінювання стану мукозального імунітету та стану імунної системи в цілому нами були обрані наступні показники: рівні секреторного імуноглобуліну А, імуноглобулінів </w:t>
      </w:r>
      <w:r>
        <w:rPr>
          <w:rFonts w:ascii="Times New Roman" w:hAnsi="Times New Roman"/>
          <w:sz w:val="28"/>
          <w:szCs w:val="28"/>
        </w:rPr>
        <w:t>G</w:t>
      </w:r>
      <w:r w:rsidRPr="001A7F14">
        <w:rPr>
          <w:rFonts w:ascii="Times New Roman" w:hAnsi="Times New Roman"/>
          <w:sz w:val="28"/>
          <w:szCs w:val="28"/>
          <w:lang w:val="uk-UA"/>
        </w:rPr>
        <w:t xml:space="preserve">, </w:t>
      </w:r>
      <w:r>
        <w:rPr>
          <w:rFonts w:ascii="Times New Roman" w:hAnsi="Times New Roman"/>
          <w:sz w:val="28"/>
          <w:szCs w:val="28"/>
        </w:rPr>
        <w:t>M</w:t>
      </w:r>
      <w:r w:rsidRPr="001A7F14">
        <w:rPr>
          <w:rFonts w:ascii="Times New Roman" w:hAnsi="Times New Roman"/>
          <w:sz w:val="28"/>
          <w:szCs w:val="28"/>
          <w:lang w:val="uk-UA"/>
        </w:rPr>
        <w:t xml:space="preserve">, </w:t>
      </w:r>
      <w:r>
        <w:rPr>
          <w:rFonts w:ascii="Times New Roman" w:hAnsi="Times New Roman"/>
          <w:sz w:val="28"/>
          <w:szCs w:val="28"/>
        </w:rPr>
        <w:t>A</w:t>
      </w:r>
      <w:r>
        <w:rPr>
          <w:rFonts w:ascii="Times New Roman" w:hAnsi="Times New Roman"/>
          <w:sz w:val="28"/>
          <w:szCs w:val="28"/>
          <w:lang w:val="uk-UA"/>
        </w:rPr>
        <w:t xml:space="preserve">. Крім цього, були оцінені зміни лізоциму. </w:t>
      </w:r>
    </w:p>
    <w:p w14:paraId="770D1C29" w14:textId="5720051D" w:rsidR="00354D2E" w:rsidRPr="001A6893" w:rsidRDefault="003928EE" w:rsidP="007D7D22">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Згідно з отриманими нами даними, в усіх групах, крім контрольної, було зафіксовано зниження рівня секреторного імуноглобуліну А. При цьому надзвичайно важливим є те, що достовірної різниці між показниками груп пацієнтів з вираженими ознаками гінгівіту та без таких, ми не спостерігали. Це підтверджує той факт, що відсутність клінічних ознак гінгівіту не є запорукою здорових тканин пародонту, а зміна у рівні секреторного імуноглобуліну А у дітей з атопічними захворюваннями можна вважати прогностичним біомаркером. Як відомо, </w:t>
      </w:r>
      <w:r>
        <w:rPr>
          <w:rFonts w:ascii="Times New Roman" w:hAnsi="Times New Roman" w:cs="Times New Roman"/>
          <w:sz w:val="28"/>
          <w:szCs w:val="28"/>
          <w:lang w:val="uk-UA"/>
        </w:rPr>
        <w:t>і</w:t>
      </w:r>
      <w:r w:rsidRPr="007D7D22">
        <w:rPr>
          <w:rFonts w:ascii="Times New Roman" w:hAnsi="Times New Roman" w:cs="Times New Roman"/>
          <w:sz w:val="28"/>
          <w:szCs w:val="28"/>
          <w:lang w:val="uk-UA"/>
        </w:rPr>
        <w:t>муноглобулін А відіграє важливу роль в регуляції бактеріальної та вірусної флори слизових оболонок, захищає дихальні шляхи від алергічних уражень. Тому у хворих зі зниженим рівнем IgA спостерігається тенденц</w:t>
      </w:r>
      <w:r>
        <w:rPr>
          <w:rFonts w:ascii="Times New Roman" w:hAnsi="Times New Roman" w:cs="Times New Roman"/>
          <w:sz w:val="28"/>
          <w:szCs w:val="28"/>
          <w:lang w:val="uk-UA"/>
        </w:rPr>
        <w:t xml:space="preserve">ія до рецидивів </w:t>
      </w:r>
      <w:r w:rsidRPr="001A6893">
        <w:rPr>
          <w:rFonts w:ascii="Times New Roman" w:hAnsi="Times New Roman" w:cs="Times New Roman"/>
          <w:sz w:val="28"/>
          <w:szCs w:val="28"/>
          <w:lang w:val="uk-UA"/>
        </w:rPr>
        <w:t xml:space="preserve">захворювань </w:t>
      </w:r>
      <w:r w:rsidRPr="001A6893">
        <w:rPr>
          <w:rFonts w:ascii="Times New Roman" w:hAnsi="Times New Roman" w:cs="Times New Roman"/>
          <w:sz w:val="28"/>
          <w:szCs w:val="28"/>
          <w:lang w:val="ru-RU"/>
        </w:rPr>
        <w:t>[</w:t>
      </w:r>
      <w:r w:rsidR="00F81F79">
        <w:rPr>
          <w:rFonts w:ascii="Times New Roman" w:hAnsi="Times New Roman" w:cs="Times New Roman"/>
          <w:sz w:val="28"/>
          <w:szCs w:val="28"/>
          <w:lang w:val="ru-RU"/>
        </w:rPr>
        <w:t>379, 380</w:t>
      </w:r>
      <w:r w:rsidRPr="001A6893">
        <w:rPr>
          <w:rFonts w:ascii="Times New Roman" w:hAnsi="Times New Roman" w:cs="Times New Roman"/>
          <w:sz w:val="28"/>
          <w:szCs w:val="28"/>
          <w:lang w:val="ru-RU"/>
        </w:rPr>
        <w:t>]</w:t>
      </w:r>
      <w:r w:rsidRPr="001A6893">
        <w:rPr>
          <w:rFonts w:ascii="Times New Roman" w:hAnsi="Times New Roman" w:cs="Times New Roman"/>
          <w:sz w:val="28"/>
          <w:szCs w:val="28"/>
          <w:lang w:val="uk-UA"/>
        </w:rPr>
        <w:t>.</w:t>
      </w:r>
    </w:p>
    <w:p w14:paraId="5400E84F" w14:textId="64F25A7C" w:rsidR="00523140" w:rsidRDefault="0079641D" w:rsidP="007D7D2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Аналіз резул</w:t>
      </w:r>
      <w:r w:rsidR="00D16DBB">
        <w:rPr>
          <w:rFonts w:ascii="Times New Roman" w:hAnsi="Times New Roman" w:cs="Times New Roman"/>
          <w:sz w:val="28"/>
          <w:szCs w:val="28"/>
          <w:lang w:val="uk-UA"/>
        </w:rPr>
        <w:t>ь</w:t>
      </w:r>
      <w:r>
        <w:rPr>
          <w:rFonts w:ascii="Times New Roman" w:hAnsi="Times New Roman" w:cs="Times New Roman"/>
          <w:sz w:val="28"/>
          <w:szCs w:val="28"/>
          <w:lang w:val="uk-UA"/>
        </w:rPr>
        <w:t xml:space="preserve">татів показав, що незважаючи на відсутність достовірної різниці у показниках рівню секреторного імуноглобуліну А на початку лікування, при подальших спостереженнях імунна відповідь дітей різних груп відрізнялася із статистично значимою різницею. Так, у пацієнтів першої групи ми фіксували підвищення рівню секреторного імуноглобуліну А до рівня </w:t>
      </w:r>
      <w:r w:rsidRPr="00014A22">
        <w:rPr>
          <w:rFonts w:ascii="Times New Roman" w:hAnsi="Times New Roman"/>
          <w:sz w:val="28"/>
          <w:szCs w:val="28"/>
          <w:lang w:val="uk-UA"/>
        </w:rPr>
        <w:t>117.61</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14.03</w:t>
      </w:r>
      <w:r>
        <w:rPr>
          <w:rFonts w:ascii="Times New Roman" w:hAnsi="Times New Roman"/>
          <w:sz w:val="28"/>
          <w:szCs w:val="28"/>
          <w:lang w:val="uk-UA"/>
        </w:rPr>
        <w:t xml:space="preserve"> мг/л через шість місяців та </w:t>
      </w:r>
      <w:r w:rsidRPr="00014A22">
        <w:rPr>
          <w:rFonts w:ascii="Times New Roman" w:hAnsi="Times New Roman"/>
          <w:sz w:val="28"/>
          <w:szCs w:val="28"/>
          <w:lang w:val="uk-UA"/>
        </w:rPr>
        <w:t>121.42</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11.95</w:t>
      </w:r>
      <w:r>
        <w:rPr>
          <w:rFonts w:ascii="Times New Roman" w:hAnsi="Times New Roman"/>
          <w:sz w:val="28"/>
          <w:szCs w:val="28"/>
          <w:lang w:val="uk-UA"/>
        </w:rPr>
        <w:t xml:space="preserve"> мг/л через дваннадцять місяців, так само як і у пацієнтів другої групи - </w:t>
      </w:r>
      <w:r w:rsidRPr="00014A22">
        <w:rPr>
          <w:rFonts w:ascii="Times New Roman" w:hAnsi="Times New Roman"/>
          <w:sz w:val="28"/>
          <w:szCs w:val="28"/>
          <w:lang w:val="uk-UA"/>
        </w:rPr>
        <w:t>111.84</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5.88</w:t>
      </w:r>
      <w:r>
        <w:rPr>
          <w:rFonts w:ascii="Times New Roman" w:hAnsi="Times New Roman"/>
          <w:sz w:val="28"/>
          <w:szCs w:val="28"/>
          <w:lang w:val="uk-UA"/>
        </w:rPr>
        <w:t xml:space="preserve"> мг/л та </w:t>
      </w:r>
      <w:r w:rsidRPr="00014A22">
        <w:rPr>
          <w:rFonts w:ascii="Times New Roman" w:hAnsi="Times New Roman"/>
          <w:sz w:val="28"/>
          <w:szCs w:val="28"/>
          <w:lang w:val="uk-UA"/>
        </w:rPr>
        <w:t>122.03</w:t>
      </w:r>
      <w:r>
        <w:rPr>
          <w:rFonts w:ascii="Times New Roman" w:hAnsi="Times New Roman"/>
          <w:sz w:val="28"/>
          <w:szCs w:val="28"/>
          <w:lang w:val="uk-UA"/>
        </w:rPr>
        <w:t xml:space="preserve"> </w:t>
      </w:r>
      <w:r>
        <w:rPr>
          <w:rFonts w:ascii="Times New Roman" w:hAnsi="Times New Roman" w:cs="Times New Roman"/>
          <w:sz w:val="28"/>
          <w:szCs w:val="28"/>
          <w:lang w:val="uk-UA"/>
        </w:rPr>
        <w:t xml:space="preserve">± </w:t>
      </w:r>
      <w:r w:rsidRPr="00014A22">
        <w:rPr>
          <w:rFonts w:ascii="Times New Roman" w:hAnsi="Times New Roman"/>
          <w:sz w:val="28"/>
          <w:szCs w:val="28"/>
          <w:lang w:val="uk-UA"/>
        </w:rPr>
        <w:t>11.68</w:t>
      </w:r>
      <w:r>
        <w:rPr>
          <w:rFonts w:ascii="Times New Roman" w:hAnsi="Times New Roman"/>
          <w:sz w:val="28"/>
          <w:szCs w:val="28"/>
          <w:lang w:val="uk-UA"/>
        </w:rPr>
        <w:t xml:space="preserve"> мг/л через шість  та дванадцять місяців відповідно.</w:t>
      </w:r>
      <w:r w:rsidR="00D16DBB">
        <w:rPr>
          <w:rFonts w:ascii="Times New Roman" w:hAnsi="Times New Roman"/>
          <w:sz w:val="28"/>
          <w:szCs w:val="28"/>
          <w:lang w:val="uk-UA"/>
        </w:rPr>
        <w:t xml:space="preserve"> Спільним для цих двох груп було застосування концептуально нової програми профілактики та лікування гінгівіту у дітей з атопічними захворюваннями, яка перш за все спрямована на корекцію імунного статусу організму. Як показали результати нашого дослідження, дана тактика ведення пацієнтів з атопією є ефективною та має довготривалий ефект.</w:t>
      </w:r>
    </w:p>
    <w:p w14:paraId="08880346" w14:textId="0C08AB66" w:rsidR="00D16DBB" w:rsidRDefault="00D16DBB" w:rsidP="007D7D2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 необхідність застосування специфічного підходу до лікування дітей з атопією свідчить відсутність ефекту від традиційного лікування у третій та четвертій групах. Статистично значимої різниці у показниках рівнів секреторного імуноглобуліну А на початку та впродовж лікування ми не спостерігали, що обумовлює включення компоненту імунокорекції у протокол лікування гінгівіту у дітей з атопічними захворюваннями.</w:t>
      </w:r>
    </w:p>
    <w:p w14:paraId="27769A42" w14:textId="420E2D60" w:rsidR="00D16DBB" w:rsidRDefault="00D16DBB" w:rsidP="001D6E4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певні патогенетичні та клінічні особливості гінгівіту</w:t>
      </w:r>
      <w:r w:rsidR="00A91E9A">
        <w:rPr>
          <w:rFonts w:ascii="Times New Roman" w:hAnsi="Times New Roman"/>
          <w:sz w:val="28"/>
          <w:szCs w:val="28"/>
          <w:lang w:val="uk-UA"/>
        </w:rPr>
        <w:t>, а також на зміни рівню секреторного імуноглобуліну А,</w:t>
      </w:r>
      <w:r>
        <w:rPr>
          <w:rFonts w:ascii="Times New Roman" w:hAnsi="Times New Roman"/>
          <w:sz w:val="28"/>
          <w:szCs w:val="28"/>
          <w:lang w:val="uk-UA"/>
        </w:rPr>
        <w:t xml:space="preserve"> у дітей з атопією вказують дані інших вчених. </w:t>
      </w:r>
      <w:r w:rsidR="00A91E9A" w:rsidRPr="00A91E9A">
        <w:rPr>
          <w:rFonts w:ascii="Times New Roman" w:hAnsi="Times New Roman"/>
          <w:sz w:val="28"/>
          <w:szCs w:val="28"/>
          <w:lang w:val="uk-UA"/>
        </w:rPr>
        <w:t>В результаті досліджень</w:t>
      </w:r>
      <w:r w:rsidR="00A91E9A">
        <w:rPr>
          <w:rFonts w:ascii="Times New Roman" w:hAnsi="Times New Roman"/>
          <w:sz w:val="28"/>
          <w:szCs w:val="28"/>
          <w:lang w:val="uk-UA"/>
        </w:rPr>
        <w:t>, проведених Смоляр Н.І. та співав. встановле</w:t>
      </w:r>
      <w:r w:rsidR="00A91E9A" w:rsidRPr="00A91E9A">
        <w:rPr>
          <w:rFonts w:ascii="Times New Roman" w:hAnsi="Times New Roman"/>
          <w:sz w:val="28"/>
          <w:szCs w:val="28"/>
          <w:lang w:val="uk-UA"/>
        </w:rPr>
        <w:t>но, що вміст sIgA</w:t>
      </w:r>
      <w:r w:rsidR="00A91E9A">
        <w:rPr>
          <w:rFonts w:ascii="Times New Roman" w:hAnsi="Times New Roman"/>
          <w:sz w:val="28"/>
          <w:szCs w:val="28"/>
          <w:lang w:val="uk-UA"/>
        </w:rPr>
        <w:t xml:space="preserve"> у ротовій рідині дітей з брон</w:t>
      </w:r>
      <w:r w:rsidR="00A91E9A" w:rsidRPr="00A91E9A">
        <w:rPr>
          <w:rFonts w:ascii="Times New Roman" w:hAnsi="Times New Roman"/>
          <w:sz w:val="28"/>
          <w:szCs w:val="28"/>
          <w:lang w:val="uk-UA"/>
        </w:rPr>
        <w:t>хіальною астмою, в середньому становив</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0,075</w:t>
      </w:r>
      <w:r w:rsidR="00F81F79" w:rsidRPr="00F81F79">
        <w:rPr>
          <w:rFonts w:ascii="Times New Roman" w:hAnsi="Times New Roman"/>
          <w:sz w:val="28"/>
          <w:szCs w:val="28"/>
          <w:lang w:val="uk-UA"/>
        </w:rPr>
        <w:t xml:space="preserve"> </w:t>
      </w:r>
      <w:r w:rsidR="00A91E9A" w:rsidRPr="00A91E9A">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A91E9A" w:rsidRPr="00A91E9A">
        <w:rPr>
          <w:rFonts w:ascii="Times New Roman" w:hAnsi="Times New Roman"/>
          <w:sz w:val="28"/>
          <w:szCs w:val="28"/>
          <w:lang w:val="uk-UA"/>
        </w:rPr>
        <w:t>0,014 г/л, натомість у дітей контрольної</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його вміст був</w:t>
      </w:r>
      <w:r w:rsidR="00A91E9A">
        <w:rPr>
          <w:rFonts w:ascii="Times New Roman" w:hAnsi="Times New Roman"/>
          <w:sz w:val="28"/>
          <w:szCs w:val="28"/>
          <w:lang w:val="uk-UA"/>
        </w:rPr>
        <w:t xml:space="preserve"> майже вдвічі вищим 0,131</w:t>
      </w:r>
      <w:r w:rsidR="00F81F79" w:rsidRPr="00F81F79">
        <w:rPr>
          <w:rFonts w:ascii="Times New Roman" w:hAnsi="Times New Roman"/>
          <w:sz w:val="28"/>
          <w:szCs w:val="28"/>
          <w:lang w:val="uk-UA"/>
        </w:rPr>
        <w:t xml:space="preserve"> </w:t>
      </w:r>
      <w:r w:rsidR="00A91E9A">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A91E9A">
        <w:rPr>
          <w:rFonts w:ascii="Times New Roman" w:hAnsi="Times New Roman"/>
          <w:sz w:val="28"/>
          <w:szCs w:val="28"/>
          <w:lang w:val="uk-UA"/>
        </w:rPr>
        <w:t xml:space="preserve">0,019 </w:t>
      </w:r>
      <w:r w:rsidR="00A91E9A" w:rsidRPr="00A91E9A">
        <w:rPr>
          <w:rFonts w:ascii="Times New Roman" w:hAnsi="Times New Roman"/>
          <w:sz w:val="28"/>
          <w:szCs w:val="28"/>
          <w:lang w:val="uk-UA"/>
        </w:rPr>
        <w:t>г/л</w:t>
      </w:r>
      <w:r w:rsidR="00A91E9A">
        <w:rPr>
          <w:rFonts w:ascii="Times New Roman" w:hAnsi="Times New Roman"/>
          <w:sz w:val="28"/>
          <w:szCs w:val="28"/>
          <w:lang w:val="uk-UA"/>
        </w:rPr>
        <w:t xml:space="preserve"> </w:t>
      </w:r>
      <w:r w:rsidR="00A91E9A" w:rsidRPr="00A91E9A">
        <w:rPr>
          <w:rFonts w:ascii="Times New Roman" w:hAnsi="Times New Roman"/>
          <w:sz w:val="28"/>
          <w:szCs w:val="28"/>
          <w:lang w:val="uk-UA"/>
        </w:rPr>
        <w:t>[</w:t>
      </w:r>
      <w:r w:rsidR="00F81F79">
        <w:rPr>
          <w:rFonts w:ascii="Times New Roman" w:hAnsi="Times New Roman"/>
          <w:sz w:val="28"/>
          <w:szCs w:val="28"/>
          <w:lang w:val="uk-UA"/>
        </w:rPr>
        <w:t>380</w:t>
      </w:r>
      <w:r w:rsidR="00A91E9A" w:rsidRPr="00A91E9A">
        <w:rPr>
          <w:rFonts w:ascii="Times New Roman" w:hAnsi="Times New Roman"/>
          <w:sz w:val="28"/>
          <w:szCs w:val="28"/>
          <w:lang w:val="uk-UA"/>
        </w:rPr>
        <w:t>]</w:t>
      </w:r>
      <w:r w:rsidR="00A91E9A">
        <w:rPr>
          <w:rFonts w:ascii="Times New Roman" w:hAnsi="Times New Roman"/>
          <w:sz w:val="28"/>
          <w:szCs w:val="28"/>
          <w:lang w:val="uk-UA"/>
        </w:rPr>
        <w:t>.</w:t>
      </w:r>
      <w:r w:rsidR="001D6E43">
        <w:rPr>
          <w:rFonts w:ascii="Times New Roman" w:hAnsi="Times New Roman"/>
          <w:sz w:val="28"/>
          <w:szCs w:val="28"/>
          <w:lang w:val="uk-UA"/>
        </w:rPr>
        <w:t xml:space="preserve"> За даними авторів, якими були порівняні різні вікові групи, були виявлені нижчі показники </w:t>
      </w:r>
      <w:r w:rsidR="001D6E43" w:rsidRPr="001D6E43">
        <w:rPr>
          <w:rFonts w:ascii="Times New Roman" w:hAnsi="Times New Roman"/>
          <w:sz w:val="28"/>
          <w:szCs w:val="28"/>
          <w:lang w:val="uk-UA"/>
        </w:rPr>
        <w:t>sIgA у ротові</w:t>
      </w:r>
      <w:r w:rsidR="001D6E43">
        <w:rPr>
          <w:rFonts w:ascii="Times New Roman" w:hAnsi="Times New Roman"/>
          <w:sz w:val="28"/>
          <w:szCs w:val="28"/>
          <w:lang w:val="uk-UA"/>
        </w:rPr>
        <w:t xml:space="preserve">й рідині 12-річних та 15-річних </w:t>
      </w:r>
      <w:r w:rsidR="001D6E43" w:rsidRPr="001D6E43">
        <w:rPr>
          <w:rFonts w:ascii="Times New Roman" w:hAnsi="Times New Roman"/>
          <w:sz w:val="28"/>
          <w:szCs w:val="28"/>
          <w:lang w:val="uk-UA"/>
        </w:rPr>
        <w:t xml:space="preserve">дітей </w:t>
      </w:r>
      <w:r w:rsidR="001D6E43">
        <w:rPr>
          <w:rFonts w:ascii="Times New Roman" w:hAnsi="Times New Roman"/>
          <w:sz w:val="28"/>
          <w:szCs w:val="28"/>
          <w:lang w:val="uk-UA"/>
        </w:rPr>
        <w:t xml:space="preserve">основної групи, у порівнянні із </w:t>
      </w:r>
      <w:r w:rsidR="001D6E43" w:rsidRPr="001D6E43">
        <w:rPr>
          <w:rFonts w:ascii="Times New Roman" w:hAnsi="Times New Roman"/>
          <w:sz w:val="28"/>
          <w:szCs w:val="28"/>
          <w:lang w:val="uk-UA"/>
        </w:rPr>
        <w:t>показн</w:t>
      </w:r>
      <w:r w:rsidR="001D6E43">
        <w:rPr>
          <w:rFonts w:ascii="Times New Roman" w:hAnsi="Times New Roman"/>
          <w:sz w:val="28"/>
          <w:szCs w:val="28"/>
          <w:lang w:val="uk-UA"/>
        </w:rPr>
        <w:t xml:space="preserve">иками дітей цих вікових підгруп </w:t>
      </w:r>
      <w:r w:rsidR="001D6E43" w:rsidRPr="001D6E43">
        <w:rPr>
          <w:rFonts w:ascii="Times New Roman" w:hAnsi="Times New Roman"/>
          <w:sz w:val="28"/>
          <w:szCs w:val="28"/>
          <w:lang w:val="uk-UA"/>
        </w:rPr>
        <w:t>контрольної груп</w:t>
      </w:r>
      <w:r w:rsidR="001D6E43">
        <w:rPr>
          <w:rFonts w:ascii="Times New Roman" w:hAnsi="Times New Roman"/>
          <w:sz w:val="28"/>
          <w:szCs w:val="28"/>
          <w:lang w:val="uk-UA"/>
        </w:rPr>
        <w:t xml:space="preserve">и (відповідно у 12-річних дітей </w:t>
      </w:r>
      <w:r w:rsidR="001D6E43" w:rsidRPr="001D6E43">
        <w:rPr>
          <w:rFonts w:ascii="Times New Roman" w:hAnsi="Times New Roman"/>
          <w:sz w:val="28"/>
          <w:szCs w:val="28"/>
          <w:lang w:val="uk-UA"/>
        </w:rPr>
        <w:t>– 0,050</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0,0</w:t>
      </w:r>
      <w:r w:rsidR="001D6E43">
        <w:rPr>
          <w:rFonts w:ascii="Times New Roman" w:hAnsi="Times New Roman"/>
          <w:sz w:val="28"/>
          <w:szCs w:val="28"/>
          <w:lang w:val="uk-UA"/>
        </w:rPr>
        <w:t>06 г/л проти 0,120</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 xml:space="preserve">0,027 г/л </w:t>
      </w:r>
      <w:r w:rsidR="001D6E43" w:rsidRPr="001D6E43">
        <w:rPr>
          <w:rFonts w:ascii="Times New Roman" w:hAnsi="Times New Roman"/>
          <w:sz w:val="28"/>
          <w:szCs w:val="28"/>
          <w:lang w:val="uk-UA"/>
        </w:rPr>
        <w:t>та у 15-річни</w:t>
      </w:r>
      <w:r w:rsidR="001D6E43">
        <w:rPr>
          <w:rFonts w:ascii="Times New Roman" w:hAnsi="Times New Roman"/>
          <w:sz w:val="28"/>
          <w:szCs w:val="28"/>
          <w:lang w:val="uk-UA"/>
        </w:rPr>
        <w:t>х дітей – 0,037</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Pr>
          <w:rFonts w:ascii="Times New Roman" w:hAnsi="Times New Roman"/>
          <w:sz w:val="28"/>
          <w:szCs w:val="28"/>
          <w:lang w:val="uk-UA"/>
        </w:rPr>
        <w:t xml:space="preserve">0,010 г/л проти </w:t>
      </w:r>
      <w:r w:rsidR="001D6E43" w:rsidRPr="001D6E43">
        <w:rPr>
          <w:rFonts w:ascii="Times New Roman" w:hAnsi="Times New Roman"/>
          <w:sz w:val="28"/>
          <w:szCs w:val="28"/>
          <w:lang w:val="uk-UA"/>
        </w:rPr>
        <w:t>0,141</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w:t>
      </w:r>
      <w:r w:rsidR="00F81F79" w:rsidRPr="00F81F79">
        <w:rPr>
          <w:rFonts w:ascii="Times New Roman" w:hAnsi="Times New Roman"/>
          <w:sz w:val="28"/>
          <w:szCs w:val="28"/>
          <w:lang w:val="uk-UA"/>
        </w:rPr>
        <w:t xml:space="preserve"> </w:t>
      </w:r>
      <w:r w:rsidR="001D6E43" w:rsidRPr="001D6E43">
        <w:rPr>
          <w:rFonts w:ascii="Times New Roman" w:hAnsi="Times New Roman"/>
          <w:sz w:val="28"/>
          <w:szCs w:val="28"/>
          <w:lang w:val="uk-UA"/>
        </w:rPr>
        <w:t>0,037 г/л</w:t>
      </w:r>
      <w:r w:rsidR="001D6E43">
        <w:rPr>
          <w:rFonts w:ascii="Times New Roman" w:hAnsi="Times New Roman"/>
          <w:sz w:val="28"/>
          <w:szCs w:val="28"/>
          <w:lang w:val="uk-UA"/>
        </w:rPr>
        <w:t xml:space="preserve">). </w:t>
      </w:r>
      <w:r w:rsidR="001D6E43" w:rsidRPr="001D6E43">
        <w:rPr>
          <w:rFonts w:ascii="Times New Roman" w:hAnsi="Times New Roman"/>
          <w:sz w:val="28"/>
          <w:szCs w:val="28"/>
          <w:lang w:val="uk-UA"/>
        </w:rPr>
        <w:t>Порівняльний ана</w:t>
      </w:r>
      <w:r w:rsidR="001D6E43">
        <w:rPr>
          <w:rFonts w:ascii="Times New Roman" w:hAnsi="Times New Roman"/>
          <w:sz w:val="28"/>
          <w:szCs w:val="28"/>
          <w:lang w:val="uk-UA"/>
        </w:rPr>
        <w:t xml:space="preserve">ліз вмісту </w:t>
      </w:r>
      <w:r w:rsidR="001D6E43" w:rsidRPr="001D6E43">
        <w:rPr>
          <w:rFonts w:ascii="Times New Roman" w:hAnsi="Times New Roman"/>
          <w:sz w:val="28"/>
          <w:szCs w:val="28"/>
          <w:lang w:val="uk-UA"/>
        </w:rPr>
        <w:t>sIgA у ротов</w:t>
      </w:r>
      <w:r w:rsidR="001D6E43">
        <w:rPr>
          <w:rFonts w:ascii="Times New Roman" w:hAnsi="Times New Roman"/>
          <w:sz w:val="28"/>
          <w:szCs w:val="28"/>
          <w:lang w:val="uk-UA"/>
        </w:rPr>
        <w:t xml:space="preserve">ій рідині не виявив статистично </w:t>
      </w:r>
      <w:r w:rsidR="001D6E43" w:rsidRPr="001D6E43">
        <w:rPr>
          <w:rFonts w:ascii="Times New Roman" w:hAnsi="Times New Roman"/>
          <w:sz w:val="28"/>
          <w:szCs w:val="28"/>
          <w:lang w:val="uk-UA"/>
        </w:rPr>
        <w:t>значущих різниць</w:t>
      </w:r>
      <w:r w:rsidR="001D6E43">
        <w:rPr>
          <w:rFonts w:ascii="Times New Roman" w:hAnsi="Times New Roman"/>
          <w:sz w:val="28"/>
          <w:szCs w:val="28"/>
          <w:lang w:val="uk-UA"/>
        </w:rPr>
        <w:t xml:space="preserve"> у віковому аспекті як у дітей, </w:t>
      </w:r>
      <w:r w:rsidR="001D6E43" w:rsidRPr="001D6E43">
        <w:rPr>
          <w:rFonts w:ascii="Times New Roman" w:hAnsi="Times New Roman"/>
          <w:sz w:val="28"/>
          <w:szCs w:val="28"/>
          <w:lang w:val="uk-UA"/>
        </w:rPr>
        <w:t>хворих на б</w:t>
      </w:r>
      <w:r w:rsidR="001D6E43">
        <w:rPr>
          <w:rFonts w:ascii="Times New Roman" w:hAnsi="Times New Roman"/>
          <w:sz w:val="28"/>
          <w:szCs w:val="28"/>
          <w:lang w:val="uk-UA"/>
        </w:rPr>
        <w:t xml:space="preserve">ронхіальну астму, так і у дітей </w:t>
      </w:r>
      <w:r w:rsidR="001D6E43" w:rsidRPr="001D6E43">
        <w:rPr>
          <w:rFonts w:ascii="Times New Roman" w:hAnsi="Times New Roman"/>
          <w:sz w:val="28"/>
          <w:szCs w:val="28"/>
          <w:lang w:val="uk-UA"/>
        </w:rPr>
        <w:t>контрольної групи</w:t>
      </w:r>
      <w:r w:rsidR="001D6E43">
        <w:rPr>
          <w:rFonts w:ascii="Times New Roman" w:hAnsi="Times New Roman"/>
          <w:sz w:val="28"/>
          <w:szCs w:val="28"/>
          <w:lang w:val="uk-UA"/>
        </w:rPr>
        <w:t>.</w:t>
      </w:r>
    </w:p>
    <w:p w14:paraId="4FD0691B" w14:textId="3C9A1934" w:rsidR="001D6E43" w:rsidRDefault="00BF2C01" w:rsidP="00BF2C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згідно з отриманими нами даними та даними інших досліджень, з</w:t>
      </w:r>
      <w:r w:rsidRPr="00BF2C01">
        <w:rPr>
          <w:rFonts w:ascii="Times New Roman" w:hAnsi="Times New Roman"/>
          <w:sz w:val="28"/>
          <w:szCs w:val="28"/>
          <w:lang w:val="uk-UA"/>
        </w:rPr>
        <w:t>міни рівня і</w:t>
      </w:r>
      <w:r>
        <w:rPr>
          <w:rFonts w:ascii="Times New Roman" w:hAnsi="Times New Roman"/>
          <w:sz w:val="28"/>
          <w:szCs w:val="28"/>
          <w:lang w:val="uk-UA"/>
        </w:rPr>
        <w:t>муноглобулінів, зокрема секреторного</w:t>
      </w:r>
      <w:r w:rsidRPr="00BF2C01">
        <w:rPr>
          <w:rFonts w:ascii="Times New Roman" w:hAnsi="Times New Roman"/>
          <w:sz w:val="28"/>
          <w:szCs w:val="28"/>
          <w:lang w:val="uk-UA"/>
        </w:rPr>
        <w:t xml:space="preserve"> IgA, є </w:t>
      </w:r>
      <w:r w:rsidR="00F81ECF">
        <w:rPr>
          <w:rFonts w:ascii="Times New Roman" w:hAnsi="Times New Roman"/>
          <w:sz w:val="28"/>
          <w:szCs w:val="28"/>
          <w:lang w:val="uk-UA"/>
        </w:rPr>
        <w:t>адекватними</w:t>
      </w:r>
      <w:r w:rsidRPr="00BF2C01">
        <w:rPr>
          <w:rFonts w:ascii="Times New Roman" w:hAnsi="Times New Roman"/>
          <w:sz w:val="28"/>
          <w:szCs w:val="28"/>
          <w:lang w:val="uk-UA"/>
        </w:rPr>
        <w:t xml:space="preserve"> показ</w:t>
      </w:r>
      <w:r>
        <w:rPr>
          <w:rFonts w:ascii="Times New Roman" w:hAnsi="Times New Roman"/>
          <w:sz w:val="28"/>
          <w:szCs w:val="28"/>
          <w:lang w:val="uk-UA"/>
        </w:rPr>
        <w:t>никами імунного статусу ротової порожнини та організму в цілому</w:t>
      </w:r>
      <w:r w:rsidRPr="00BF2C01">
        <w:rPr>
          <w:rFonts w:ascii="Times New Roman" w:hAnsi="Times New Roman"/>
          <w:sz w:val="28"/>
          <w:szCs w:val="28"/>
          <w:lang w:val="uk-UA"/>
        </w:rPr>
        <w:t>, і відображають реакцію організму не тільки на інфекцію, але й на гостри</w:t>
      </w:r>
      <w:r>
        <w:rPr>
          <w:rFonts w:ascii="Times New Roman" w:hAnsi="Times New Roman"/>
          <w:sz w:val="28"/>
          <w:szCs w:val="28"/>
          <w:lang w:val="uk-UA"/>
        </w:rPr>
        <w:t>й і хронічний стрес. Незалежно від</w:t>
      </w:r>
      <w:r w:rsidRPr="00BF2C01">
        <w:rPr>
          <w:rFonts w:ascii="Times New Roman" w:hAnsi="Times New Roman"/>
          <w:sz w:val="28"/>
          <w:szCs w:val="28"/>
          <w:lang w:val="uk-UA"/>
        </w:rPr>
        <w:t xml:space="preserve"> фактора ініціювання, </w:t>
      </w:r>
      <w:r>
        <w:rPr>
          <w:rFonts w:ascii="Times New Roman" w:hAnsi="Times New Roman"/>
          <w:sz w:val="28"/>
          <w:szCs w:val="28"/>
          <w:lang w:val="uk-UA"/>
        </w:rPr>
        <w:t>супресія</w:t>
      </w:r>
      <w:r w:rsidRPr="00BF2C01">
        <w:rPr>
          <w:rFonts w:ascii="Times New Roman" w:hAnsi="Times New Roman"/>
          <w:sz w:val="28"/>
          <w:szCs w:val="28"/>
          <w:lang w:val="uk-UA"/>
        </w:rPr>
        <w:t xml:space="preserve"> імунної системи підвищує риз</w:t>
      </w:r>
      <w:r>
        <w:rPr>
          <w:rFonts w:ascii="Times New Roman" w:hAnsi="Times New Roman"/>
          <w:sz w:val="28"/>
          <w:szCs w:val="28"/>
          <w:lang w:val="uk-UA"/>
        </w:rPr>
        <w:t xml:space="preserve">ик розвитку патологічних процусів </w:t>
      </w:r>
      <w:r w:rsidRPr="00BF2C01">
        <w:rPr>
          <w:rFonts w:ascii="Times New Roman" w:hAnsi="Times New Roman"/>
          <w:sz w:val="28"/>
          <w:szCs w:val="28"/>
          <w:lang w:val="uk-UA"/>
        </w:rPr>
        <w:t>[</w:t>
      </w:r>
      <w:r w:rsidR="00F81F79">
        <w:rPr>
          <w:rFonts w:ascii="Times New Roman" w:hAnsi="Times New Roman"/>
          <w:sz w:val="28"/>
          <w:szCs w:val="28"/>
          <w:lang w:val="uk-UA"/>
        </w:rPr>
        <w:t>381</w:t>
      </w:r>
      <w:r w:rsidRPr="008E211B">
        <w:rPr>
          <w:rFonts w:ascii="Times New Roman" w:hAnsi="Times New Roman"/>
          <w:sz w:val="28"/>
          <w:szCs w:val="28"/>
          <w:lang w:val="uk-UA"/>
        </w:rPr>
        <w:t>]</w:t>
      </w:r>
      <w:r w:rsidR="001D6E43" w:rsidRPr="001D6E43">
        <w:rPr>
          <w:rFonts w:ascii="Times New Roman" w:hAnsi="Times New Roman"/>
          <w:sz w:val="28"/>
          <w:szCs w:val="28"/>
          <w:lang w:val="uk-UA"/>
        </w:rPr>
        <w:t>.</w:t>
      </w:r>
    </w:p>
    <w:p w14:paraId="3F2C6CC8" w14:textId="5523E666" w:rsidR="000F5208" w:rsidRDefault="000F5208" w:rsidP="000F5208">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Дослідження рівню загального імуноглобуліну А у ротовій рідині співпадає з рівнем секреторного імуноглобуліну. Спостерігається та сама тенденція до нормалізації показників імнуглобуліну у пацієнтів першої та другої груп, де виокристання концептуально нової програми лікування та профілактики показало нормалізацію стану імунної системи</w:t>
      </w:r>
      <w:r w:rsidR="00A83D07">
        <w:rPr>
          <w:rFonts w:ascii="Times New Roman" w:hAnsi="Times New Roman"/>
          <w:sz w:val="28"/>
          <w:szCs w:val="28"/>
          <w:lang w:val="uk-UA"/>
        </w:rPr>
        <w:t xml:space="preserve">, без достовірної різниці з контрольною групою. У той же час аналіз показників третьої та четвертої груп у динаміці виявив недостатність імунної ланки, що проявлялося стабільно зниженим рівнем імуноглобуліну А, </w:t>
      </w:r>
      <w:r w:rsidR="00A83D07">
        <w:rPr>
          <w:rFonts w:ascii="Times New Roman" w:hAnsi="Times New Roman"/>
          <w:color w:val="000000" w:themeColor="text1"/>
          <w:sz w:val="28"/>
          <w:szCs w:val="28"/>
          <w:lang w:val="uk-UA"/>
        </w:rPr>
        <w:t xml:space="preserve">2.03 </w:t>
      </w:r>
      <w:r w:rsidR="00A83D07">
        <w:rPr>
          <w:rFonts w:ascii="Times New Roman" w:hAnsi="Times New Roman" w:cs="Times New Roman"/>
          <w:color w:val="000000" w:themeColor="text1"/>
          <w:sz w:val="28"/>
          <w:szCs w:val="28"/>
          <w:lang w:val="uk-UA"/>
        </w:rPr>
        <w:t xml:space="preserve">± </w:t>
      </w:r>
      <w:r w:rsidR="00A83D07" w:rsidRPr="00525BE7">
        <w:rPr>
          <w:rFonts w:ascii="Times New Roman" w:hAnsi="Times New Roman"/>
          <w:color w:val="000000" w:themeColor="text1"/>
          <w:sz w:val="28"/>
          <w:szCs w:val="28"/>
          <w:lang w:val="uk-UA"/>
        </w:rPr>
        <w:t>0.59</w:t>
      </w:r>
      <w:r w:rsidR="00A83D07">
        <w:rPr>
          <w:rFonts w:ascii="Times New Roman" w:hAnsi="Times New Roman"/>
          <w:color w:val="000000" w:themeColor="text1"/>
          <w:sz w:val="28"/>
          <w:szCs w:val="28"/>
          <w:lang w:val="uk-UA"/>
        </w:rPr>
        <w:t xml:space="preserve"> г/л у третій групі та 1.72 </w:t>
      </w:r>
      <w:r w:rsidR="00A83D07">
        <w:rPr>
          <w:rFonts w:ascii="Times New Roman" w:hAnsi="Times New Roman" w:cs="Times New Roman"/>
          <w:color w:val="000000" w:themeColor="text1"/>
          <w:sz w:val="28"/>
          <w:szCs w:val="28"/>
          <w:lang w:val="uk-UA"/>
        </w:rPr>
        <w:t xml:space="preserve">± </w:t>
      </w:r>
      <w:r w:rsidR="00A83D07" w:rsidRPr="00525BE7">
        <w:rPr>
          <w:rFonts w:ascii="Times New Roman" w:hAnsi="Times New Roman"/>
          <w:color w:val="000000" w:themeColor="text1"/>
          <w:sz w:val="28"/>
          <w:szCs w:val="28"/>
          <w:lang w:val="uk-UA"/>
        </w:rPr>
        <w:t>0.31</w:t>
      </w:r>
      <w:r w:rsidR="00A83D07">
        <w:rPr>
          <w:rFonts w:ascii="Times New Roman" w:hAnsi="Times New Roman"/>
          <w:color w:val="000000" w:themeColor="text1"/>
          <w:sz w:val="28"/>
          <w:szCs w:val="28"/>
          <w:lang w:val="uk-UA"/>
        </w:rPr>
        <w:t xml:space="preserve"> г/л у четвертій групі. Отже, результатом наших спостережень було виявлення зниженого рівню імуноглобуліну А у пацієнтів всіх груп дітей з атопією, що доводить наявність недостатності імунної системи на тлі атопічних захворювань та підтверджує необхідність специфіки лікування та профілактики гінгівіту.</w:t>
      </w:r>
    </w:p>
    <w:p w14:paraId="0790B2B1" w14:textId="71C903A9" w:rsidR="00A83D07" w:rsidRDefault="00A83D07" w:rsidP="000F5208">
      <w:pPr>
        <w:spacing w:after="0" w:line="360" w:lineRule="auto"/>
        <w:ind w:firstLine="709"/>
        <w:jc w:val="both"/>
        <w:rPr>
          <w:rFonts w:ascii="Times New Roman" w:hAnsi="Times New Roman"/>
          <w:sz w:val="28"/>
          <w:szCs w:val="28"/>
          <w:lang w:val="uk-UA"/>
        </w:rPr>
      </w:pPr>
      <w:r>
        <w:rPr>
          <w:rFonts w:ascii="Times New Roman" w:hAnsi="Times New Roman"/>
          <w:color w:val="000000" w:themeColor="text1"/>
          <w:sz w:val="28"/>
          <w:szCs w:val="28"/>
          <w:lang w:val="uk-UA"/>
        </w:rPr>
        <w:t>Ще одним показником, який характеризує стан імунної системи пацієнтів на тлі атопічних захворювань та який був нами вивчений, є рівень імуноглобуліну М.</w:t>
      </w:r>
      <w:r w:rsidRPr="00FC17AB">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Даний вид імуноглобуліну є першою імунною відповіддю на дію антигену, саме тому його використання у нашому дослідженні було надзвичайно важливим. Як показав аналіз результатів дослідження, рівень імуноглобуліну М був знижений у всіх групах, крім контрольної, незалежно від наявності чи вираженості клінічних проявів гінгівіту на початку дослідження.</w:t>
      </w:r>
    </w:p>
    <w:p w14:paraId="35C33DB8" w14:textId="0DA0657B" w:rsidR="00697D82" w:rsidRDefault="00697D82" w:rsidP="00697D82">
      <w:pPr>
        <w:spacing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 xml:space="preserve">За результатами отриманих даних, рівень імуноглобуліну М на початку дослідження у першій групі дорівнював </w:t>
      </w:r>
      <w:r>
        <w:rPr>
          <w:rFonts w:ascii="Times New Roman" w:hAnsi="Times New Roman"/>
          <w:color w:val="000000" w:themeColor="text1"/>
          <w:sz w:val="28"/>
          <w:szCs w:val="28"/>
          <w:lang w:val="uk-UA"/>
        </w:rPr>
        <w:t xml:space="preserve">2.64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0.95</w:t>
      </w:r>
      <w:r>
        <w:rPr>
          <w:rFonts w:ascii="Times New Roman" w:hAnsi="Times New Roman"/>
          <w:color w:val="000000" w:themeColor="text1"/>
          <w:sz w:val="28"/>
          <w:szCs w:val="28"/>
          <w:lang w:val="uk-UA"/>
        </w:rPr>
        <w:t xml:space="preserve"> г/л, у другій групі 2.05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у третій 2.20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0.46</w:t>
      </w:r>
      <w:r>
        <w:rPr>
          <w:rFonts w:ascii="Times New Roman" w:hAnsi="Times New Roman"/>
          <w:color w:val="000000" w:themeColor="text1"/>
          <w:sz w:val="28"/>
          <w:szCs w:val="28"/>
          <w:lang w:val="uk-UA"/>
        </w:rPr>
        <w:t xml:space="preserve"> г/л, у четвертій групі 2.15 </w:t>
      </w:r>
      <w:r>
        <w:rPr>
          <w:rFonts w:ascii="Times New Roman" w:hAnsi="Times New Roman" w:cs="Times New Roman"/>
          <w:color w:val="000000" w:themeColor="text1"/>
          <w:sz w:val="28"/>
          <w:szCs w:val="28"/>
          <w:lang w:val="uk-UA"/>
        </w:rPr>
        <w:t xml:space="preserve">± </w:t>
      </w:r>
      <w:r w:rsidRPr="007B35D6">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Ми спостерігали відсутність статистично значимої різниці між даними групами, що підкреслює слабкість імунної системи у дітей з атопічними захворюваннями, яка може проявлятися </w:t>
      </w:r>
      <w:r w:rsidR="004B6EDA">
        <w:rPr>
          <w:rFonts w:ascii="Times New Roman" w:hAnsi="Times New Roman"/>
          <w:color w:val="000000" w:themeColor="text1"/>
          <w:sz w:val="28"/>
          <w:szCs w:val="28"/>
          <w:lang w:val="uk-UA"/>
        </w:rPr>
        <w:t>клінічними ознаками запалення тканин пародонту</w:t>
      </w:r>
      <w:r>
        <w:rPr>
          <w:rFonts w:ascii="Times New Roman" w:hAnsi="Times New Roman"/>
          <w:color w:val="000000" w:themeColor="text1"/>
          <w:sz w:val="28"/>
          <w:szCs w:val="28"/>
          <w:lang w:val="uk-UA"/>
        </w:rPr>
        <w:t>, а може й протікати латентно я</w:t>
      </w:r>
      <w:r w:rsidR="004B6EDA">
        <w:rPr>
          <w:rFonts w:ascii="Times New Roman" w:hAnsi="Times New Roman"/>
          <w:color w:val="000000" w:themeColor="text1"/>
          <w:sz w:val="28"/>
          <w:szCs w:val="28"/>
          <w:lang w:val="uk-UA"/>
        </w:rPr>
        <w:t>к стадія передхвороби</w:t>
      </w:r>
      <w:r>
        <w:rPr>
          <w:rFonts w:ascii="Times New Roman" w:hAnsi="Times New Roman"/>
          <w:color w:val="000000" w:themeColor="text1"/>
          <w:sz w:val="28"/>
          <w:szCs w:val="28"/>
          <w:lang w:val="uk-UA"/>
        </w:rPr>
        <w:t xml:space="preserve"> гінгівіту. У зв’язку з цим </w:t>
      </w:r>
      <w:r w:rsidR="004B6EDA">
        <w:rPr>
          <w:rFonts w:ascii="Times New Roman" w:hAnsi="Times New Roman"/>
          <w:color w:val="000000" w:themeColor="text1"/>
          <w:sz w:val="28"/>
          <w:szCs w:val="28"/>
          <w:lang w:val="uk-UA"/>
        </w:rPr>
        <w:t>зниження рівню імуноглобуліну М</w:t>
      </w:r>
      <w:r>
        <w:rPr>
          <w:rFonts w:ascii="Times New Roman" w:hAnsi="Times New Roman"/>
          <w:color w:val="000000" w:themeColor="text1"/>
          <w:sz w:val="28"/>
          <w:szCs w:val="28"/>
          <w:lang w:val="uk-UA"/>
        </w:rPr>
        <w:t xml:space="preserve"> </w:t>
      </w:r>
      <w:r w:rsidR="004B6EDA">
        <w:rPr>
          <w:rFonts w:ascii="Times New Roman" w:hAnsi="Times New Roman"/>
          <w:color w:val="000000" w:themeColor="text1"/>
          <w:sz w:val="28"/>
          <w:szCs w:val="28"/>
          <w:lang w:val="uk-UA"/>
        </w:rPr>
        <w:t xml:space="preserve">є </w:t>
      </w:r>
      <w:r>
        <w:rPr>
          <w:rFonts w:ascii="Times New Roman" w:hAnsi="Times New Roman"/>
          <w:color w:val="000000" w:themeColor="text1"/>
          <w:sz w:val="28"/>
          <w:szCs w:val="28"/>
          <w:lang w:val="uk-UA"/>
        </w:rPr>
        <w:t>інформативними для ранньої діагностики гінгівіту, його профілактики</w:t>
      </w:r>
      <w:r w:rsidR="004B6EDA">
        <w:rPr>
          <w:rFonts w:ascii="Times New Roman" w:hAnsi="Times New Roman"/>
          <w:color w:val="000000" w:themeColor="text1"/>
          <w:sz w:val="28"/>
          <w:szCs w:val="28"/>
          <w:lang w:val="uk-UA"/>
        </w:rPr>
        <w:t xml:space="preserve"> та контролю ефективності лікування</w:t>
      </w:r>
      <w:r>
        <w:rPr>
          <w:rFonts w:ascii="Times New Roman" w:hAnsi="Times New Roman"/>
          <w:color w:val="000000" w:themeColor="text1"/>
          <w:sz w:val="28"/>
          <w:szCs w:val="28"/>
          <w:lang w:val="uk-UA"/>
        </w:rPr>
        <w:t>.</w:t>
      </w:r>
    </w:p>
    <w:p w14:paraId="5D61DD0C" w14:textId="60FA40BE" w:rsidR="004B6EDA" w:rsidRDefault="004B6EDA" w:rsidP="004B6ED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Так, аналіз показників імуноглобуліну М у динаміці виявив статистично значиму різницю між групами, де було проведене традиційне лікування та профілактика та концептуально новий підхід до лікування. Наприклад, через шість місяців у першій групі пацієнтів було зафіксоване збільшення рівня імуноглобуліну М до 5.08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0.70</w:t>
      </w:r>
      <w:r>
        <w:rPr>
          <w:rFonts w:ascii="Times New Roman" w:hAnsi="Times New Roman"/>
          <w:color w:val="000000" w:themeColor="text1"/>
          <w:sz w:val="28"/>
          <w:szCs w:val="28"/>
          <w:lang w:val="uk-UA"/>
        </w:rPr>
        <w:t xml:space="preserve"> г/л, через дванадцять місяців до 4.90 </w:t>
      </w:r>
      <w:r>
        <w:rPr>
          <w:rFonts w:ascii="Times New Roman" w:hAnsi="Times New Roman" w:cs="Times New Roman"/>
          <w:color w:val="000000" w:themeColor="text1"/>
          <w:sz w:val="28"/>
          <w:szCs w:val="28"/>
          <w:lang w:val="uk-UA"/>
        </w:rPr>
        <w:t xml:space="preserve">± </w:t>
      </w:r>
      <w:r w:rsidRPr="00FC17AB">
        <w:rPr>
          <w:rFonts w:ascii="Times New Roman" w:hAnsi="Times New Roman"/>
          <w:color w:val="000000" w:themeColor="text1"/>
          <w:sz w:val="28"/>
          <w:szCs w:val="28"/>
          <w:lang w:val="uk-UA"/>
        </w:rPr>
        <w:t>0.52</w:t>
      </w:r>
      <w:r>
        <w:rPr>
          <w:rFonts w:ascii="Times New Roman" w:hAnsi="Times New Roman"/>
          <w:color w:val="000000" w:themeColor="text1"/>
          <w:sz w:val="28"/>
          <w:szCs w:val="28"/>
          <w:lang w:val="uk-UA"/>
        </w:rPr>
        <w:t xml:space="preserve"> г/л, що становить достовірну різницю з початковими показниками. У той час у третій групі пацієнтів з аналогічними клінічними та лабораторними даними, але зі стандартним лікуванням, позитивної динаміки ми не спостерігали. </w:t>
      </w:r>
    </w:p>
    <w:p w14:paraId="7B92B57A" w14:textId="7479CCBF" w:rsidR="004B6EDA" w:rsidRDefault="004B6EDA" w:rsidP="004B6ED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Така зміна показників імунного статусу відповідно до ознак запалення тканин пародонту та їх відповідь на проведене лікування обумовлює можливість та необхідність використання рівнів імуноглобулінів як біомаркерів запалення. Надзвичайно важливим є той факт, що дані біомаркери можуть бути застосовані на етапі передхвороби, за відсутності ознак запалення.</w:t>
      </w:r>
    </w:p>
    <w:p w14:paraId="3B1CD980" w14:textId="11F57BC7" w:rsidR="00210610" w:rsidRPr="00210610" w:rsidRDefault="004B6EDA" w:rsidP="00210610">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Взаємозв</w:t>
      </w:r>
      <w:r w:rsidRPr="004B6ED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язок ступеню запалення тканин пародонту та рівнів імуноглобулінів у ротовій рідини підтверджений іншими вченими. </w:t>
      </w:r>
      <w:r w:rsidR="00210610">
        <w:rPr>
          <w:rFonts w:ascii="Times New Roman" w:hAnsi="Times New Roman"/>
          <w:color w:val="000000" w:themeColor="text1"/>
          <w:sz w:val="28"/>
          <w:szCs w:val="28"/>
          <w:lang w:val="ru-RU"/>
        </w:rPr>
        <w:t>Досл</w:t>
      </w:r>
      <w:r w:rsidR="00210610">
        <w:rPr>
          <w:rFonts w:ascii="Times New Roman" w:hAnsi="Times New Roman"/>
          <w:color w:val="000000" w:themeColor="text1"/>
          <w:sz w:val="28"/>
          <w:szCs w:val="28"/>
          <w:lang w:val="uk-UA"/>
        </w:rPr>
        <w:t>ідникик вказують на те, що за однакової кількості зубного нальоту стан тканин пародонту може бути різним. Різниця у ступені тяжкості гінгівіту залежить від стану пародонтальних тканин, їх функціональних змін, хараткеру мікрофлори та зрілості імунної системи</w:t>
      </w:r>
      <w:r w:rsidR="00210610" w:rsidRPr="00210610">
        <w:rPr>
          <w:rFonts w:ascii="Times New Roman" w:hAnsi="Times New Roman"/>
          <w:color w:val="000000" w:themeColor="text1"/>
          <w:sz w:val="28"/>
          <w:szCs w:val="28"/>
          <w:lang w:val="uk-UA"/>
        </w:rPr>
        <w:t xml:space="preserve"> [</w:t>
      </w:r>
      <w:r w:rsidR="00F81F79">
        <w:rPr>
          <w:rFonts w:ascii="Times New Roman" w:hAnsi="Times New Roman"/>
          <w:color w:val="000000" w:themeColor="text1"/>
          <w:sz w:val="28"/>
          <w:szCs w:val="28"/>
          <w:lang w:val="uk-UA"/>
        </w:rPr>
        <w:t>382, 383</w:t>
      </w:r>
      <w:r w:rsidR="00210610" w:rsidRPr="00210610">
        <w:rPr>
          <w:rFonts w:ascii="Times New Roman" w:hAnsi="Times New Roman"/>
          <w:color w:val="000000" w:themeColor="text1"/>
          <w:sz w:val="28"/>
          <w:szCs w:val="28"/>
          <w:lang w:val="uk-UA"/>
        </w:rPr>
        <w:t>]</w:t>
      </w:r>
      <w:r w:rsidR="00210610">
        <w:rPr>
          <w:rFonts w:ascii="Times New Roman" w:hAnsi="Times New Roman"/>
          <w:color w:val="000000" w:themeColor="text1"/>
          <w:sz w:val="28"/>
          <w:szCs w:val="28"/>
          <w:lang w:val="uk-UA"/>
        </w:rPr>
        <w:t>.</w:t>
      </w:r>
    </w:p>
    <w:p w14:paraId="7FEFCCC7" w14:textId="015CD0B2" w:rsidR="00210610" w:rsidRPr="00210610" w:rsidRDefault="00210610" w:rsidP="00921674">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Mooder та Wondimu повідомляють</w:t>
      </w:r>
      <w:r w:rsidRPr="00210610">
        <w:rPr>
          <w:rFonts w:ascii="Times New Roman" w:hAnsi="Times New Roman"/>
          <w:color w:val="000000" w:themeColor="text1"/>
          <w:sz w:val="28"/>
          <w:szCs w:val="28"/>
          <w:lang w:val="uk-UA"/>
        </w:rPr>
        <w:t xml:space="preserve">, що запалення тканин в зв'язку з </w:t>
      </w:r>
      <w:r>
        <w:rPr>
          <w:rFonts w:ascii="Times New Roman" w:hAnsi="Times New Roman"/>
          <w:color w:val="000000" w:themeColor="text1"/>
          <w:sz w:val="28"/>
          <w:szCs w:val="28"/>
          <w:lang w:val="uk-UA"/>
        </w:rPr>
        <w:t>акумуляцією</w:t>
      </w:r>
      <w:r w:rsidRPr="00210610">
        <w:rPr>
          <w:rFonts w:ascii="Times New Roman" w:hAnsi="Times New Roman"/>
          <w:color w:val="000000" w:themeColor="text1"/>
          <w:sz w:val="28"/>
          <w:szCs w:val="28"/>
          <w:lang w:val="uk-UA"/>
        </w:rPr>
        <w:t xml:space="preserve"> бактеріального нальоту починається в ранньому дитинстві і відображає б</w:t>
      </w:r>
      <w:r>
        <w:rPr>
          <w:rFonts w:ascii="Times New Roman" w:hAnsi="Times New Roman"/>
          <w:color w:val="000000" w:themeColor="text1"/>
          <w:sz w:val="28"/>
          <w:szCs w:val="28"/>
          <w:lang w:val="uk-UA"/>
        </w:rPr>
        <w:t xml:space="preserve">актеріальний фон організму </w:t>
      </w:r>
      <w:r w:rsidRPr="00210610">
        <w:rPr>
          <w:rFonts w:ascii="Times New Roman" w:hAnsi="Times New Roman"/>
          <w:color w:val="000000" w:themeColor="text1"/>
          <w:sz w:val="28"/>
          <w:szCs w:val="28"/>
          <w:lang w:val="uk-UA"/>
        </w:rPr>
        <w:t>[</w:t>
      </w:r>
      <w:r w:rsidR="006E6F97" w:rsidRPr="006E6F97">
        <w:rPr>
          <w:rFonts w:ascii="Times New Roman" w:hAnsi="Times New Roman"/>
          <w:color w:val="000000" w:themeColor="text1"/>
          <w:sz w:val="28"/>
          <w:szCs w:val="28"/>
          <w:lang w:val="uk-UA"/>
        </w:rPr>
        <w:t>130</w:t>
      </w:r>
      <w:r w:rsidRPr="00210610">
        <w:rPr>
          <w:rFonts w:ascii="Times New Roman" w:hAnsi="Times New Roman"/>
          <w:color w:val="000000" w:themeColor="text1"/>
          <w:sz w:val="28"/>
          <w:szCs w:val="28"/>
          <w:lang w:val="uk-UA"/>
        </w:rPr>
        <w:t>]. Цей прояв запальної реакції залежить від взаємодії між локальними та системними чинниками, включаючи імунну відповідь особи. У дітей</w:t>
      </w:r>
      <w:r>
        <w:rPr>
          <w:rFonts w:ascii="Times New Roman" w:hAnsi="Times New Roman"/>
          <w:color w:val="000000" w:themeColor="text1"/>
          <w:sz w:val="28"/>
          <w:szCs w:val="28"/>
          <w:lang w:val="uk-UA"/>
        </w:rPr>
        <w:t xml:space="preserve"> з гінгівітом</w:t>
      </w:r>
      <w:r w:rsidRPr="00210610">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запальний інфільтрат ясен </w:t>
      </w:r>
      <w:r w:rsidRPr="00210610">
        <w:rPr>
          <w:rFonts w:ascii="Times New Roman" w:hAnsi="Times New Roman"/>
          <w:color w:val="000000" w:themeColor="text1"/>
          <w:sz w:val="28"/>
          <w:szCs w:val="28"/>
          <w:lang w:val="uk-UA"/>
        </w:rPr>
        <w:t>особливо компрометує Т-лімфоцити та гуморальну реакцію з активацією B-лімфоцитів , які синтезують антитіла, такі як IgA</w:t>
      </w:r>
      <w:r>
        <w:rPr>
          <w:rFonts w:ascii="Times New Roman" w:hAnsi="Times New Roman"/>
          <w:color w:val="000000" w:themeColor="text1"/>
          <w:sz w:val="28"/>
          <w:szCs w:val="28"/>
          <w:lang w:val="uk-UA"/>
        </w:rPr>
        <w:t>, IgG та IgM.</w:t>
      </w:r>
      <w:r w:rsidR="00921674">
        <w:rPr>
          <w:rFonts w:ascii="Times New Roman" w:hAnsi="Times New Roman"/>
          <w:color w:val="000000" w:themeColor="text1"/>
          <w:sz w:val="28"/>
          <w:szCs w:val="28"/>
          <w:lang w:val="uk-UA"/>
        </w:rPr>
        <w:t xml:space="preserve"> Як відомо, зміни у рівні імуноглобулінів може бути відображені у різних рідинах, таких як кров або ротова рідина.</w:t>
      </w:r>
    </w:p>
    <w:p w14:paraId="7FB0B61E" w14:textId="64DE701D" w:rsidR="004B6EDA" w:rsidRDefault="00831677" w:rsidP="00831677">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Базовий рівень імуноглобулінів</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у ротовій рідині</w:t>
      </w:r>
      <w:r w:rsidRPr="00831677">
        <w:rPr>
          <w:rFonts w:ascii="Times New Roman" w:hAnsi="Times New Roman"/>
          <w:color w:val="000000" w:themeColor="text1"/>
          <w:sz w:val="28"/>
          <w:szCs w:val="28"/>
          <w:lang w:val="uk-UA"/>
        </w:rPr>
        <w:t xml:space="preserve"> дозволяє зробити припущення щодо ступеня сприйнятливості господаря при реагуванні на агресію, тому що підтип імуноглобуліну, що знаходиться в рідині, бере участь у ефекторних функціях нейтралізації, активації комплементу та фагоцитозу</w:t>
      </w:r>
      <w:r w:rsidR="00210610" w:rsidRPr="00210610">
        <w:rPr>
          <w:rFonts w:ascii="Times New Roman" w:hAnsi="Times New Roman"/>
          <w:color w:val="000000" w:themeColor="text1"/>
          <w:sz w:val="28"/>
          <w:szCs w:val="28"/>
          <w:lang w:val="uk-UA"/>
        </w:rPr>
        <w:t xml:space="preserve">. </w:t>
      </w:r>
      <w:r w:rsidRPr="00831677">
        <w:rPr>
          <w:rFonts w:ascii="Times New Roman" w:hAnsi="Times New Roman"/>
          <w:color w:val="000000" w:themeColor="text1"/>
          <w:sz w:val="28"/>
          <w:szCs w:val="28"/>
          <w:lang w:val="uk-UA"/>
        </w:rPr>
        <w:t>Захисні ефекти гуморального імунітету опосередковуються специфічними ф</w:t>
      </w:r>
      <w:r>
        <w:rPr>
          <w:rFonts w:ascii="Times New Roman" w:hAnsi="Times New Roman"/>
          <w:color w:val="000000" w:themeColor="text1"/>
          <w:sz w:val="28"/>
          <w:szCs w:val="28"/>
          <w:lang w:val="uk-UA"/>
        </w:rPr>
        <w:t>ункціями кожного імуноглобуліну. Т</w:t>
      </w:r>
      <w:r w:rsidRPr="00831677">
        <w:rPr>
          <w:rFonts w:ascii="Times New Roman" w:hAnsi="Times New Roman"/>
          <w:color w:val="000000" w:themeColor="text1"/>
          <w:sz w:val="28"/>
          <w:szCs w:val="28"/>
          <w:lang w:val="uk-UA"/>
        </w:rPr>
        <w:t>аким чином, IgA нейтралізує антигени та макромолекули взагалі, які проникають через слизову оболонку, інгібуючи чутливість до чужорідних макромолекул та захищаючи</w:t>
      </w:r>
      <w:r>
        <w:rPr>
          <w:rFonts w:ascii="Times New Roman" w:hAnsi="Times New Roman"/>
          <w:color w:val="000000" w:themeColor="text1"/>
          <w:sz w:val="28"/>
          <w:szCs w:val="28"/>
          <w:lang w:val="uk-UA"/>
        </w:rPr>
        <w:t xml:space="preserve"> від</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захворювань</w:t>
      </w:r>
      <w:r w:rsidRPr="00831677">
        <w:rPr>
          <w:rFonts w:ascii="Times New Roman" w:hAnsi="Times New Roman"/>
          <w:color w:val="000000" w:themeColor="text1"/>
          <w:sz w:val="28"/>
          <w:szCs w:val="28"/>
          <w:lang w:val="uk-UA"/>
        </w:rPr>
        <w:t xml:space="preserve"> пародонту; IgG класично визначається як відповідальний за вторинну імунну відповідь і пам'ять, і IgM є найважливішим у первинній реакції проти більшості мікроорганізмів. IgA та IgM можуть активно транспортуватися через епітелій, тоді як</w:t>
      </w:r>
      <w:r>
        <w:rPr>
          <w:rFonts w:ascii="Times New Roman" w:hAnsi="Times New Roman"/>
          <w:color w:val="000000" w:themeColor="text1"/>
          <w:sz w:val="28"/>
          <w:szCs w:val="28"/>
          <w:lang w:val="uk-UA"/>
        </w:rPr>
        <w:t xml:space="preserve"> існують дані, що</w:t>
      </w:r>
      <w:r w:rsidRPr="00831677">
        <w:rPr>
          <w:rFonts w:ascii="Times New Roman" w:hAnsi="Times New Roman"/>
          <w:color w:val="000000" w:themeColor="text1"/>
          <w:sz w:val="28"/>
          <w:szCs w:val="28"/>
          <w:lang w:val="uk-UA"/>
        </w:rPr>
        <w:t xml:space="preserve"> IgG відіграє</w:t>
      </w:r>
      <w:r>
        <w:rPr>
          <w:rFonts w:ascii="Times New Roman" w:hAnsi="Times New Roman"/>
          <w:color w:val="000000" w:themeColor="text1"/>
          <w:sz w:val="28"/>
          <w:szCs w:val="28"/>
          <w:lang w:val="uk-UA"/>
        </w:rPr>
        <w:t xml:space="preserve"> відносно</w:t>
      </w:r>
      <w:r w:rsidRPr="00831677">
        <w:rPr>
          <w:rFonts w:ascii="Times New Roman" w:hAnsi="Times New Roman"/>
          <w:color w:val="000000" w:themeColor="text1"/>
          <w:sz w:val="28"/>
          <w:szCs w:val="28"/>
          <w:lang w:val="uk-UA"/>
        </w:rPr>
        <w:t xml:space="preserve"> невелику ро</w:t>
      </w:r>
      <w:r>
        <w:rPr>
          <w:rFonts w:ascii="Times New Roman" w:hAnsi="Times New Roman"/>
          <w:color w:val="000000" w:themeColor="text1"/>
          <w:sz w:val="28"/>
          <w:szCs w:val="28"/>
          <w:lang w:val="uk-UA"/>
        </w:rPr>
        <w:t>ль у імунному</w:t>
      </w:r>
      <w:r w:rsidRPr="00831677">
        <w:rPr>
          <w:rFonts w:ascii="Times New Roman" w:hAnsi="Times New Roman"/>
          <w:color w:val="000000" w:themeColor="text1"/>
          <w:sz w:val="28"/>
          <w:szCs w:val="28"/>
          <w:lang w:val="uk-UA"/>
        </w:rPr>
        <w:t xml:space="preserve"> захисті слизової оболонки</w:t>
      </w:r>
      <w:r>
        <w:rPr>
          <w:rFonts w:ascii="Times New Roman" w:hAnsi="Times New Roman"/>
          <w:color w:val="000000" w:themeColor="text1"/>
          <w:sz w:val="28"/>
          <w:szCs w:val="28"/>
          <w:lang w:val="uk-UA"/>
        </w:rPr>
        <w:t>, через відсутність рецепторів епітеліальних клітин, що забезпечує його трансци</w:t>
      </w:r>
      <w:r w:rsidRPr="00831677">
        <w:rPr>
          <w:rFonts w:ascii="Times New Roman" w:hAnsi="Times New Roman"/>
          <w:color w:val="000000" w:themeColor="text1"/>
          <w:sz w:val="28"/>
          <w:szCs w:val="28"/>
          <w:lang w:val="uk-UA"/>
        </w:rPr>
        <w:t xml:space="preserve">тоз. Однак, IgG можна зустріти у </w:t>
      </w:r>
      <w:r>
        <w:rPr>
          <w:rFonts w:ascii="Times New Roman" w:hAnsi="Times New Roman"/>
          <w:color w:val="000000" w:themeColor="text1"/>
          <w:sz w:val="28"/>
          <w:szCs w:val="28"/>
          <w:lang w:val="uk-UA"/>
        </w:rPr>
        <w:t>ротовій рідині</w:t>
      </w:r>
      <w:r w:rsidRPr="00831677">
        <w:rPr>
          <w:rFonts w:ascii="Times New Roman" w:hAnsi="Times New Roman"/>
          <w:color w:val="000000" w:themeColor="text1"/>
          <w:sz w:val="28"/>
          <w:szCs w:val="28"/>
          <w:lang w:val="uk-UA"/>
        </w:rPr>
        <w:t>, тому його роль у імунній відповіді в ротовій порожнині не слід відкидати</w:t>
      </w:r>
      <w:r>
        <w:rPr>
          <w:rFonts w:ascii="Times New Roman" w:hAnsi="Times New Roman"/>
          <w:color w:val="000000" w:themeColor="text1"/>
          <w:sz w:val="28"/>
          <w:szCs w:val="28"/>
          <w:lang w:val="uk-UA"/>
        </w:rPr>
        <w:t xml:space="preserve"> </w:t>
      </w:r>
      <w:r w:rsidRPr="00831677">
        <w:rPr>
          <w:rFonts w:ascii="Times New Roman" w:hAnsi="Times New Roman"/>
          <w:color w:val="000000" w:themeColor="text1"/>
          <w:sz w:val="28"/>
          <w:szCs w:val="28"/>
          <w:lang w:val="uk-UA"/>
        </w:rPr>
        <w:t>[</w:t>
      </w:r>
      <w:r w:rsidR="00F81F79">
        <w:rPr>
          <w:rFonts w:ascii="Times New Roman" w:hAnsi="Times New Roman"/>
          <w:color w:val="000000" w:themeColor="text1"/>
          <w:sz w:val="28"/>
          <w:szCs w:val="28"/>
          <w:lang w:val="uk-UA"/>
        </w:rPr>
        <w:t>384</w:t>
      </w:r>
      <w:r w:rsidRPr="00831677">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
    <w:p w14:paraId="2CC1C3B3" w14:textId="5740CEE6" w:rsidR="00831677" w:rsidRDefault="00831677" w:rsidP="00831677">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Згідно з нашими даними стосовно вмісту імуноглобуліну </w:t>
      </w:r>
      <w:r>
        <w:rPr>
          <w:rFonts w:ascii="Times New Roman" w:hAnsi="Times New Roman"/>
          <w:color w:val="000000" w:themeColor="text1"/>
          <w:sz w:val="28"/>
          <w:szCs w:val="28"/>
        </w:rPr>
        <w:t>G</w:t>
      </w:r>
      <w:r w:rsidRPr="00831677">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у ротовій рідині, фактично ми реєстрували зниження рівня даного класу імуноглобуліну у всіх групах пацієнтів з атопічними захворюваннями. Це цілком пояснюється тим фактом, що </w:t>
      </w:r>
      <w:r w:rsidRPr="00C65924">
        <w:rPr>
          <w:rFonts w:ascii="Times New Roman" w:hAnsi="Times New Roman"/>
          <w:color w:val="000000" w:themeColor="text1"/>
          <w:sz w:val="28"/>
          <w:szCs w:val="28"/>
          <w:lang w:val="uk-UA"/>
        </w:rPr>
        <w:t xml:space="preserve">IgG </w:t>
      </w:r>
      <w:r>
        <w:rPr>
          <w:rFonts w:ascii="Times New Roman" w:hAnsi="Times New Roman"/>
          <w:color w:val="000000" w:themeColor="text1"/>
          <w:sz w:val="28"/>
          <w:szCs w:val="28"/>
          <w:lang w:val="uk-UA"/>
        </w:rPr>
        <w:t>прийнято вважати</w:t>
      </w:r>
      <w:r w:rsidRPr="00C65924">
        <w:rPr>
          <w:rFonts w:ascii="Times New Roman" w:hAnsi="Times New Roman"/>
          <w:color w:val="000000" w:themeColor="text1"/>
          <w:sz w:val="28"/>
          <w:szCs w:val="28"/>
          <w:lang w:val="uk-UA"/>
        </w:rPr>
        <w:t xml:space="preserve"> основним імуноглобуліном здорової людини</w:t>
      </w:r>
      <w:r>
        <w:rPr>
          <w:rFonts w:ascii="Times New Roman" w:hAnsi="Times New Roman"/>
          <w:color w:val="000000" w:themeColor="text1"/>
          <w:sz w:val="28"/>
          <w:szCs w:val="28"/>
          <w:lang w:val="uk-UA"/>
        </w:rPr>
        <w:t>, найбільш активним у вторинній</w:t>
      </w:r>
      <w:r w:rsidRPr="00C65924">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імунній відповіді і антитоксичному</w:t>
      </w:r>
      <w:r w:rsidRPr="00C65924">
        <w:rPr>
          <w:rFonts w:ascii="Times New Roman" w:hAnsi="Times New Roman"/>
          <w:color w:val="000000" w:themeColor="text1"/>
          <w:sz w:val="28"/>
          <w:szCs w:val="28"/>
          <w:lang w:val="uk-UA"/>
        </w:rPr>
        <w:t xml:space="preserve"> імунітет</w:t>
      </w:r>
      <w:r>
        <w:rPr>
          <w:rFonts w:ascii="Times New Roman" w:hAnsi="Times New Roman"/>
          <w:color w:val="000000" w:themeColor="text1"/>
          <w:sz w:val="28"/>
          <w:szCs w:val="28"/>
          <w:lang w:val="uk-UA"/>
        </w:rPr>
        <w:t xml:space="preserve">і. Так, на початку дослідження рівень імуноглобуліну </w:t>
      </w:r>
      <w:r>
        <w:rPr>
          <w:rFonts w:ascii="Times New Roman" w:hAnsi="Times New Roman"/>
          <w:color w:val="000000" w:themeColor="text1"/>
          <w:sz w:val="28"/>
          <w:szCs w:val="28"/>
        </w:rPr>
        <w:t>G</w:t>
      </w:r>
      <w:r w:rsidRPr="00831677">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uk-UA"/>
        </w:rPr>
        <w:t>коливався від 1.56</w:t>
      </w:r>
      <w:r w:rsidR="00C96D2C">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C96D2C">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0.49</w:t>
      </w:r>
      <w:r>
        <w:rPr>
          <w:rFonts w:ascii="Times New Roman" w:hAnsi="Times New Roman"/>
          <w:color w:val="000000" w:themeColor="text1"/>
          <w:sz w:val="28"/>
          <w:szCs w:val="28"/>
          <w:lang w:val="uk-UA"/>
        </w:rPr>
        <w:t xml:space="preserve"> г/л до 1.92</w:t>
      </w:r>
      <w:r w:rsidR="00C96D2C">
        <w:rPr>
          <w:rFonts w:ascii="Times New Roman" w:hAnsi="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C96D2C">
        <w:rPr>
          <w:rFonts w:ascii="Times New Roman" w:hAnsi="Times New Roman" w:cs="Times New Roman"/>
          <w:color w:val="000000" w:themeColor="text1"/>
          <w:sz w:val="28"/>
          <w:szCs w:val="28"/>
          <w:lang w:val="uk-UA"/>
        </w:rPr>
        <w:t xml:space="preserve"> </w:t>
      </w:r>
      <w:r w:rsidRPr="00C56137">
        <w:rPr>
          <w:rFonts w:ascii="Times New Roman" w:hAnsi="Times New Roman"/>
          <w:color w:val="000000" w:themeColor="text1"/>
          <w:sz w:val="28"/>
          <w:szCs w:val="28"/>
          <w:lang w:val="uk-UA"/>
        </w:rPr>
        <w:t>0.55</w:t>
      </w:r>
      <w:r>
        <w:rPr>
          <w:rFonts w:ascii="Times New Roman" w:hAnsi="Times New Roman"/>
          <w:color w:val="000000" w:themeColor="text1"/>
          <w:sz w:val="28"/>
          <w:szCs w:val="28"/>
          <w:lang w:val="uk-UA"/>
        </w:rPr>
        <w:t xml:space="preserve"> г/л у групах дітей з атопією та дорівнював </w:t>
      </w:r>
      <w:r w:rsidR="00C96D2C">
        <w:rPr>
          <w:rFonts w:ascii="Times New Roman" w:hAnsi="Times New Roman"/>
          <w:color w:val="000000" w:themeColor="text1"/>
          <w:sz w:val="28"/>
          <w:szCs w:val="28"/>
          <w:lang w:val="uk-UA"/>
        </w:rPr>
        <w:t xml:space="preserve">3.02 </w:t>
      </w:r>
      <w:r w:rsidR="00C96D2C">
        <w:rPr>
          <w:rFonts w:ascii="Times New Roman" w:hAnsi="Times New Roman" w:cs="Times New Roman"/>
          <w:color w:val="000000" w:themeColor="text1"/>
          <w:sz w:val="28"/>
          <w:szCs w:val="28"/>
          <w:lang w:val="uk-UA"/>
        </w:rPr>
        <w:t xml:space="preserve">± </w:t>
      </w:r>
      <w:r w:rsidR="00C96D2C" w:rsidRPr="00C56137">
        <w:rPr>
          <w:rFonts w:ascii="Times New Roman" w:hAnsi="Times New Roman"/>
          <w:color w:val="000000" w:themeColor="text1"/>
          <w:sz w:val="28"/>
          <w:szCs w:val="28"/>
          <w:lang w:val="uk-UA"/>
        </w:rPr>
        <w:t>0.46</w:t>
      </w:r>
      <w:r w:rsidR="00C96D2C">
        <w:rPr>
          <w:rFonts w:ascii="Times New Roman" w:hAnsi="Times New Roman"/>
          <w:color w:val="000000" w:themeColor="text1"/>
          <w:sz w:val="28"/>
          <w:szCs w:val="28"/>
          <w:lang w:val="uk-UA"/>
        </w:rPr>
        <w:t xml:space="preserve"> г/л у контрольній групі. Статистично значима різниця у показниках доводить показовість даного імуноглобуліну для характеристики запалення у тканинах пародонту дітей з атопією для зниження рівню імунної резистентності. При подальшому аналізі показників ми спостерігали збільшення рівню даного показника у першій та другій групах, де був застосований концептуально новий підхід до лікування та профілактики гінгівіту до рівня, який не відрізнявся від контрольної групи. Це доводить той факт, що вирішення проблеми лікування та профілактики гінгівіту можливе тільки при побудові лікувально-профілактичних заходів на корекції імунного дисбалансу.</w:t>
      </w:r>
    </w:p>
    <w:p w14:paraId="45E39017" w14:textId="7D6C1CE2" w:rsidR="0000380A" w:rsidRPr="0000380A" w:rsidRDefault="0000380A" w:rsidP="0000380A">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Висновки, зроблені у нашому досліженні, підтверджені даними інших наковців. За їх думкою, н</w:t>
      </w:r>
      <w:r w:rsidRPr="0000380A">
        <w:rPr>
          <w:rFonts w:ascii="Times New Roman" w:hAnsi="Times New Roman"/>
          <w:color w:val="000000" w:themeColor="text1"/>
          <w:sz w:val="28"/>
          <w:szCs w:val="28"/>
          <w:lang w:val="uk-UA"/>
        </w:rPr>
        <w:t>едостатність досліджень, спрямованих на поглиблення знань про клінічні, мікробіологічні та іму</w:t>
      </w:r>
      <w:r>
        <w:rPr>
          <w:rFonts w:ascii="Times New Roman" w:hAnsi="Times New Roman"/>
          <w:color w:val="000000" w:themeColor="text1"/>
          <w:sz w:val="28"/>
          <w:szCs w:val="28"/>
          <w:lang w:val="uk-UA"/>
        </w:rPr>
        <w:t>нологічні показники захворювань пародонту</w:t>
      </w:r>
      <w:r w:rsidRPr="0000380A">
        <w:rPr>
          <w:rFonts w:ascii="Times New Roman" w:hAnsi="Times New Roman"/>
          <w:color w:val="000000" w:themeColor="text1"/>
          <w:sz w:val="28"/>
          <w:szCs w:val="28"/>
          <w:lang w:val="uk-UA"/>
        </w:rPr>
        <w:t xml:space="preserve"> у дітей, перешкоджає розвитку кращих діагностичних, профілактичних та ранніх альтернативни</w:t>
      </w:r>
      <w:r>
        <w:rPr>
          <w:rFonts w:ascii="Times New Roman" w:hAnsi="Times New Roman"/>
          <w:color w:val="000000" w:themeColor="text1"/>
          <w:sz w:val="28"/>
          <w:szCs w:val="28"/>
          <w:lang w:val="uk-UA"/>
        </w:rPr>
        <w:t xml:space="preserve">х методів лікування для дітей </w:t>
      </w:r>
      <w:r w:rsidRPr="0000380A">
        <w:rPr>
          <w:rFonts w:ascii="Times New Roman" w:hAnsi="Times New Roman"/>
          <w:color w:val="000000" w:themeColor="text1"/>
          <w:sz w:val="28"/>
          <w:szCs w:val="28"/>
          <w:lang w:val="uk-UA"/>
        </w:rPr>
        <w:t>[</w:t>
      </w:r>
      <w:r w:rsidR="00F81F79">
        <w:rPr>
          <w:rFonts w:ascii="Times New Roman" w:hAnsi="Times New Roman"/>
          <w:color w:val="000000" w:themeColor="text1"/>
          <w:sz w:val="28"/>
          <w:szCs w:val="28"/>
          <w:lang w:val="uk-UA"/>
        </w:rPr>
        <w:t>385</w:t>
      </w:r>
      <w:r w:rsidRPr="0000380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 xml:space="preserve">. </w:t>
      </w:r>
    </w:p>
    <w:p w14:paraId="51DBF130" w14:textId="77777777" w:rsidR="00F006BC" w:rsidRDefault="00F006BC" w:rsidP="00F006BC">
      <w:pPr>
        <w:spacing w:after="0" w:line="360" w:lineRule="auto"/>
        <w:ind w:firstLine="709"/>
        <w:jc w:val="both"/>
        <w:rPr>
          <w:rFonts w:ascii="Times New Roman" w:hAnsi="Times New Roman"/>
          <w:color w:val="000000" w:themeColor="text1"/>
          <w:sz w:val="28"/>
          <w:szCs w:val="28"/>
          <w:lang w:val="uk-UA"/>
        </w:rPr>
      </w:pPr>
      <w:r w:rsidRPr="00F006BC">
        <w:rPr>
          <w:rFonts w:ascii="Times New Roman" w:hAnsi="Times New Roman"/>
          <w:color w:val="000000" w:themeColor="text1"/>
          <w:sz w:val="28"/>
          <w:szCs w:val="28"/>
          <w:lang w:val="uk-UA"/>
        </w:rPr>
        <w:t xml:space="preserve">Одним з цікавих аспектів </w:t>
      </w:r>
      <w:r>
        <w:rPr>
          <w:rFonts w:ascii="Times New Roman" w:hAnsi="Times New Roman"/>
          <w:color w:val="000000" w:themeColor="text1"/>
          <w:sz w:val="28"/>
          <w:szCs w:val="28"/>
          <w:lang w:val="uk-UA"/>
        </w:rPr>
        <w:t>патогенезу гінгівіту</w:t>
      </w:r>
      <w:r w:rsidRPr="00F006BC">
        <w:rPr>
          <w:rFonts w:ascii="Times New Roman" w:hAnsi="Times New Roman"/>
          <w:color w:val="000000" w:themeColor="text1"/>
          <w:sz w:val="28"/>
          <w:szCs w:val="28"/>
          <w:lang w:val="uk-UA"/>
        </w:rPr>
        <w:t xml:space="preserve"> у дітей є те, що тяжкість клінічної відповіді на подібні </w:t>
      </w:r>
      <w:r>
        <w:rPr>
          <w:rFonts w:ascii="Times New Roman" w:hAnsi="Times New Roman"/>
          <w:color w:val="000000" w:themeColor="text1"/>
          <w:sz w:val="28"/>
          <w:szCs w:val="28"/>
          <w:lang w:val="uk-UA"/>
        </w:rPr>
        <w:t>тригерні факто</w:t>
      </w:r>
      <w:r w:rsidRPr="00F006BC">
        <w:rPr>
          <w:rFonts w:ascii="Times New Roman" w:hAnsi="Times New Roman"/>
          <w:color w:val="000000" w:themeColor="text1"/>
          <w:sz w:val="28"/>
          <w:szCs w:val="28"/>
          <w:lang w:val="uk-UA"/>
        </w:rPr>
        <w:t>ри, такі як бактеріальний наліт</w:t>
      </w:r>
      <w:r>
        <w:rPr>
          <w:rFonts w:ascii="Times New Roman" w:hAnsi="Times New Roman"/>
          <w:color w:val="000000" w:themeColor="text1"/>
          <w:sz w:val="28"/>
          <w:szCs w:val="28"/>
          <w:lang w:val="uk-UA"/>
        </w:rPr>
        <w:t>,</w:t>
      </w:r>
      <w:r w:rsidRPr="00F006B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менше</w:t>
      </w:r>
      <w:r w:rsidRPr="00F006BC">
        <w:rPr>
          <w:rFonts w:ascii="Times New Roman" w:hAnsi="Times New Roman"/>
          <w:color w:val="000000" w:themeColor="text1"/>
          <w:sz w:val="28"/>
          <w:szCs w:val="28"/>
          <w:lang w:val="uk-UA"/>
        </w:rPr>
        <w:t>, ніж у дорослих. Це може бути пов'язано з пове</w:t>
      </w:r>
      <w:r>
        <w:rPr>
          <w:rFonts w:ascii="Times New Roman" w:hAnsi="Times New Roman"/>
          <w:color w:val="000000" w:themeColor="text1"/>
          <w:sz w:val="28"/>
          <w:szCs w:val="28"/>
          <w:lang w:val="uk-UA"/>
        </w:rPr>
        <w:t>дінкою імунної відповіді організму</w:t>
      </w:r>
      <w:r w:rsidRPr="00F006B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яку вінрозвиває на дію антигену. Таким чином, </w:t>
      </w:r>
      <w:r w:rsidRPr="00F006BC">
        <w:rPr>
          <w:rFonts w:ascii="Times New Roman" w:hAnsi="Times New Roman"/>
          <w:color w:val="000000" w:themeColor="text1"/>
          <w:sz w:val="28"/>
          <w:szCs w:val="28"/>
          <w:lang w:val="uk-UA"/>
        </w:rPr>
        <w:t xml:space="preserve">дослідження для встановлення зв'язку між рівнем антитіл </w:t>
      </w:r>
      <w:r>
        <w:rPr>
          <w:rFonts w:ascii="Times New Roman" w:hAnsi="Times New Roman"/>
          <w:color w:val="000000" w:themeColor="text1"/>
          <w:sz w:val="28"/>
          <w:szCs w:val="28"/>
          <w:lang w:val="uk-UA"/>
        </w:rPr>
        <w:t>ротової рідини</w:t>
      </w:r>
      <w:r w:rsidRPr="00F006BC">
        <w:rPr>
          <w:rFonts w:ascii="Times New Roman" w:hAnsi="Times New Roman"/>
          <w:color w:val="000000" w:themeColor="text1"/>
          <w:sz w:val="28"/>
          <w:szCs w:val="28"/>
          <w:lang w:val="uk-UA"/>
        </w:rPr>
        <w:t xml:space="preserve"> IgA, IgM та IgG у суб'єктів, що стражда</w:t>
      </w:r>
      <w:r>
        <w:rPr>
          <w:rFonts w:ascii="Times New Roman" w:hAnsi="Times New Roman"/>
          <w:color w:val="000000" w:themeColor="text1"/>
          <w:sz w:val="28"/>
          <w:szCs w:val="28"/>
          <w:lang w:val="uk-UA"/>
        </w:rPr>
        <w:t>ють на гінгівіт, є надзвичайно важливими.</w:t>
      </w:r>
    </w:p>
    <w:p w14:paraId="0489BD25" w14:textId="76E9CDD7" w:rsidR="0087146D" w:rsidRPr="00784434" w:rsidRDefault="00F006BC" w:rsidP="00D92D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іншими дослідженнями в</w:t>
      </w:r>
      <w:r w:rsidR="007D7D22" w:rsidRPr="007D7D22">
        <w:rPr>
          <w:rFonts w:ascii="Times New Roman" w:hAnsi="Times New Roman" w:cs="Times New Roman"/>
          <w:sz w:val="28"/>
          <w:szCs w:val="28"/>
          <w:lang w:val="uk-UA"/>
        </w:rPr>
        <w:t xml:space="preserve">становлено, що у </w:t>
      </w:r>
      <w:r>
        <w:rPr>
          <w:rFonts w:ascii="Times New Roman" w:hAnsi="Times New Roman" w:cs="Times New Roman"/>
          <w:sz w:val="28"/>
          <w:szCs w:val="28"/>
          <w:lang w:val="uk-UA"/>
        </w:rPr>
        <w:t>пацієнтів з бронхіальною астмою</w:t>
      </w:r>
      <w:r w:rsidR="007D7D22" w:rsidRPr="007D7D22">
        <w:rPr>
          <w:rFonts w:ascii="Times New Roman" w:hAnsi="Times New Roman" w:cs="Times New Roman"/>
          <w:sz w:val="28"/>
          <w:szCs w:val="28"/>
          <w:lang w:val="uk-UA"/>
        </w:rPr>
        <w:t xml:space="preserve"> зростає вміст IgM i G у сироватці крові, що свідчить про підвищену функцію В-системи лімфоцитів, ітенсивність антитілоутворення, важливу роль гуморальних механізмів імунітету в генезі різних форм астми. Підвищений рівень IgM i G відображає їх роль в боротьбі з мікробами як антитіл, які несуть основне навантаження</w:t>
      </w:r>
      <w:r>
        <w:rPr>
          <w:rFonts w:ascii="Times New Roman" w:hAnsi="Times New Roman" w:cs="Times New Roman"/>
          <w:sz w:val="28"/>
          <w:szCs w:val="28"/>
          <w:lang w:val="uk-UA"/>
        </w:rPr>
        <w:t xml:space="preserve"> </w:t>
      </w:r>
      <w:r w:rsidRPr="00F006BC">
        <w:rPr>
          <w:rFonts w:ascii="Times New Roman" w:hAnsi="Times New Roman" w:cs="Times New Roman"/>
          <w:sz w:val="28"/>
          <w:szCs w:val="28"/>
          <w:lang w:val="uk-UA"/>
        </w:rPr>
        <w:t>[</w:t>
      </w:r>
      <w:r w:rsidR="00F81F79">
        <w:rPr>
          <w:rFonts w:ascii="Times New Roman" w:hAnsi="Times New Roman" w:cs="Times New Roman"/>
          <w:sz w:val="28"/>
          <w:szCs w:val="28"/>
          <w:lang w:val="uk-UA"/>
        </w:rPr>
        <w:t>386</w:t>
      </w:r>
      <w:r w:rsidRPr="00F006BC">
        <w:rPr>
          <w:rFonts w:ascii="Times New Roman" w:hAnsi="Times New Roman" w:cs="Times New Roman"/>
          <w:sz w:val="28"/>
          <w:szCs w:val="28"/>
          <w:lang w:val="uk-UA"/>
        </w:rPr>
        <w:t>]</w:t>
      </w:r>
      <w:r w:rsidR="007D7D22" w:rsidRPr="007D7D22">
        <w:rPr>
          <w:rFonts w:ascii="Times New Roman" w:hAnsi="Times New Roman" w:cs="Times New Roman"/>
          <w:sz w:val="28"/>
          <w:szCs w:val="28"/>
          <w:lang w:val="uk-UA"/>
        </w:rPr>
        <w:t>.</w:t>
      </w:r>
      <w:r>
        <w:rPr>
          <w:rFonts w:ascii="Times New Roman" w:hAnsi="Times New Roman"/>
          <w:color w:val="000000" w:themeColor="text1"/>
          <w:sz w:val="28"/>
          <w:szCs w:val="28"/>
          <w:lang w:val="uk-UA"/>
        </w:rPr>
        <w:t xml:space="preserve"> Також доведено, що с</w:t>
      </w:r>
      <w:r w:rsidR="007D7D22" w:rsidRPr="007D7D22">
        <w:rPr>
          <w:rFonts w:ascii="Times New Roman" w:hAnsi="Times New Roman" w:cs="Times New Roman"/>
          <w:sz w:val="28"/>
          <w:szCs w:val="28"/>
          <w:lang w:val="uk-UA"/>
        </w:rPr>
        <w:t xml:space="preserve">тан місцевого імунітету у хворих на </w:t>
      </w:r>
      <w:r>
        <w:rPr>
          <w:rFonts w:ascii="Times New Roman" w:hAnsi="Times New Roman" w:cs="Times New Roman"/>
          <w:sz w:val="28"/>
          <w:szCs w:val="28"/>
          <w:lang w:val="uk-UA"/>
        </w:rPr>
        <w:t>бронхіальну астму</w:t>
      </w:r>
      <w:r w:rsidR="007D7D22" w:rsidRPr="007D7D22">
        <w:rPr>
          <w:rFonts w:ascii="Times New Roman" w:hAnsi="Times New Roman" w:cs="Times New Roman"/>
          <w:sz w:val="28"/>
          <w:szCs w:val="28"/>
          <w:lang w:val="uk-UA"/>
        </w:rPr>
        <w:t xml:space="preserve"> має суттєве значення для оцінки патогенетичних механізмів розвитку захворювання, стану імунологічної реактивності організму.</w:t>
      </w:r>
    </w:p>
    <w:p w14:paraId="5C545AA0" w14:textId="7E8CA18F" w:rsidR="00F006BC" w:rsidRDefault="00784434" w:rsidP="00925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теорії розвитку гінгівіту враховують роль імунної недостатності</w:t>
      </w:r>
      <w:r w:rsidR="00070706">
        <w:rPr>
          <w:rFonts w:ascii="Times New Roman" w:hAnsi="Times New Roman" w:cs="Times New Roman"/>
          <w:sz w:val="28"/>
          <w:szCs w:val="28"/>
          <w:lang w:val="uk-UA"/>
        </w:rPr>
        <w:t>, що проявляється у тому числі зниженням рівнів імуноглобулінів у ротовій рідині,</w:t>
      </w:r>
      <w:r>
        <w:rPr>
          <w:rFonts w:ascii="Times New Roman" w:hAnsi="Times New Roman" w:cs="Times New Roman"/>
          <w:sz w:val="28"/>
          <w:szCs w:val="28"/>
          <w:lang w:val="uk-UA"/>
        </w:rPr>
        <w:t xml:space="preserve"> у етіології та патогенезі даного захворювання. </w:t>
      </w:r>
      <w:r w:rsidR="00070706">
        <w:rPr>
          <w:rFonts w:ascii="Times New Roman" w:hAnsi="Times New Roman" w:cs="Times New Roman"/>
          <w:sz w:val="28"/>
          <w:szCs w:val="28"/>
          <w:lang w:val="uk-UA"/>
        </w:rPr>
        <w:t>На думку авторів, я</w:t>
      </w:r>
      <w:r w:rsidRPr="00784434">
        <w:rPr>
          <w:rFonts w:ascii="Times New Roman" w:hAnsi="Times New Roman" w:cs="Times New Roman"/>
          <w:sz w:val="28"/>
          <w:szCs w:val="28"/>
          <w:lang w:val="uk-UA"/>
        </w:rPr>
        <w:t>кщо зниження аналізується як причина захворювання, менша кількість антитіл може схилити суб'єкта до розвитку гінгівіту, оскільки він має меншу здатність до захисту від мікроорганіз</w:t>
      </w:r>
      <w:r w:rsidR="00070706">
        <w:rPr>
          <w:rFonts w:ascii="Times New Roman" w:hAnsi="Times New Roman" w:cs="Times New Roman"/>
          <w:sz w:val="28"/>
          <w:szCs w:val="28"/>
          <w:lang w:val="uk-UA"/>
        </w:rPr>
        <w:t>мів, що колонізують пародонт; це призводить</w:t>
      </w:r>
      <w:r w:rsidRPr="00784434">
        <w:rPr>
          <w:rFonts w:ascii="Times New Roman" w:hAnsi="Times New Roman" w:cs="Times New Roman"/>
          <w:sz w:val="28"/>
          <w:szCs w:val="28"/>
          <w:lang w:val="uk-UA"/>
        </w:rPr>
        <w:t xml:space="preserve"> до того, що гінгівіт розгл</w:t>
      </w:r>
      <w:r w:rsidR="00070706">
        <w:rPr>
          <w:rFonts w:ascii="Times New Roman" w:hAnsi="Times New Roman" w:cs="Times New Roman"/>
          <w:sz w:val="28"/>
          <w:szCs w:val="28"/>
          <w:lang w:val="uk-UA"/>
        </w:rPr>
        <w:t xml:space="preserve">ядається як прояв імунодефіциту </w:t>
      </w:r>
      <w:r w:rsidR="00070706" w:rsidRPr="006E6F97">
        <w:rPr>
          <w:rFonts w:ascii="Times New Roman" w:hAnsi="Times New Roman" w:cs="Times New Roman"/>
          <w:sz w:val="28"/>
          <w:szCs w:val="28"/>
          <w:lang w:val="uk-UA"/>
        </w:rPr>
        <w:t>[</w:t>
      </w:r>
      <w:r w:rsidR="00F81F79">
        <w:rPr>
          <w:rFonts w:ascii="Times New Roman" w:hAnsi="Times New Roman" w:cs="Times New Roman"/>
          <w:sz w:val="28"/>
          <w:szCs w:val="28"/>
          <w:lang w:val="uk-UA"/>
        </w:rPr>
        <w:t>387</w:t>
      </w:r>
      <w:r w:rsidR="00070706" w:rsidRPr="006E6F97">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 xml:space="preserve">Дослідження, що </w:t>
      </w:r>
      <w:r w:rsidR="00070706">
        <w:rPr>
          <w:rFonts w:ascii="Times New Roman" w:hAnsi="Times New Roman" w:cs="Times New Roman"/>
          <w:sz w:val="28"/>
          <w:szCs w:val="28"/>
          <w:lang w:val="uk-UA"/>
        </w:rPr>
        <w:t>вивчають</w:t>
      </w:r>
      <w:r w:rsidR="00070706" w:rsidRPr="00070706">
        <w:rPr>
          <w:rFonts w:ascii="Times New Roman" w:hAnsi="Times New Roman" w:cs="Times New Roman"/>
          <w:sz w:val="28"/>
          <w:szCs w:val="28"/>
          <w:lang w:val="uk-UA"/>
        </w:rPr>
        <w:t xml:space="preserve"> з</w:t>
      </w:r>
      <w:r w:rsidR="00070706">
        <w:rPr>
          <w:rFonts w:ascii="Times New Roman" w:hAnsi="Times New Roman" w:cs="Times New Roman"/>
          <w:sz w:val="28"/>
          <w:szCs w:val="28"/>
          <w:lang w:val="uk-UA"/>
        </w:rPr>
        <w:t>в'язок між захворюваннями пародонту</w:t>
      </w:r>
      <w:r w:rsidR="00070706" w:rsidRPr="00070706">
        <w:rPr>
          <w:rFonts w:ascii="Times New Roman" w:hAnsi="Times New Roman" w:cs="Times New Roman"/>
          <w:sz w:val="28"/>
          <w:szCs w:val="28"/>
          <w:lang w:val="uk-UA"/>
        </w:rPr>
        <w:t>, віком та типами антитіл IgG та IgM, були проведені на сироватці крові та проти специфічних мікроорганізмів.</w:t>
      </w:r>
      <w:r w:rsidR="00070706">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 xml:space="preserve">Результати були спірними. Деякі автори вважають, що рівень антитіл проти мікроорганізмів, залучених до захворювання пародонту, збільшується поступово від дитинства до повноліття та </w:t>
      </w:r>
      <w:r w:rsidR="00070706">
        <w:rPr>
          <w:rFonts w:ascii="Times New Roman" w:hAnsi="Times New Roman" w:cs="Times New Roman"/>
          <w:sz w:val="28"/>
          <w:szCs w:val="28"/>
          <w:lang w:val="uk-UA"/>
        </w:rPr>
        <w:t xml:space="preserve">корелює </w:t>
      </w:r>
      <w:r w:rsidR="00070706" w:rsidRPr="00070706">
        <w:rPr>
          <w:rFonts w:ascii="Times New Roman" w:hAnsi="Times New Roman" w:cs="Times New Roman"/>
          <w:sz w:val="28"/>
          <w:szCs w:val="28"/>
          <w:lang w:val="uk-UA"/>
        </w:rPr>
        <w:t>з важкістю захворювання, в той час як інші вважають, що вік має більший вплив, ніж тяжкість захворювання на рівні антитіл , головним чином для IgM</w:t>
      </w:r>
      <w:r w:rsidR="00070706">
        <w:rPr>
          <w:rFonts w:ascii="Times New Roman" w:hAnsi="Times New Roman" w:cs="Times New Roman"/>
          <w:sz w:val="28"/>
          <w:szCs w:val="28"/>
          <w:lang w:val="uk-UA"/>
        </w:rPr>
        <w:t xml:space="preserve"> </w:t>
      </w:r>
      <w:r w:rsidR="00070706" w:rsidRPr="00070706">
        <w:rPr>
          <w:rFonts w:ascii="Times New Roman" w:hAnsi="Times New Roman" w:cs="Times New Roman"/>
          <w:sz w:val="28"/>
          <w:szCs w:val="28"/>
          <w:lang w:val="uk-UA"/>
        </w:rPr>
        <w:t>[</w:t>
      </w:r>
      <w:r w:rsidR="00F81F79">
        <w:rPr>
          <w:rFonts w:ascii="Times New Roman" w:hAnsi="Times New Roman" w:cs="Times New Roman"/>
          <w:sz w:val="28"/>
          <w:szCs w:val="28"/>
          <w:lang w:val="uk-UA"/>
        </w:rPr>
        <w:t>388, 389</w:t>
      </w:r>
      <w:r w:rsidR="00070706" w:rsidRPr="00070706">
        <w:rPr>
          <w:rFonts w:ascii="Times New Roman" w:hAnsi="Times New Roman" w:cs="Times New Roman"/>
          <w:sz w:val="28"/>
          <w:szCs w:val="28"/>
          <w:lang w:val="uk-UA"/>
        </w:rPr>
        <w:t>]</w:t>
      </w:r>
      <w:r w:rsidR="00070706">
        <w:rPr>
          <w:rFonts w:ascii="Times New Roman" w:hAnsi="Times New Roman" w:cs="Times New Roman"/>
          <w:sz w:val="28"/>
          <w:szCs w:val="28"/>
          <w:lang w:val="uk-UA"/>
        </w:rPr>
        <w:t xml:space="preserve">. </w:t>
      </w:r>
      <w:r w:rsidR="00080D6F">
        <w:rPr>
          <w:rFonts w:ascii="Times New Roman" w:hAnsi="Times New Roman" w:cs="Times New Roman"/>
          <w:sz w:val="28"/>
          <w:szCs w:val="28"/>
          <w:lang w:val="uk-UA"/>
        </w:rPr>
        <w:t>Значення прямого</w:t>
      </w:r>
      <w:r w:rsidR="00080D6F" w:rsidRPr="00080D6F">
        <w:rPr>
          <w:rFonts w:ascii="Times New Roman" w:hAnsi="Times New Roman" w:cs="Times New Roman"/>
          <w:sz w:val="28"/>
          <w:szCs w:val="28"/>
          <w:lang w:val="uk-UA"/>
        </w:rPr>
        <w:t xml:space="preserve"> взаємозв'язку між рівнем IgM та </w:t>
      </w:r>
      <w:r w:rsidR="00080D6F">
        <w:rPr>
          <w:rFonts w:ascii="Times New Roman" w:hAnsi="Times New Roman" w:cs="Times New Roman"/>
          <w:sz w:val="28"/>
          <w:szCs w:val="28"/>
          <w:lang w:val="uk-UA"/>
        </w:rPr>
        <w:t>станом</w:t>
      </w:r>
      <w:r w:rsidR="00080D6F" w:rsidRPr="00080D6F">
        <w:rPr>
          <w:rFonts w:ascii="Times New Roman" w:hAnsi="Times New Roman" w:cs="Times New Roman"/>
          <w:sz w:val="28"/>
          <w:szCs w:val="28"/>
          <w:lang w:val="uk-UA"/>
        </w:rPr>
        <w:t xml:space="preserve"> ясен незрозуміле; це може бути інтерпретовано як реакція на активацію виробництва IgM в результаті антигенного виклику, що веде до запалення тканин, або що збільшення ексудату в результаті запалення породжує більше IgM у слині. Враховуючи, що захворювання </w:t>
      </w:r>
      <w:r w:rsidR="00080D6F">
        <w:rPr>
          <w:rFonts w:ascii="Times New Roman" w:hAnsi="Times New Roman" w:cs="Times New Roman"/>
          <w:sz w:val="28"/>
          <w:szCs w:val="28"/>
          <w:lang w:val="uk-UA"/>
        </w:rPr>
        <w:t>ясен у дітей проявляється як гостре, транзиторне</w:t>
      </w:r>
      <w:r w:rsidR="00080D6F" w:rsidRPr="00080D6F">
        <w:rPr>
          <w:rFonts w:ascii="Times New Roman" w:hAnsi="Times New Roman" w:cs="Times New Roman"/>
          <w:sz w:val="28"/>
          <w:szCs w:val="28"/>
          <w:lang w:val="uk-UA"/>
        </w:rPr>
        <w:t xml:space="preserve"> явище, рівні IgM можуть бути вищими через їх роль у первинній відповіді.</w:t>
      </w:r>
    </w:p>
    <w:p w14:paraId="20818B81" w14:textId="445BAB0A" w:rsidR="00080D6F" w:rsidRDefault="00080D6F" w:rsidP="00925E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підсумовуючи отримані нами дані щодо імунного статусу дітей з атопією та дані інших дослідників, безсумнівним є факт порушення імунної ланки функціонування організму даної категорії дітей. У зв</w:t>
      </w:r>
      <w:r w:rsidRPr="00080D6F">
        <w:rPr>
          <w:rFonts w:ascii="Times New Roman" w:hAnsi="Times New Roman" w:cs="Times New Roman"/>
          <w:sz w:val="28"/>
          <w:szCs w:val="28"/>
          <w:lang w:val="uk-UA"/>
        </w:rPr>
        <w:t>’</w:t>
      </w:r>
      <w:r>
        <w:rPr>
          <w:rFonts w:ascii="Times New Roman" w:hAnsi="Times New Roman" w:cs="Times New Roman"/>
          <w:sz w:val="28"/>
          <w:szCs w:val="28"/>
          <w:lang w:val="uk-UA"/>
        </w:rPr>
        <w:t>язку з цим включення компоненту імунокорекції до програми лікування та профілактики гінгівіту у дітей з атопічними захворюваннями є патогенетично обгрунтованим. Концептуально нова програма лікування гінгівіту згідно з отриманими нами даними у ході дослідження є ефективною, а профілактика захворювань пародонту, яка заснована на використанні рівнів імуноглобулінів як біомаркерів запалення, є адекватною.</w:t>
      </w:r>
    </w:p>
    <w:p w14:paraId="572376F5" w14:textId="35E195EA" w:rsidR="006B0EDE" w:rsidRDefault="006B0EDE" w:rsidP="006B0E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об</w:t>
      </w:r>
      <w:r w:rsidRPr="006B0EDE">
        <w:rPr>
          <w:rFonts w:ascii="Times New Roman" w:hAnsi="Times New Roman" w:cs="Times New Roman"/>
          <w:sz w:val="28"/>
          <w:szCs w:val="28"/>
          <w:lang w:val="uk-UA"/>
        </w:rPr>
        <w:t>’</w:t>
      </w:r>
      <w:r>
        <w:rPr>
          <w:rFonts w:ascii="Times New Roman" w:hAnsi="Times New Roman" w:cs="Times New Roman"/>
          <w:sz w:val="28"/>
          <w:szCs w:val="28"/>
          <w:lang w:val="uk-UA"/>
        </w:rPr>
        <w:t>єм функціональних та морфологічних змін, які притаманні хронічним атопічним захворюванням, закономірним є порушення прооксидантно-антиоксидантної рівноваги у організмі дітей. О</w:t>
      </w:r>
      <w:r w:rsidRPr="006B0EDE">
        <w:rPr>
          <w:rFonts w:ascii="Times New Roman" w:hAnsi="Times New Roman" w:cs="Times New Roman"/>
          <w:sz w:val="28"/>
          <w:szCs w:val="28"/>
          <w:lang w:val="uk-UA"/>
        </w:rPr>
        <w:t>рганізм</w:t>
      </w:r>
      <w:r>
        <w:rPr>
          <w:rFonts w:ascii="Times New Roman" w:hAnsi="Times New Roman" w:cs="Times New Roman"/>
          <w:sz w:val="28"/>
          <w:szCs w:val="28"/>
          <w:lang w:val="uk-UA"/>
        </w:rPr>
        <w:t xml:space="preserve"> людини</w:t>
      </w:r>
      <w:r w:rsidRPr="006B0EDE">
        <w:rPr>
          <w:rFonts w:ascii="Times New Roman" w:hAnsi="Times New Roman" w:cs="Times New Roman"/>
          <w:sz w:val="28"/>
          <w:szCs w:val="28"/>
          <w:lang w:val="uk-UA"/>
        </w:rPr>
        <w:t xml:space="preserve"> має цілий ряд антиоксидантних м</w:t>
      </w:r>
      <w:r>
        <w:rPr>
          <w:rFonts w:ascii="Times New Roman" w:hAnsi="Times New Roman" w:cs="Times New Roman"/>
          <w:sz w:val="28"/>
          <w:szCs w:val="28"/>
          <w:lang w:val="uk-UA"/>
        </w:rPr>
        <w:t>еханізмів захисту (неферментативні</w:t>
      </w:r>
      <w:r w:rsidRPr="006B0EDE">
        <w:rPr>
          <w:rFonts w:ascii="Times New Roman" w:hAnsi="Times New Roman" w:cs="Times New Roman"/>
          <w:sz w:val="28"/>
          <w:szCs w:val="28"/>
          <w:lang w:val="uk-UA"/>
        </w:rPr>
        <w:t xml:space="preserve"> та ферментативні антиоксиданти) для виведення активних форм кисню та запобігання їх шкідливим наслідкам для організму [</w:t>
      </w:r>
      <w:r w:rsidR="00F81F79">
        <w:rPr>
          <w:rFonts w:ascii="Times New Roman" w:hAnsi="Times New Roman" w:cs="Times New Roman"/>
          <w:sz w:val="28"/>
          <w:szCs w:val="28"/>
          <w:lang w:val="uk-UA"/>
        </w:rPr>
        <w:t>390</w:t>
      </w:r>
      <w:r w:rsidR="00F81F79" w:rsidRPr="00F81F79">
        <w:rPr>
          <w:rFonts w:ascii="Times New Roman" w:hAnsi="Times New Roman" w:cs="Times New Roman"/>
          <w:sz w:val="28"/>
          <w:szCs w:val="28"/>
          <w:lang w:val="uk-UA"/>
        </w:rPr>
        <w:t>, 391</w:t>
      </w:r>
      <w:r w:rsidRPr="006B0EDE">
        <w:rPr>
          <w:rFonts w:ascii="Times New Roman" w:hAnsi="Times New Roman" w:cs="Times New Roman"/>
          <w:sz w:val="28"/>
          <w:szCs w:val="28"/>
          <w:lang w:val="uk-UA"/>
        </w:rPr>
        <w:t>]. Антиоксидантні ферменти захищають тканини від окислювального ушкодження шляхом вилучення вільних кисневих радикалів, що утворюються при різних метаболічних процесах, модулюючи ступінь запальної реакції. Молекули антиоксидантів присутні у всіх рідинах і тканинах організму. Найважливішими внутрішньоклітинними ферментами, які захищають клітини та тканини від вільних радикалів, одержаних кис</w:t>
      </w:r>
      <w:r w:rsidR="00D7382D">
        <w:rPr>
          <w:rFonts w:ascii="Times New Roman" w:hAnsi="Times New Roman" w:cs="Times New Roman"/>
          <w:sz w:val="28"/>
          <w:szCs w:val="28"/>
          <w:lang w:val="uk-UA"/>
        </w:rPr>
        <w:t>нем, є супероксиддисмутаза</w:t>
      </w:r>
      <w:r w:rsidRPr="006B0EDE">
        <w:rPr>
          <w:rFonts w:ascii="Times New Roman" w:hAnsi="Times New Roman" w:cs="Times New Roman"/>
          <w:sz w:val="28"/>
          <w:szCs w:val="28"/>
          <w:lang w:val="uk-UA"/>
        </w:rPr>
        <w:t>, яка швидко викликає дисмутацію супероксидного аніона до пероксиду в</w:t>
      </w:r>
      <w:r w:rsidR="00D7382D">
        <w:rPr>
          <w:rFonts w:ascii="Times New Roman" w:hAnsi="Times New Roman" w:cs="Times New Roman"/>
          <w:sz w:val="28"/>
          <w:szCs w:val="28"/>
          <w:lang w:val="uk-UA"/>
        </w:rPr>
        <w:t>одню, глутатіонпероксидаза</w:t>
      </w:r>
      <w:r w:rsidRPr="006B0EDE">
        <w:rPr>
          <w:rFonts w:ascii="Times New Roman" w:hAnsi="Times New Roman" w:cs="Times New Roman"/>
          <w:sz w:val="28"/>
          <w:szCs w:val="28"/>
          <w:lang w:val="uk-UA"/>
        </w:rPr>
        <w:t>, що зменшує перекис водню (попередник більш потужних радикальних видів) та / або перекису водню ліпідів шляхом окислення пониженого глутатіону або S-нітрозоглутатіона та</w:t>
      </w:r>
      <w:r w:rsidR="00D7382D">
        <w:rPr>
          <w:rFonts w:ascii="Times New Roman" w:hAnsi="Times New Roman" w:cs="Times New Roman"/>
          <w:sz w:val="28"/>
          <w:szCs w:val="28"/>
          <w:lang w:val="uk-UA"/>
        </w:rPr>
        <w:t xml:space="preserve"> каталаза</w:t>
      </w:r>
      <w:r w:rsidRPr="006B0EDE">
        <w:rPr>
          <w:rFonts w:ascii="Times New Roman" w:hAnsi="Times New Roman" w:cs="Times New Roman"/>
          <w:sz w:val="28"/>
          <w:szCs w:val="28"/>
          <w:lang w:val="uk-UA"/>
        </w:rPr>
        <w:t>, яка розщеплює перекис водню, перетв</w:t>
      </w:r>
      <w:r w:rsidR="00D7382D">
        <w:rPr>
          <w:rFonts w:ascii="Times New Roman" w:hAnsi="Times New Roman" w:cs="Times New Roman"/>
          <w:sz w:val="28"/>
          <w:szCs w:val="28"/>
          <w:lang w:val="uk-UA"/>
        </w:rPr>
        <w:t>орюючи його в кисень та воду</w:t>
      </w:r>
      <w:r w:rsidRPr="006B0EDE">
        <w:rPr>
          <w:rFonts w:ascii="Times New Roman" w:hAnsi="Times New Roman" w:cs="Times New Roman"/>
          <w:sz w:val="28"/>
          <w:szCs w:val="28"/>
          <w:lang w:val="uk-UA"/>
        </w:rPr>
        <w:t>.</w:t>
      </w:r>
    </w:p>
    <w:p w14:paraId="6EF32A80" w14:textId="79B044BE" w:rsidR="00D7382D" w:rsidRPr="00C76E6E" w:rsidRDefault="00C76E6E" w:rsidP="00C76E6E">
      <w:pPr>
        <w:spacing w:after="0" w:line="360" w:lineRule="auto"/>
        <w:ind w:firstLine="709"/>
        <w:jc w:val="both"/>
        <w:rPr>
          <w:rFonts w:ascii="Times New Roman" w:hAnsi="Times New Roman" w:cs="Times New Roman"/>
          <w:sz w:val="28"/>
          <w:szCs w:val="28"/>
          <w:lang w:val="uk-UA"/>
        </w:rPr>
      </w:pPr>
      <w:r w:rsidRPr="00C76E6E">
        <w:rPr>
          <w:rFonts w:ascii="Times New Roman" w:hAnsi="Times New Roman" w:cs="Times New Roman"/>
          <w:sz w:val="28"/>
          <w:szCs w:val="28"/>
          <w:lang w:val="uk-UA"/>
        </w:rPr>
        <w:t>Дефіцит або зменшення потужності антиоксидантів підвищують схильність до о</w:t>
      </w:r>
      <w:r>
        <w:rPr>
          <w:rFonts w:ascii="Times New Roman" w:hAnsi="Times New Roman" w:cs="Times New Roman"/>
          <w:sz w:val="28"/>
          <w:szCs w:val="28"/>
          <w:lang w:val="uk-UA"/>
        </w:rPr>
        <w:t>кисного стресу,</w:t>
      </w:r>
      <w:r w:rsidRPr="00C76E6E">
        <w:rPr>
          <w:rFonts w:ascii="Times New Roman" w:hAnsi="Times New Roman" w:cs="Times New Roman"/>
          <w:sz w:val="28"/>
          <w:szCs w:val="28"/>
          <w:lang w:val="uk-UA"/>
        </w:rPr>
        <w:t xml:space="preserve"> в результаті патоген</w:t>
      </w:r>
      <w:r>
        <w:rPr>
          <w:rFonts w:ascii="Times New Roman" w:hAnsi="Times New Roman" w:cs="Times New Roman"/>
          <w:sz w:val="28"/>
          <w:szCs w:val="28"/>
          <w:lang w:val="uk-UA"/>
        </w:rPr>
        <w:t>ез різних захворювань спричинений</w:t>
      </w:r>
      <w:r w:rsidRPr="00C76E6E">
        <w:rPr>
          <w:rFonts w:ascii="Times New Roman" w:hAnsi="Times New Roman" w:cs="Times New Roman"/>
          <w:sz w:val="28"/>
          <w:szCs w:val="28"/>
          <w:lang w:val="uk-UA"/>
        </w:rPr>
        <w:t xml:space="preserve"> пошкодженням</w:t>
      </w:r>
      <w:r>
        <w:rPr>
          <w:rFonts w:ascii="Times New Roman" w:hAnsi="Times New Roman" w:cs="Times New Roman"/>
          <w:sz w:val="28"/>
          <w:szCs w:val="28"/>
          <w:lang w:val="uk-UA"/>
        </w:rPr>
        <w:t>и, що розвиваються</w:t>
      </w:r>
      <w:r w:rsidRPr="00C76E6E">
        <w:rPr>
          <w:rFonts w:ascii="Times New Roman" w:hAnsi="Times New Roman" w:cs="Times New Roman"/>
          <w:sz w:val="28"/>
          <w:szCs w:val="28"/>
          <w:lang w:val="uk-UA"/>
        </w:rPr>
        <w:t xml:space="preserve">. У попередніх дослідженнях було повідомлено, що </w:t>
      </w:r>
      <w:r>
        <w:rPr>
          <w:rFonts w:ascii="Times New Roman" w:hAnsi="Times New Roman" w:cs="Times New Roman"/>
          <w:sz w:val="28"/>
          <w:szCs w:val="28"/>
          <w:lang w:val="uk-UA"/>
        </w:rPr>
        <w:t>захворювання пародонту асоціюю</w:t>
      </w:r>
      <w:r w:rsidRPr="00C76E6E">
        <w:rPr>
          <w:rFonts w:ascii="Times New Roman" w:hAnsi="Times New Roman" w:cs="Times New Roman"/>
          <w:sz w:val="28"/>
          <w:szCs w:val="28"/>
          <w:lang w:val="uk-UA"/>
        </w:rPr>
        <w:t>ться з</w:t>
      </w:r>
      <w:r>
        <w:rPr>
          <w:rFonts w:ascii="Times New Roman" w:hAnsi="Times New Roman" w:cs="Times New Roman"/>
          <w:sz w:val="28"/>
          <w:szCs w:val="28"/>
          <w:lang w:val="uk-UA"/>
        </w:rPr>
        <w:t>і</w:t>
      </w:r>
      <w:r w:rsidRPr="00C76E6E">
        <w:rPr>
          <w:rFonts w:ascii="Times New Roman" w:hAnsi="Times New Roman" w:cs="Times New Roman"/>
          <w:sz w:val="28"/>
          <w:szCs w:val="28"/>
          <w:lang w:val="uk-UA"/>
        </w:rPr>
        <w:t xml:space="preserve"> зниженим вмістом антиоксидантів </w:t>
      </w:r>
      <w:r>
        <w:rPr>
          <w:rFonts w:ascii="Times New Roman" w:hAnsi="Times New Roman" w:cs="Times New Roman"/>
          <w:sz w:val="28"/>
          <w:szCs w:val="28"/>
          <w:lang w:val="uk-UA"/>
        </w:rPr>
        <w:t>у ротовій рідині</w:t>
      </w:r>
      <w:r w:rsidRPr="00C76E6E">
        <w:rPr>
          <w:rFonts w:ascii="Times New Roman" w:hAnsi="Times New Roman" w:cs="Times New Roman"/>
          <w:sz w:val="28"/>
          <w:szCs w:val="28"/>
          <w:lang w:val="uk-UA"/>
        </w:rPr>
        <w:t xml:space="preserve"> і підвищеним окисним пошкодженням у ротовій порожнині. Існує все більше доказів того, що окислювальний стрес є важливим чинником патогенезу системних захворювань та захворювань </w:t>
      </w:r>
      <w:r w:rsidRPr="00CF1941">
        <w:rPr>
          <w:rFonts w:ascii="Times New Roman" w:hAnsi="Times New Roman" w:cs="Times New Roman"/>
          <w:sz w:val="28"/>
          <w:szCs w:val="28"/>
          <w:lang w:val="uk-UA"/>
        </w:rPr>
        <w:t>пародонту [</w:t>
      </w:r>
      <w:r w:rsidR="00F81F79">
        <w:rPr>
          <w:rFonts w:ascii="Times New Roman" w:hAnsi="Times New Roman" w:cs="Times New Roman"/>
          <w:sz w:val="28"/>
          <w:szCs w:val="28"/>
          <w:lang w:val="ru-RU"/>
        </w:rPr>
        <w:t>390</w:t>
      </w:r>
      <w:r w:rsidR="00CF1941">
        <w:rPr>
          <w:rFonts w:ascii="Times New Roman" w:hAnsi="Times New Roman" w:cs="Times New Roman"/>
          <w:sz w:val="28"/>
          <w:szCs w:val="28"/>
          <w:lang w:val="ru-RU"/>
        </w:rPr>
        <w:t>,</w:t>
      </w:r>
      <w:r w:rsidR="00F81F79" w:rsidRPr="00F81F79">
        <w:rPr>
          <w:rFonts w:ascii="Times New Roman" w:hAnsi="Times New Roman" w:cs="Times New Roman"/>
          <w:sz w:val="28"/>
          <w:szCs w:val="28"/>
          <w:lang w:val="ru-RU"/>
        </w:rPr>
        <w:t xml:space="preserve"> </w:t>
      </w:r>
      <w:r w:rsidR="00F81F79">
        <w:rPr>
          <w:rFonts w:ascii="Times New Roman" w:hAnsi="Times New Roman" w:cs="Times New Roman"/>
          <w:sz w:val="28"/>
          <w:szCs w:val="28"/>
          <w:lang w:val="ru-RU"/>
        </w:rPr>
        <w:t>391</w:t>
      </w:r>
      <w:r w:rsidRPr="00CF1941">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Ці теорії знаходять підтвердження у наших дослідженнях.</w:t>
      </w:r>
      <w:r>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Окислювальний стрес може призвести до ендо</w:t>
      </w:r>
      <w:r>
        <w:rPr>
          <w:rFonts w:ascii="Times New Roman" w:hAnsi="Times New Roman" w:cs="Times New Roman"/>
          <w:sz w:val="28"/>
          <w:szCs w:val="28"/>
          <w:lang w:val="uk-UA"/>
        </w:rPr>
        <w:t>теліальної дисфункції, що не може не позначитися на тканинах пародонту</w:t>
      </w:r>
      <w:r w:rsidRPr="00C76E6E">
        <w:rPr>
          <w:rFonts w:ascii="Times New Roman" w:hAnsi="Times New Roman" w:cs="Times New Roman"/>
          <w:sz w:val="28"/>
          <w:szCs w:val="28"/>
          <w:lang w:val="uk-UA"/>
        </w:rPr>
        <w:t xml:space="preserve"> [</w:t>
      </w:r>
      <w:r w:rsidR="00F81F79">
        <w:rPr>
          <w:rFonts w:ascii="Times New Roman" w:hAnsi="Times New Roman" w:cs="Times New Roman"/>
          <w:sz w:val="28"/>
          <w:szCs w:val="28"/>
          <w:lang w:val="ru-RU"/>
        </w:rPr>
        <w:t>391</w:t>
      </w:r>
      <w:r w:rsidRPr="00C76E6E">
        <w:rPr>
          <w:rFonts w:ascii="Times New Roman" w:hAnsi="Times New Roman" w:cs="Times New Roman"/>
          <w:color w:val="FF0000"/>
          <w:sz w:val="16"/>
          <w:szCs w:val="16"/>
          <w:lang w:val="uk-UA"/>
        </w:rPr>
        <w:t>.</w:t>
      </w:r>
      <w:r w:rsidRPr="00C76E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76E6E">
        <w:rPr>
          <w:rFonts w:ascii="Times New Roman" w:hAnsi="Times New Roman" w:cs="Times New Roman"/>
          <w:sz w:val="28"/>
          <w:szCs w:val="28"/>
          <w:lang w:val="uk-UA"/>
        </w:rPr>
        <w:t>О</w:t>
      </w:r>
      <w:r>
        <w:rPr>
          <w:rFonts w:ascii="Times New Roman" w:hAnsi="Times New Roman" w:cs="Times New Roman"/>
          <w:sz w:val="28"/>
          <w:szCs w:val="28"/>
          <w:lang w:val="uk-UA"/>
        </w:rPr>
        <w:t>станнім часом досягнення у розумінні</w:t>
      </w:r>
      <w:r w:rsidRPr="00C76E6E">
        <w:rPr>
          <w:rFonts w:ascii="Times New Roman" w:hAnsi="Times New Roman" w:cs="Times New Roman"/>
          <w:sz w:val="28"/>
          <w:szCs w:val="28"/>
          <w:lang w:val="uk-UA"/>
        </w:rPr>
        <w:t xml:space="preserve"> етіології, факторів ризику та прогресування захворювань пародонту призвели до дослідження факторів ризику, таких як </w:t>
      </w:r>
      <w:r>
        <w:rPr>
          <w:rFonts w:ascii="Times New Roman" w:hAnsi="Times New Roman" w:cs="Times New Roman"/>
          <w:sz w:val="28"/>
          <w:szCs w:val="28"/>
          <w:lang w:val="uk-UA"/>
        </w:rPr>
        <w:t>спроможність антиоксидантної системи</w:t>
      </w:r>
      <w:r w:rsidRPr="00C76E6E">
        <w:rPr>
          <w:rFonts w:ascii="Times New Roman" w:hAnsi="Times New Roman" w:cs="Times New Roman"/>
          <w:sz w:val="28"/>
          <w:szCs w:val="28"/>
          <w:lang w:val="uk-UA"/>
        </w:rPr>
        <w:t xml:space="preserve"> [</w:t>
      </w:r>
      <w:r w:rsidR="00F81F79">
        <w:rPr>
          <w:rFonts w:ascii="Times New Roman" w:hAnsi="Times New Roman" w:cs="Times New Roman"/>
          <w:sz w:val="28"/>
          <w:szCs w:val="28"/>
          <w:lang w:val="uk-UA"/>
        </w:rPr>
        <w:t>392</w:t>
      </w:r>
      <w:r w:rsidRPr="00C76E6E">
        <w:rPr>
          <w:rFonts w:ascii="Times New Roman" w:hAnsi="Times New Roman" w:cs="Times New Roman"/>
          <w:sz w:val="28"/>
          <w:szCs w:val="28"/>
          <w:lang w:val="uk-UA"/>
        </w:rPr>
        <w:t>].</w:t>
      </w:r>
    </w:p>
    <w:p w14:paraId="5DA60005" w14:textId="69BE5433" w:rsidR="00080D6F" w:rsidRPr="00F70D20" w:rsidRDefault="006B0EDE" w:rsidP="00925E70">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Одним з показників антиоксидантного захисту, який ми досліджували, був рівень каталази. </w:t>
      </w:r>
      <w:r w:rsidR="00A61806">
        <w:rPr>
          <w:rFonts w:ascii="Times New Roman" w:hAnsi="Times New Roman"/>
          <w:sz w:val="28"/>
          <w:szCs w:val="28"/>
          <w:lang w:val="uk-UA"/>
        </w:rPr>
        <w:t xml:space="preserve">Враховуючи тяжкість та хронічний перебіг супутнього захворювання, цілком закономірним було зниження рівню каталази у ротовій рідині пацієнтів з атопією порівняно з пацієнтами контрольної групи. </w:t>
      </w:r>
      <w:r w:rsidR="00566946">
        <w:rPr>
          <w:rFonts w:ascii="Times New Roman" w:hAnsi="Times New Roman"/>
          <w:sz w:val="28"/>
          <w:szCs w:val="28"/>
          <w:lang w:val="uk-UA"/>
        </w:rPr>
        <w:t xml:space="preserve">Ми встановили рівень каталази, що знаходився у межах від </w:t>
      </w:r>
      <w:r w:rsidR="00566946" w:rsidRPr="00566946">
        <w:rPr>
          <w:rFonts w:ascii="Times New Roman" w:hAnsi="Times New Roman"/>
          <w:sz w:val="28"/>
          <w:szCs w:val="28"/>
          <w:lang w:val="uk-UA"/>
        </w:rPr>
        <w:t>1.86</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0.48</w:t>
      </w:r>
      <w:r w:rsidR="00566946">
        <w:rPr>
          <w:rFonts w:ascii="Times New Roman" w:hAnsi="Times New Roman"/>
          <w:sz w:val="28"/>
          <w:szCs w:val="28"/>
          <w:lang w:val="uk-UA"/>
        </w:rPr>
        <w:t xml:space="preserve"> кат/л у четвертій групі до </w:t>
      </w:r>
      <w:r w:rsidR="00566946" w:rsidRPr="00566946">
        <w:rPr>
          <w:rFonts w:ascii="Times New Roman" w:hAnsi="Times New Roman"/>
          <w:sz w:val="28"/>
          <w:szCs w:val="28"/>
          <w:lang w:val="uk-UA"/>
        </w:rPr>
        <w:t>1.93</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0.54</w:t>
      </w:r>
      <w:r w:rsidR="00566946">
        <w:rPr>
          <w:rFonts w:ascii="Times New Roman" w:hAnsi="Times New Roman"/>
          <w:sz w:val="28"/>
          <w:szCs w:val="28"/>
          <w:lang w:val="uk-UA"/>
        </w:rPr>
        <w:t xml:space="preserve"> кат/л у другій групі, у той час як у контрольній групі рівень каталази дорівнював </w:t>
      </w:r>
      <w:r w:rsidR="00566946" w:rsidRPr="00566946">
        <w:rPr>
          <w:rFonts w:ascii="Times New Roman" w:hAnsi="Times New Roman"/>
          <w:sz w:val="28"/>
          <w:szCs w:val="28"/>
          <w:lang w:val="uk-UA"/>
        </w:rPr>
        <w:t>3.57</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w:t>
      </w:r>
      <w:r w:rsidR="00566946">
        <w:rPr>
          <w:rFonts w:ascii="Times New Roman" w:hAnsi="Times New Roman"/>
          <w:sz w:val="28"/>
          <w:szCs w:val="28"/>
          <w:lang w:val="uk-UA"/>
        </w:rPr>
        <w:t xml:space="preserve"> </w:t>
      </w:r>
      <w:r w:rsidR="00566946" w:rsidRPr="00566946">
        <w:rPr>
          <w:rFonts w:ascii="Times New Roman" w:hAnsi="Times New Roman"/>
          <w:sz w:val="28"/>
          <w:szCs w:val="28"/>
          <w:lang w:val="uk-UA"/>
        </w:rPr>
        <w:t>0.58</w:t>
      </w:r>
      <w:r w:rsidR="00566946">
        <w:rPr>
          <w:rFonts w:ascii="Times New Roman" w:hAnsi="Times New Roman"/>
          <w:sz w:val="28"/>
          <w:szCs w:val="28"/>
          <w:lang w:val="uk-UA"/>
        </w:rPr>
        <w:t xml:space="preserve"> кат/л. Проте після здійснення лікувально-профілактичних заходів, які базувалися на диференційованій корекції антиоксидантного дисбалансу, імунокорекції, показники рівню каталази у першій та другій групі нормалізувалися, їх рівень достовірно не відрізнявся від показників контрольної групи. У той же час традиційна схема лікування та профілактики гінгівіту, на жаль, була неефективною, враховуючи рівень каталази, який достовірно не відрізнявся від початкового. Таким чином, можемо зробити висновок, по-перше, щодо наявності антиоксидантного дисбалансу у дітей з атопією. По-друге, незалежно від вираженості клінічних ознак гінгівіту, у дітей з атопією вже відбуваються зміни у прооксидантно-антиоксидантній рівновазі, що поряд зі змінами імунного статусу, дозволяють констатувати стадію передхвороби у дітей з атопією. По-третє, застосування концептуально нового підходу до профілактики та лікування дозволяють досягти нормалізації показників каталази серед пацієнтів з атопічними захворюваннями.</w:t>
      </w:r>
    </w:p>
    <w:p w14:paraId="2B259673" w14:textId="46CD71DB" w:rsidR="00F006BC" w:rsidRDefault="00F70D20" w:rsidP="00C44FE8">
      <w:pPr>
        <w:spacing w:after="0" w:line="360" w:lineRule="auto"/>
        <w:ind w:firstLine="709"/>
        <w:jc w:val="both"/>
        <w:rPr>
          <w:rFonts w:ascii="Times New Roman" w:hAnsi="Times New Roman" w:cs="Times New Roman"/>
          <w:sz w:val="28"/>
          <w:szCs w:val="28"/>
          <w:lang w:val="uk-UA"/>
        </w:rPr>
      </w:pPr>
      <w:r w:rsidRPr="00F70D20">
        <w:rPr>
          <w:rFonts w:ascii="Times New Roman" w:hAnsi="Times New Roman" w:cs="Times New Roman"/>
          <w:sz w:val="28"/>
          <w:szCs w:val="28"/>
          <w:lang w:val="uk-UA"/>
        </w:rPr>
        <w:t>Антиоксиданти, такі як</w:t>
      </w:r>
      <w:r w:rsidR="00A61806">
        <w:rPr>
          <w:rFonts w:ascii="Times New Roman" w:hAnsi="Times New Roman" w:cs="Times New Roman"/>
          <w:sz w:val="28"/>
          <w:szCs w:val="28"/>
          <w:lang w:val="uk-UA"/>
        </w:rPr>
        <w:t xml:space="preserve"> ферменти</w:t>
      </w:r>
      <w:r>
        <w:rPr>
          <w:rFonts w:ascii="Times New Roman" w:hAnsi="Times New Roman" w:cs="Times New Roman"/>
          <w:sz w:val="28"/>
          <w:szCs w:val="28"/>
          <w:lang w:val="uk-UA"/>
        </w:rPr>
        <w:t xml:space="preserve"> супероксиддисмутаза та</w:t>
      </w:r>
      <w:r w:rsidRPr="00F70D20">
        <w:rPr>
          <w:rFonts w:ascii="Times New Roman" w:hAnsi="Times New Roman" w:cs="Times New Roman"/>
          <w:sz w:val="28"/>
          <w:szCs w:val="28"/>
          <w:lang w:val="uk-UA"/>
        </w:rPr>
        <w:t xml:space="preserve"> </w:t>
      </w:r>
      <w:r>
        <w:rPr>
          <w:rFonts w:ascii="Times New Roman" w:hAnsi="Times New Roman" w:cs="Times New Roman"/>
          <w:sz w:val="28"/>
          <w:szCs w:val="28"/>
          <w:lang w:val="uk-UA"/>
        </w:rPr>
        <w:t>каталаза,</w:t>
      </w:r>
      <w:r w:rsidRPr="00F70D20">
        <w:rPr>
          <w:rFonts w:ascii="Times New Roman" w:hAnsi="Times New Roman" w:cs="Times New Roman"/>
          <w:sz w:val="28"/>
          <w:szCs w:val="28"/>
          <w:lang w:val="uk-UA"/>
        </w:rPr>
        <w:t xml:space="preserve"> мають важливе значе</w:t>
      </w:r>
      <w:r>
        <w:rPr>
          <w:rFonts w:ascii="Times New Roman" w:hAnsi="Times New Roman" w:cs="Times New Roman"/>
          <w:sz w:val="28"/>
          <w:szCs w:val="28"/>
          <w:lang w:val="uk-UA"/>
        </w:rPr>
        <w:t>ння для забезпечення захисту</w:t>
      </w:r>
      <w:r w:rsidRPr="00F70D20">
        <w:rPr>
          <w:rFonts w:ascii="Times New Roman" w:hAnsi="Times New Roman" w:cs="Times New Roman"/>
          <w:sz w:val="28"/>
          <w:szCs w:val="28"/>
          <w:lang w:val="uk-UA"/>
        </w:rPr>
        <w:t xml:space="preserve"> нормальних клітин та матрич</w:t>
      </w:r>
      <w:r w:rsidR="00A61806">
        <w:rPr>
          <w:rFonts w:ascii="Times New Roman" w:hAnsi="Times New Roman" w:cs="Times New Roman"/>
          <w:sz w:val="28"/>
          <w:szCs w:val="28"/>
          <w:lang w:val="uk-UA"/>
        </w:rPr>
        <w:t>них компонентів від окислення, вони відіграють захисну роль</w:t>
      </w:r>
      <w:r w:rsidRPr="00F70D20">
        <w:rPr>
          <w:rFonts w:ascii="Times New Roman" w:hAnsi="Times New Roman" w:cs="Times New Roman"/>
          <w:sz w:val="28"/>
          <w:szCs w:val="28"/>
          <w:lang w:val="uk-UA"/>
        </w:rPr>
        <w:t xml:space="preserve"> в нашому організмі від дії окислювального стресу. Попередні дослідження [</w:t>
      </w:r>
      <w:r w:rsidR="00F81F79">
        <w:rPr>
          <w:rFonts w:ascii="Times New Roman" w:hAnsi="Times New Roman" w:cs="Times New Roman"/>
          <w:sz w:val="28"/>
          <w:szCs w:val="28"/>
          <w:lang w:val="uk-UA"/>
        </w:rPr>
        <w:t>393-394</w:t>
      </w:r>
      <w:r w:rsidR="00A61806">
        <w:rPr>
          <w:rFonts w:ascii="Times New Roman" w:hAnsi="Times New Roman" w:cs="Times New Roman"/>
          <w:sz w:val="28"/>
          <w:szCs w:val="28"/>
          <w:lang w:val="uk-UA"/>
        </w:rPr>
        <w:t xml:space="preserve">] показали, що дисбаланс </w:t>
      </w:r>
      <w:r w:rsidRPr="00F70D20">
        <w:rPr>
          <w:rFonts w:ascii="Times New Roman" w:hAnsi="Times New Roman" w:cs="Times New Roman"/>
          <w:sz w:val="28"/>
          <w:szCs w:val="28"/>
          <w:lang w:val="uk-UA"/>
        </w:rPr>
        <w:t>антиоксидантів робить пацієнтів біль</w:t>
      </w:r>
      <w:r w:rsidR="00A61806">
        <w:rPr>
          <w:rFonts w:ascii="Times New Roman" w:hAnsi="Times New Roman" w:cs="Times New Roman"/>
          <w:sz w:val="28"/>
          <w:szCs w:val="28"/>
          <w:lang w:val="uk-UA"/>
        </w:rPr>
        <w:t>ш сприйнятливими до захворюваннь</w:t>
      </w:r>
      <w:r w:rsidRPr="00F70D20">
        <w:rPr>
          <w:rFonts w:ascii="Times New Roman" w:hAnsi="Times New Roman" w:cs="Times New Roman"/>
          <w:sz w:val="28"/>
          <w:szCs w:val="28"/>
          <w:lang w:val="uk-UA"/>
        </w:rPr>
        <w:t xml:space="preserve"> пародонту, тому що </w:t>
      </w:r>
      <w:r w:rsidR="00A61806">
        <w:rPr>
          <w:rFonts w:ascii="Times New Roman" w:hAnsi="Times New Roman" w:cs="Times New Roman"/>
          <w:sz w:val="28"/>
          <w:szCs w:val="28"/>
          <w:lang w:val="uk-UA"/>
        </w:rPr>
        <w:t>перекис водню та гідроксильні радикали</w:t>
      </w:r>
      <w:r w:rsidRPr="00F70D20">
        <w:rPr>
          <w:rFonts w:ascii="Times New Roman" w:hAnsi="Times New Roman" w:cs="Times New Roman"/>
          <w:sz w:val="28"/>
          <w:szCs w:val="28"/>
          <w:lang w:val="uk-UA"/>
        </w:rPr>
        <w:t xml:space="preserve"> викликають пошкодження клітин, беруть участь у дегенеративних змінах і часто пов'язані з підвищеними пероксидальними процесами і пов'язані з низькою концентрацією антиоксидантів.</w:t>
      </w:r>
    </w:p>
    <w:p w14:paraId="56DB584F" w14:textId="4F394285" w:rsidR="00496A38" w:rsidRPr="00496A38" w:rsidRDefault="00496A38" w:rsidP="00496A38">
      <w:pPr>
        <w:spacing w:after="0" w:line="360" w:lineRule="auto"/>
        <w:ind w:firstLine="709"/>
        <w:jc w:val="both"/>
        <w:rPr>
          <w:rFonts w:ascii="Times New Roman" w:hAnsi="Times New Roman" w:cs="Times New Roman"/>
          <w:sz w:val="28"/>
          <w:szCs w:val="28"/>
          <w:lang w:val="uk-UA"/>
        </w:rPr>
      </w:pPr>
      <w:r w:rsidRPr="00496A38">
        <w:rPr>
          <w:rFonts w:ascii="Times New Roman" w:hAnsi="Times New Roman" w:cs="Times New Roman"/>
          <w:sz w:val="28"/>
          <w:szCs w:val="28"/>
          <w:lang w:val="uk-UA"/>
        </w:rPr>
        <w:t xml:space="preserve">Каталаза захищає клітини від пероксиду водню, що утворюється в них. Він відіграє роль </w:t>
      </w:r>
      <w:r>
        <w:rPr>
          <w:rFonts w:ascii="Times New Roman" w:hAnsi="Times New Roman" w:cs="Times New Roman"/>
          <w:sz w:val="28"/>
          <w:szCs w:val="28"/>
          <w:lang w:val="uk-UA"/>
        </w:rPr>
        <w:t>у</w:t>
      </w:r>
      <w:r w:rsidRPr="00496A38">
        <w:rPr>
          <w:rFonts w:ascii="Times New Roman" w:hAnsi="Times New Roman" w:cs="Times New Roman"/>
          <w:sz w:val="28"/>
          <w:szCs w:val="28"/>
          <w:lang w:val="uk-UA"/>
        </w:rPr>
        <w:t xml:space="preserve"> толерантності до окислювального стресу в адаптивній реакції клітин. </w:t>
      </w:r>
      <w:r>
        <w:rPr>
          <w:rFonts w:ascii="Times New Roman" w:hAnsi="Times New Roman" w:cs="Times New Roman"/>
          <w:sz w:val="28"/>
          <w:szCs w:val="28"/>
          <w:lang w:val="uk-UA"/>
        </w:rPr>
        <w:t>За даними авторів, зниження рівню</w:t>
      </w:r>
      <w:r w:rsidRPr="00496A38">
        <w:rPr>
          <w:rFonts w:ascii="Times New Roman" w:hAnsi="Times New Roman" w:cs="Times New Roman"/>
          <w:sz w:val="28"/>
          <w:szCs w:val="28"/>
          <w:lang w:val="uk-UA"/>
        </w:rPr>
        <w:t xml:space="preserve"> каталази спостерігається при пародонтиті</w:t>
      </w:r>
      <w:r>
        <w:rPr>
          <w:rFonts w:ascii="Times New Roman" w:hAnsi="Times New Roman" w:cs="Times New Roman"/>
          <w:sz w:val="28"/>
          <w:szCs w:val="28"/>
          <w:lang w:val="uk-UA"/>
        </w:rPr>
        <w:t>, що підтверджується нашими дослідженнями</w:t>
      </w:r>
      <w:r w:rsidRPr="00496A38">
        <w:rPr>
          <w:rFonts w:ascii="Times New Roman" w:hAnsi="Times New Roman" w:cs="Times New Roman"/>
          <w:sz w:val="28"/>
          <w:szCs w:val="28"/>
          <w:lang w:val="uk-UA"/>
        </w:rPr>
        <w:t xml:space="preserve"> [</w:t>
      </w:r>
      <w:r w:rsidR="00F81F79">
        <w:rPr>
          <w:rFonts w:ascii="Times New Roman" w:hAnsi="Times New Roman" w:cs="Times New Roman"/>
          <w:sz w:val="28"/>
          <w:szCs w:val="28"/>
          <w:lang w:val="ru-RU"/>
        </w:rPr>
        <w:t>395-396</w:t>
      </w:r>
      <w:r w:rsidRPr="00496A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96A38">
        <w:rPr>
          <w:rFonts w:ascii="Times New Roman" w:hAnsi="Times New Roman" w:cs="Times New Roman"/>
          <w:sz w:val="28"/>
          <w:szCs w:val="28"/>
          <w:lang w:val="uk-UA"/>
        </w:rPr>
        <w:t>Глутаіонпероксидаза сама по собі може ефективно реагувати на ліпідні та інші органічні гі</w:t>
      </w:r>
      <w:r>
        <w:rPr>
          <w:rFonts w:ascii="Times New Roman" w:hAnsi="Times New Roman" w:cs="Times New Roman"/>
          <w:sz w:val="28"/>
          <w:szCs w:val="28"/>
          <w:lang w:val="uk-UA"/>
        </w:rPr>
        <w:t>дропероксидази. Глутатіон</w:t>
      </w:r>
      <w:r w:rsidRPr="00496A38">
        <w:rPr>
          <w:rFonts w:ascii="Times New Roman" w:hAnsi="Times New Roman" w:cs="Times New Roman"/>
          <w:sz w:val="28"/>
          <w:szCs w:val="28"/>
          <w:lang w:val="uk-UA"/>
        </w:rPr>
        <w:t>пероксидаза забезпечує захист від низьких рівнів окислювального стресу, тоді як каталаза стає більш значущою у захисті від сильного стресу окислювача [</w:t>
      </w:r>
      <w:r w:rsidR="00F81F79">
        <w:rPr>
          <w:rFonts w:ascii="Times New Roman" w:hAnsi="Times New Roman" w:cs="Times New Roman"/>
          <w:sz w:val="28"/>
          <w:szCs w:val="28"/>
          <w:lang w:val="uk-UA"/>
        </w:rPr>
        <w:t>397</w:t>
      </w:r>
      <w:r w:rsidRPr="00496A38">
        <w:rPr>
          <w:rFonts w:ascii="Times New Roman" w:hAnsi="Times New Roman" w:cs="Times New Roman"/>
          <w:sz w:val="28"/>
          <w:szCs w:val="28"/>
          <w:lang w:val="uk-UA"/>
        </w:rPr>
        <w:t>].</w:t>
      </w:r>
    </w:p>
    <w:p w14:paraId="5C0989F3" w14:textId="074AD682" w:rsidR="00F006BC" w:rsidRDefault="00F45B07" w:rsidP="00496A3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 наших дослідженнях </w:t>
      </w:r>
      <w:r w:rsidR="00702F46">
        <w:rPr>
          <w:rFonts w:ascii="Times New Roman" w:hAnsi="Times New Roman" w:cs="Times New Roman"/>
          <w:sz w:val="28"/>
          <w:szCs w:val="28"/>
          <w:lang w:val="uk-UA"/>
        </w:rPr>
        <w:t xml:space="preserve">змін </w:t>
      </w:r>
      <w:r>
        <w:rPr>
          <w:rFonts w:ascii="Times New Roman" w:hAnsi="Times New Roman" w:cs="Times New Roman"/>
          <w:sz w:val="28"/>
          <w:szCs w:val="28"/>
          <w:lang w:val="uk-UA"/>
        </w:rPr>
        <w:t>рівню супероксиддисмутази</w:t>
      </w:r>
      <w:r w:rsidR="00702F46">
        <w:rPr>
          <w:rFonts w:ascii="Times New Roman" w:hAnsi="Times New Roman" w:cs="Times New Roman"/>
          <w:sz w:val="28"/>
          <w:szCs w:val="28"/>
          <w:lang w:val="uk-UA"/>
        </w:rPr>
        <w:t xml:space="preserve"> ми дійшли до висновку, що наявність атопічної патології відіграє ключову роль у формуванні антиоксидантного дисбалансу, так як на початку дослідження, незалежно від рівня запалення тканин пародонту вміст супероксиддисмутази був знижений у всіх групах, крім контрольної. </w:t>
      </w:r>
      <w:r w:rsidR="008146DF">
        <w:rPr>
          <w:rFonts w:ascii="Times New Roman" w:hAnsi="Times New Roman" w:cs="Times New Roman"/>
          <w:sz w:val="28"/>
          <w:szCs w:val="28"/>
          <w:lang w:val="uk-UA"/>
        </w:rPr>
        <w:t xml:space="preserve">При подальших спостереженнях рівень СОД підвищився у першій та другій групах до рівня </w:t>
      </w:r>
      <w:r w:rsidR="008146DF">
        <w:rPr>
          <w:rFonts w:ascii="Times New Roman" w:hAnsi="Times New Roman"/>
          <w:sz w:val="28"/>
          <w:szCs w:val="28"/>
          <w:lang w:val="uk-UA"/>
        </w:rPr>
        <w:t xml:space="preserve">5.86 </w:t>
      </w:r>
      <w:r w:rsidR="008146DF">
        <w:rPr>
          <w:rFonts w:ascii="Times New Roman" w:hAnsi="Times New Roman" w:cs="Times New Roman"/>
          <w:sz w:val="28"/>
          <w:szCs w:val="28"/>
          <w:lang w:val="uk-UA"/>
        </w:rPr>
        <w:t xml:space="preserve">± </w:t>
      </w:r>
      <w:r w:rsidR="008146DF" w:rsidRPr="00B42A52">
        <w:rPr>
          <w:rFonts w:ascii="Times New Roman" w:hAnsi="Times New Roman"/>
          <w:sz w:val="28"/>
          <w:szCs w:val="28"/>
          <w:lang w:val="uk-UA"/>
        </w:rPr>
        <w:t>0.64</w:t>
      </w:r>
      <w:r w:rsidR="008146DF">
        <w:rPr>
          <w:rFonts w:ascii="Times New Roman" w:hAnsi="Times New Roman"/>
          <w:sz w:val="28"/>
          <w:szCs w:val="28"/>
          <w:lang w:val="uk-UA"/>
        </w:rPr>
        <w:t xml:space="preserve"> та 6.01 </w:t>
      </w:r>
      <w:r w:rsidR="008146DF">
        <w:rPr>
          <w:rFonts w:ascii="Times New Roman" w:hAnsi="Times New Roman" w:cs="Times New Roman"/>
          <w:sz w:val="28"/>
          <w:szCs w:val="28"/>
          <w:lang w:val="uk-UA"/>
        </w:rPr>
        <w:t xml:space="preserve">± </w:t>
      </w:r>
      <w:r w:rsidR="008146DF" w:rsidRPr="00B42A52">
        <w:rPr>
          <w:rFonts w:ascii="Times New Roman" w:hAnsi="Times New Roman"/>
          <w:sz w:val="28"/>
          <w:szCs w:val="28"/>
          <w:lang w:val="uk-UA"/>
        </w:rPr>
        <w:t>0.73</w:t>
      </w:r>
      <w:r w:rsidR="008146DF">
        <w:rPr>
          <w:rFonts w:ascii="Times New Roman" w:hAnsi="Times New Roman"/>
          <w:sz w:val="28"/>
          <w:szCs w:val="28"/>
          <w:lang w:val="uk-UA"/>
        </w:rPr>
        <w:t xml:space="preserve"> у.о./л., що пояснюється включенням компонентів корекції антиоксидантного статусу. </w:t>
      </w:r>
      <w:r w:rsidR="00063D13">
        <w:rPr>
          <w:rFonts w:ascii="Times New Roman" w:hAnsi="Times New Roman"/>
          <w:sz w:val="28"/>
          <w:szCs w:val="28"/>
          <w:lang w:val="uk-UA"/>
        </w:rPr>
        <w:t>Таким чином, зміни рівню СОД підтверджують загальну позитивну динаміку нормалізації стану антиоксидантного захисту при застосуванні концептуально нової програми лікування та профілактики гінгівіту у дітей з атопічними захворюваннями.</w:t>
      </w:r>
    </w:p>
    <w:p w14:paraId="7AD98EDE" w14:textId="049951B6" w:rsidR="00063D13" w:rsidRDefault="00CF300D" w:rsidP="00496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Схожу тенденцію ми спостерігали при аналізі вмісту глутатіону у ротовій рідині. Якщо перед проведенням лікувально-профілактичних заходів його рівень був знижений у всіх пацієнтів з атопією, то через шість та дванадцять місяців підвищення його рівня відбулася у першій та другій групі дітей. У той же час серед пацієнтів третьої та четвертої груп, де була застосована традиційна схема лікування та профілактики гінгівіту, в основному орієнтована на</w:t>
      </w:r>
      <w:r w:rsidR="00F330E0">
        <w:rPr>
          <w:rFonts w:ascii="Times New Roman" w:hAnsi="Times New Roman" w:cs="Times New Roman"/>
          <w:sz w:val="28"/>
          <w:szCs w:val="28"/>
          <w:lang w:val="uk-UA"/>
        </w:rPr>
        <w:t xml:space="preserve"> боротьбу з</w:t>
      </w:r>
      <w:r>
        <w:rPr>
          <w:rFonts w:ascii="Times New Roman" w:hAnsi="Times New Roman" w:cs="Times New Roman"/>
          <w:sz w:val="28"/>
          <w:szCs w:val="28"/>
          <w:lang w:val="uk-UA"/>
        </w:rPr>
        <w:t xml:space="preserve"> </w:t>
      </w:r>
      <w:r w:rsidR="00F330E0">
        <w:rPr>
          <w:rFonts w:ascii="Times New Roman" w:hAnsi="Times New Roman" w:cs="Times New Roman"/>
          <w:sz w:val="28"/>
          <w:szCs w:val="28"/>
          <w:lang w:val="uk-UA"/>
        </w:rPr>
        <w:t>мікробним фактором як основним етіологічним чинником гінгівіту.</w:t>
      </w:r>
    </w:p>
    <w:p w14:paraId="5CD5793F" w14:textId="0CA1FB77" w:rsidR="00F330E0" w:rsidRDefault="00F330E0" w:rsidP="00496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як доведено численними дослідженнями, в</w:t>
      </w:r>
      <w:r w:rsidRPr="00F330E0">
        <w:rPr>
          <w:rFonts w:ascii="Times New Roman" w:hAnsi="Times New Roman" w:cs="Times New Roman"/>
          <w:sz w:val="28"/>
          <w:szCs w:val="28"/>
          <w:lang w:val="uk-UA"/>
        </w:rPr>
        <w:t xml:space="preserve">исокий окисний стрес і низький вміст антиоксидантів можуть </w:t>
      </w:r>
      <w:r>
        <w:rPr>
          <w:rFonts w:ascii="Times New Roman" w:hAnsi="Times New Roman" w:cs="Times New Roman"/>
          <w:sz w:val="28"/>
          <w:szCs w:val="28"/>
          <w:lang w:val="uk-UA"/>
        </w:rPr>
        <w:t>відігравати</w:t>
      </w:r>
      <w:r w:rsidRPr="00F330E0">
        <w:rPr>
          <w:rFonts w:ascii="Times New Roman" w:hAnsi="Times New Roman" w:cs="Times New Roman"/>
          <w:sz w:val="28"/>
          <w:szCs w:val="28"/>
          <w:lang w:val="uk-UA"/>
        </w:rPr>
        <w:t xml:space="preserve"> важливу роль у етіопатогенезі </w:t>
      </w:r>
      <w:r>
        <w:rPr>
          <w:rFonts w:ascii="Times New Roman" w:hAnsi="Times New Roman" w:cs="Times New Roman"/>
          <w:sz w:val="28"/>
          <w:szCs w:val="28"/>
          <w:lang w:val="uk-UA"/>
        </w:rPr>
        <w:t>захворювань пародонт</w:t>
      </w:r>
      <w:r w:rsidRPr="00F330E0">
        <w:rPr>
          <w:rFonts w:ascii="Times New Roman" w:hAnsi="Times New Roman" w:cs="Times New Roman"/>
          <w:sz w:val="28"/>
          <w:szCs w:val="28"/>
          <w:lang w:val="uk-UA"/>
        </w:rPr>
        <w:t>у</w:t>
      </w:r>
      <w:r>
        <w:rPr>
          <w:rFonts w:ascii="Times New Roman" w:hAnsi="Times New Roman" w:cs="Times New Roman"/>
          <w:sz w:val="28"/>
          <w:szCs w:val="28"/>
          <w:lang w:val="uk-UA"/>
        </w:rPr>
        <w:t>. Нами доведено, що у дітей з атопічними захворюваннями низький вміст антиоксидантів супроводжує основне захворювання та врешті решт призводить до запалення тканин пародонту.</w:t>
      </w:r>
    </w:p>
    <w:p w14:paraId="20C5D93A" w14:textId="4270FD7F" w:rsidR="00F330E0" w:rsidRDefault="00F330E0" w:rsidP="00496A38">
      <w:pPr>
        <w:spacing w:after="0" w:line="360" w:lineRule="auto"/>
        <w:ind w:firstLine="709"/>
        <w:jc w:val="both"/>
        <w:rPr>
          <w:rFonts w:ascii="Times New Roman" w:hAnsi="Times New Roman"/>
          <w:sz w:val="28"/>
          <w:szCs w:val="28"/>
          <w:lang w:val="uk-UA"/>
        </w:rPr>
      </w:pPr>
      <w:r w:rsidRPr="00763B01">
        <w:rPr>
          <w:rFonts w:ascii="Times New Roman" w:hAnsi="Times New Roman" w:cs="Times New Roman"/>
          <w:sz w:val="28"/>
          <w:szCs w:val="28"/>
          <w:lang w:val="uk-UA"/>
        </w:rPr>
        <w:t>Останні дані свідчать про збільшення оксидативного стресу та МДА при пародонтиті [</w:t>
      </w:r>
      <w:r w:rsidR="00F81F79">
        <w:rPr>
          <w:rFonts w:ascii="Times New Roman" w:hAnsi="Times New Roman" w:cs="Times New Roman"/>
          <w:sz w:val="28"/>
          <w:szCs w:val="28"/>
          <w:lang w:val="ru-RU"/>
        </w:rPr>
        <w:t>398</w:t>
      </w:r>
      <w:r w:rsidRPr="00763B01">
        <w:rPr>
          <w:rFonts w:ascii="Times New Roman" w:hAnsi="Times New Roman" w:cs="Times New Roman"/>
          <w:sz w:val="28"/>
          <w:szCs w:val="28"/>
          <w:lang w:val="uk-UA"/>
        </w:rPr>
        <w:t>]</w:t>
      </w:r>
      <w:r>
        <w:rPr>
          <w:rFonts w:ascii="Times New Roman" w:hAnsi="Times New Roman" w:cs="Times New Roman"/>
          <w:sz w:val="28"/>
          <w:szCs w:val="28"/>
          <w:lang w:val="uk-UA"/>
        </w:rPr>
        <w:t>.</w:t>
      </w:r>
      <w:r w:rsidR="00763B01">
        <w:rPr>
          <w:rFonts w:ascii="Times New Roman" w:hAnsi="Times New Roman" w:cs="Times New Roman"/>
          <w:sz w:val="28"/>
          <w:szCs w:val="28"/>
          <w:lang w:val="uk-UA"/>
        </w:rPr>
        <w:t xml:space="preserve"> У своїх дослідженнях ми знайшли підтвердження цьому факту. </w:t>
      </w:r>
      <w:r w:rsidR="00763B01">
        <w:rPr>
          <w:rFonts w:ascii="Times New Roman" w:hAnsi="Times New Roman"/>
          <w:sz w:val="28"/>
          <w:szCs w:val="28"/>
          <w:lang w:val="uk-UA"/>
        </w:rPr>
        <w:t xml:space="preserve">При аналізі отриманих даних у першій групі пацієнтів ми встановили підвищення рівня МДА до позначки </w:t>
      </w:r>
      <w:r w:rsidR="00763B01" w:rsidRPr="00166C6D">
        <w:rPr>
          <w:rFonts w:ascii="Times New Roman" w:hAnsi="Times New Roman"/>
          <w:sz w:val="28"/>
          <w:szCs w:val="28"/>
          <w:lang w:val="uk-UA"/>
        </w:rPr>
        <w:t>6.87</w:t>
      </w:r>
      <w:r w:rsidR="00763B01">
        <w:rPr>
          <w:rFonts w:ascii="Times New Roman" w:hAnsi="Times New Roman"/>
          <w:sz w:val="28"/>
          <w:szCs w:val="28"/>
          <w:lang w:val="uk-UA"/>
        </w:rPr>
        <w:t xml:space="preserve">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0.91</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схожі показники ми спостерігали у трьох інших групах, без достовірної різниці між ними. Через шість місяців рівень МДА змінився з достовірною різницею і дорівнював 3.44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0.59</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через дванадцять місяців 3.38 </w:t>
      </w:r>
      <w:r w:rsidR="00763B01">
        <w:rPr>
          <w:rFonts w:ascii="Times New Roman" w:hAnsi="Times New Roman" w:cs="Times New Roman"/>
          <w:sz w:val="28"/>
          <w:szCs w:val="28"/>
          <w:lang w:val="uk-UA"/>
        </w:rPr>
        <w:t xml:space="preserve">± </w:t>
      </w:r>
      <w:r w:rsidR="00763B01" w:rsidRPr="00166C6D">
        <w:rPr>
          <w:rFonts w:ascii="Times New Roman" w:hAnsi="Times New Roman"/>
          <w:sz w:val="28"/>
          <w:szCs w:val="28"/>
          <w:lang w:val="uk-UA"/>
        </w:rPr>
        <w:t>0.65</w:t>
      </w:r>
      <w:r w:rsidR="00763B01">
        <w:rPr>
          <w:rFonts w:ascii="Times New Roman" w:hAnsi="Times New Roman"/>
          <w:sz w:val="28"/>
          <w:szCs w:val="28"/>
          <w:lang w:val="uk-UA"/>
        </w:rPr>
        <w:t xml:space="preserve"> </w:t>
      </w:r>
      <w:r w:rsidR="00763B01" w:rsidRPr="001B46B9">
        <w:rPr>
          <w:rFonts w:ascii="Times New Roman" w:hAnsi="Times New Roman"/>
          <w:sz w:val="28"/>
          <w:szCs w:val="28"/>
          <w:lang w:val="uk-UA"/>
        </w:rPr>
        <w:t>мкмоль/л</w:t>
      </w:r>
      <w:r w:rsidR="00763B01">
        <w:rPr>
          <w:rFonts w:ascii="Times New Roman" w:hAnsi="Times New Roman"/>
          <w:sz w:val="28"/>
          <w:szCs w:val="28"/>
          <w:lang w:val="uk-UA"/>
        </w:rPr>
        <w:t xml:space="preserve"> у першій групі дітей з атопією, так само як і другій. Наведені дані говорять про те, що у дітей з хронічним гінгівітом на тлі </w:t>
      </w:r>
      <w:r w:rsidR="00D60A88">
        <w:rPr>
          <w:rFonts w:ascii="Times New Roman" w:hAnsi="Times New Roman"/>
          <w:sz w:val="28"/>
          <w:szCs w:val="28"/>
          <w:lang w:val="uk-UA"/>
        </w:rPr>
        <w:t>атопії</w:t>
      </w:r>
      <w:r w:rsidR="00763B01">
        <w:rPr>
          <w:rFonts w:ascii="Times New Roman" w:hAnsi="Times New Roman"/>
          <w:sz w:val="28"/>
          <w:szCs w:val="28"/>
          <w:lang w:val="uk-UA"/>
        </w:rPr>
        <w:t xml:space="preserve"> </w:t>
      </w:r>
      <w:r w:rsidR="00D60A88">
        <w:rPr>
          <w:rFonts w:ascii="Times New Roman" w:hAnsi="Times New Roman"/>
          <w:sz w:val="28"/>
          <w:szCs w:val="28"/>
          <w:lang w:val="uk-UA"/>
        </w:rPr>
        <w:t xml:space="preserve">є </w:t>
      </w:r>
      <w:r w:rsidR="00763B01" w:rsidRPr="002804DE">
        <w:rPr>
          <w:rFonts w:ascii="Times New Roman" w:hAnsi="Times New Roman"/>
          <w:sz w:val="28"/>
          <w:szCs w:val="28"/>
          <w:lang w:val="uk-UA"/>
        </w:rPr>
        <w:t>порушення прооксидантно-антиоксидантного балансу в ротовій рідині в сторону активізації процесів вільно-радикального окислення</w:t>
      </w:r>
      <w:r w:rsidR="00763B01">
        <w:rPr>
          <w:rFonts w:ascii="Times New Roman" w:hAnsi="Times New Roman"/>
          <w:sz w:val="28"/>
          <w:szCs w:val="28"/>
          <w:lang w:val="uk-UA"/>
        </w:rPr>
        <w:t xml:space="preserve">. </w:t>
      </w:r>
      <w:r w:rsidR="00D60A88">
        <w:rPr>
          <w:rFonts w:ascii="Times New Roman" w:hAnsi="Times New Roman"/>
          <w:sz w:val="28"/>
          <w:szCs w:val="28"/>
          <w:lang w:val="uk-UA"/>
        </w:rPr>
        <w:t>Проте при призначенні адекватних лікувально-профілактичних заходів, направлених на корекцію дисбалансу антиоксидантів, поряд з покращенням клінічних показників, ми спостерігаємо нормалізацію антиоксидантного профілю.</w:t>
      </w:r>
    </w:p>
    <w:p w14:paraId="5C54D486" w14:textId="0AA3DF60" w:rsidR="00D60A88" w:rsidRPr="00CF1941" w:rsidRDefault="009966AE" w:rsidP="00D60A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Celec et al. т</w:t>
      </w:r>
      <w:r w:rsidR="00D60A88" w:rsidRPr="00D60A88">
        <w:rPr>
          <w:rFonts w:ascii="Times New Roman" w:hAnsi="Times New Roman" w:cs="Times New Roman"/>
          <w:sz w:val="28"/>
          <w:szCs w:val="28"/>
          <w:lang w:val="ru-RU"/>
        </w:rPr>
        <w:t xml:space="preserve">акож показали високий рівень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w:t>
      </w:r>
      <w:r>
        <w:rPr>
          <w:rFonts w:ascii="Times New Roman" w:hAnsi="Times New Roman" w:cs="Times New Roman"/>
          <w:sz w:val="28"/>
          <w:szCs w:val="28"/>
          <w:lang w:val="ru-RU"/>
        </w:rPr>
        <w:t>у ротовій рідині</w:t>
      </w:r>
      <w:r w:rsidR="00D60A88" w:rsidRPr="00D60A88">
        <w:rPr>
          <w:rFonts w:ascii="Times New Roman" w:hAnsi="Times New Roman" w:cs="Times New Roman"/>
          <w:sz w:val="28"/>
          <w:szCs w:val="28"/>
          <w:lang w:val="ru-RU"/>
        </w:rPr>
        <w:t xml:space="preserve"> при пародонтиті. У дослідженні не було виявлено кореляції між рівнями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w:t>
      </w:r>
      <w:r>
        <w:rPr>
          <w:rFonts w:ascii="Times New Roman" w:hAnsi="Times New Roman" w:cs="Times New Roman"/>
          <w:sz w:val="28"/>
          <w:szCs w:val="28"/>
          <w:lang w:val="ru-RU"/>
        </w:rPr>
        <w:t>ротової рідини</w:t>
      </w:r>
      <w:r w:rsidR="00D60A88" w:rsidRPr="00D60A88">
        <w:rPr>
          <w:rFonts w:ascii="Times New Roman" w:hAnsi="Times New Roman" w:cs="Times New Roman"/>
          <w:sz w:val="28"/>
          <w:szCs w:val="28"/>
          <w:lang w:val="ru-RU"/>
        </w:rPr>
        <w:t xml:space="preserve"> та сироватки</w:t>
      </w:r>
      <w:r>
        <w:rPr>
          <w:rFonts w:ascii="Times New Roman" w:hAnsi="Times New Roman" w:cs="Times New Roman"/>
          <w:sz w:val="28"/>
          <w:szCs w:val="28"/>
          <w:lang w:val="ru-RU"/>
        </w:rPr>
        <w:t xml:space="preserve"> крові</w:t>
      </w:r>
      <w:r w:rsidR="00D60A88" w:rsidRPr="00D60A88">
        <w:rPr>
          <w:rFonts w:ascii="Times New Roman" w:hAnsi="Times New Roman" w:cs="Times New Roman"/>
          <w:sz w:val="28"/>
          <w:szCs w:val="28"/>
          <w:lang w:val="ru-RU"/>
        </w:rPr>
        <w:t xml:space="preserve">. Вони прийшли до висновку, що локальний окислювальний стрес є фактором, що сприяє виробництву </w:t>
      </w:r>
      <w:r>
        <w:rPr>
          <w:rFonts w:ascii="Times New Roman" w:hAnsi="Times New Roman" w:cs="Times New Roman"/>
          <w:sz w:val="28"/>
          <w:szCs w:val="28"/>
          <w:lang w:val="ru-RU"/>
        </w:rPr>
        <w:t>МДА</w:t>
      </w:r>
      <w:r w:rsidR="00D60A88" w:rsidRPr="00D60A88">
        <w:rPr>
          <w:rFonts w:ascii="Times New Roman" w:hAnsi="Times New Roman" w:cs="Times New Roman"/>
          <w:sz w:val="28"/>
          <w:szCs w:val="28"/>
          <w:lang w:val="ru-RU"/>
        </w:rPr>
        <w:t xml:space="preserve"> при </w:t>
      </w:r>
      <w:r w:rsidR="00D60A88">
        <w:rPr>
          <w:rFonts w:ascii="Times New Roman" w:hAnsi="Times New Roman" w:cs="Times New Roman"/>
          <w:sz w:val="28"/>
          <w:szCs w:val="28"/>
          <w:lang w:val="ru-RU"/>
        </w:rPr>
        <w:t xml:space="preserve">пародонтиті </w:t>
      </w:r>
      <w:r w:rsidR="00D60A88" w:rsidRPr="00D60A88">
        <w:rPr>
          <w:rFonts w:ascii="Times New Roman" w:hAnsi="Times New Roman" w:cs="Times New Roman"/>
          <w:sz w:val="28"/>
          <w:szCs w:val="28"/>
          <w:lang w:val="ru-RU"/>
        </w:rPr>
        <w:t>[</w:t>
      </w:r>
      <w:r w:rsidR="00F81F79">
        <w:rPr>
          <w:rFonts w:ascii="Times New Roman" w:hAnsi="Times New Roman" w:cs="Times New Roman"/>
          <w:sz w:val="28"/>
          <w:szCs w:val="28"/>
          <w:lang w:val="ru-RU"/>
        </w:rPr>
        <w:t>401</w:t>
      </w:r>
      <w:r w:rsidR="00D60A88" w:rsidRPr="00CF1941">
        <w:rPr>
          <w:rFonts w:ascii="Times New Roman" w:hAnsi="Times New Roman" w:cs="Times New Roman"/>
          <w:sz w:val="28"/>
          <w:szCs w:val="28"/>
          <w:lang w:val="ru-RU"/>
        </w:rPr>
        <w:t>].</w:t>
      </w:r>
    </w:p>
    <w:p w14:paraId="24A406DB" w14:textId="2F1273EC" w:rsidR="00D60A88" w:rsidRPr="009966AE" w:rsidRDefault="00D60A88" w:rsidP="00D60A88">
      <w:pPr>
        <w:spacing w:after="0" w:line="360" w:lineRule="auto"/>
        <w:ind w:firstLine="709"/>
        <w:jc w:val="both"/>
        <w:rPr>
          <w:rFonts w:ascii="Times New Roman" w:hAnsi="Times New Roman" w:cs="Times New Roman"/>
          <w:sz w:val="28"/>
          <w:szCs w:val="28"/>
          <w:lang w:val="uk-UA"/>
        </w:rPr>
      </w:pPr>
      <w:r w:rsidRPr="009966AE">
        <w:rPr>
          <w:rFonts w:ascii="Times New Roman" w:hAnsi="Times New Roman" w:cs="Times New Roman"/>
          <w:sz w:val="28"/>
          <w:szCs w:val="28"/>
        </w:rPr>
        <w:t>Trivedi</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і</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співавт</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показали</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значне</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підвищення</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МДА</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та</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зниження</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антиокси</w:t>
      </w:r>
      <w:r w:rsidR="009966AE">
        <w:rPr>
          <w:rFonts w:ascii="Times New Roman" w:hAnsi="Times New Roman" w:cs="Times New Roman"/>
          <w:sz w:val="28"/>
          <w:szCs w:val="28"/>
          <w:lang w:val="ru-RU"/>
        </w:rPr>
        <w:t>дантних</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ферментів</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у</w:t>
      </w:r>
      <w:r w:rsidR="009966AE" w:rsidRPr="005A47B1">
        <w:rPr>
          <w:rFonts w:ascii="Times New Roman" w:hAnsi="Times New Roman" w:cs="Times New Roman"/>
          <w:sz w:val="28"/>
          <w:szCs w:val="28"/>
          <w:lang w:val="ru-RU"/>
        </w:rPr>
        <w:t xml:space="preserve"> </w:t>
      </w:r>
      <w:r w:rsidR="009966AE">
        <w:rPr>
          <w:rFonts w:ascii="Times New Roman" w:hAnsi="Times New Roman" w:cs="Times New Roman"/>
          <w:sz w:val="28"/>
          <w:szCs w:val="28"/>
          <w:lang w:val="ru-RU"/>
        </w:rPr>
        <w:t>п</w:t>
      </w:r>
      <w:r w:rsidR="009966AE">
        <w:rPr>
          <w:rFonts w:ascii="Times New Roman" w:hAnsi="Times New Roman" w:cs="Times New Roman"/>
          <w:sz w:val="28"/>
          <w:szCs w:val="28"/>
          <w:lang w:val="uk-UA"/>
        </w:rPr>
        <w:t>ацієнтів з пародонтитом</w:t>
      </w:r>
      <w:r w:rsidRPr="005A47B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Вони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повідомили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про</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пряму</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кореляцію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між</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рівнями</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МДА</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та</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зворотною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кореляцією</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антиоксидантних</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ферментів</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з</w:t>
      </w:r>
      <w:r w:rsidRPr="00CF1941">
        <w:rPr>
          <w:rFonts w:ascii="Times New Roman" w:hAnsi="Times New Roman" w:cs="Times New Roman"/>
          <w:sz w:val="28"/>
          <w:szCs w:val="28"/>
          <w:lang w:val="ru-RU"/>
        </w:rPr>
        <w:t xml:space="preserve"> </w:t>
      </w:r>
      <w:r w:rsidRPr="00D60A88">
        <w:rPr>
          <w:rFonts w:ascii="Times New Roman" w:hAnsi="Times New Roman" w:cs="Times New Roman"/>
          <w:sz w:val="28"/>
          <w:szCs w:val="28"/>
          <w:lang w:val="ru-RU"/>
        </w:rPr>
        <w:t>пар</w:t>
      </w:r>
      <w:r>
        <w:rPr>
          <w:rFonts w:ascii="Times New Roman" w:hAnsi="Times New Roman" w:cs="Times New Roman"/>
          <w:sz w:val="28"/>
          <w:szCs w:val="28"/>
          <w:lang w:val="ru-RU"/>
        </w:rPr>
        <w:t>одонтитом</w:t>
      </w:r>
      <w:r w:rsidRPr="00CF1941">
        <w:rPr>
          <w:rFonts w:ascii="Times New Roman" w:hAnsi="Times New Roman" w:cs="Times New Roman"/>
          <w:sz w:val="28"/>
          <w:szCs w:val="28"/>
          <w:lang w:val="ru-RU"/>
        </w:rPr>
        <w:t xml:space="preserve"> [</w:t>
      </w:r>
      <w:r w:rsidR="00F81F79">
        <w:rPr>
          <w:rFonts w:ascii="Times New Roman" w:hAnsi="Times New Roman" w:cs="Times New Roman"/>
          <w:sz w:val="28"/>
          <w:szCs w:val="28"/>
          <w:lang w:val="ru-RU"/>
        </w:rPr>
        <w:t>402</w:t>
      </w:r>
      <w:r w:rsidRPr="009966AE">
        <w:rPr>
          <w:rFonts w:ascii="Times New Roman" w:hAnsi="Times New Roman" w:cs="Times New Roman"/>
          <w:sz w:val="28"/>
          <w:szCs w:val="28"/>
          <w:lang w:val="uk-UA"/>
        </w:rPr>
        <w:t>].</w:t>
      </w:r>
    </w:p>
    <w:p w14:paraId="74FE16C0" w14:textId="7A6FA8A2" w:rsidR="00F006BC" w:rsidRDefault="009966AE" w:rsidP="00C44FE8">
      <w:pPr>
        <w:spacing w:after="0" w:line="360" w:lineRule="auto"/>
        <w:ind w:firstLine="709"/>
        <w:jc w:val="both"/>
        <w:rPr>
          <w:rFonts w:ascii="Times New Roman" w:hAnsi="Times New Roman" w:cs="Times New Roman"/>
          <w:sz w:val="28"/>
          <w:szCs w:val="28"/>
          <w:lang w:val="uk-UA"/>
        </w:rPr>
      </w:pPr>
      <w:r w:rsidRPr="009966AE">
        <w:rPr>
          <w:rFonts w:ascii="Times New Roman" w:hAnsi="Times New Roman" w:cs="Times New Roman"/>
          <w:sz w:val="28"/>
          <w:szCs w:val="28"/>
          <w:lang w:val="uk-UA"/>
        </w:rPr>
        <w:t xml:space="preserve">В ряді недавніх досліджень вимірювали різні </w:t>
      </w:r>
      <w:r>
        <w:rPr>
          <w:rFonts w:ascii="Times New Roman" w:hAnsi="Times New Roman" w:cs="Times New Roman"/>
          <w:sz w:val="28"/>
          <w:szCs w:val="28"/>
          <w:lang w:val="uk-UA"/>
        </w:rPr>
        <w:t xml:space="preserve">маркери </w:t>
      </w:r>
      <w:r w:rsidR="004E17B2">
        <w:rPr>
          <w:rFonts w:ascii="Times New Roman" w:hAnsi="Times New Roman" w:cs="Times New Roman"/>
          <w:sz w:val="28"/>
          <w:szCs w:val="28"/>
          <w:lang w:val="uk-UA"/>
        </w:rPr>
        <w:t>окислювального стресу у</w:t>
      </w:r>
      <w:r w:rsidR="004E17B2" w:rsidRPr="004E17B2">
        <w:rPr>
          <w:rFonts w:ascii="Times New Roman" w:hAnsi="Times New Roman" w:cs="Times New Roman"/>
          <w:sz w:val="28"/>
          <w:szCs w:val="28"/>
          <w:lang w:val="uk-UA"/>
        </w:rPr>
        <w:t xml:space="preserve"> </w:t>
      </w:r>
      <w:r w:rsidR="004E17B2">
        <w:rPr>
          <w:rFonts w:ascii="Times New Roman" w:hAnsi="Times New Roman" w:cs="Times New Roman"/>
          <w:sz w:val="28"/>
          <w:szCs w:val="28"/>
          <w:lang w:val="uk-UA"/>
        </w:rPr>
        <w:t>ротовій рідини</w:t>
      </w:r>
      <w:r w:rsidRPr="009966AE">
        <w:rPr>
          <w:rFonts w:ascii="Times New Roman" w:hAnsi="Times New Roman" w:cs="Times New Roman"/>
          <w:sz w:val="28"/>
          <w:szCs w:val="28"/>
          <w:lang w:val="uk-UA"/>
        </w:rPr>
        <w:t xml:space="preserve"> при пародонтиті і показали, що </w:t>
      </w:r>
      <w:r w:rsidR="004E17B2">
        <w:rPr>
          <w:rFonts w:ascii="Times New Roman" w:hAnsi="Times New Roman" w:cs="Times New Roman"/>
          <w:sz w:val="28"/>
          <w:szCs w:val="28"/>
          <w:lang w:val="uk-UA"/>
        </w:rPr>
        <w:t>МДА</w:t>
      </w:r>
      <w:r w:rsidRPr="009966AE">
        <w:rPr>
          <w:rFonts w:ascii="Times New Roman" w:hAnsi="Times New Roman" w:cs="Times New Roman"/>
          <w:sz w:val="28"/>
          <w:szCs w:val="28"/>
          <w:lang w:val="uk-UA"/>
        </w:rPr>
        <w:t xml:space="preserve"> є більш специфічним біомаркеру перекисного окислення ліпідів </w:t>
      </w:r>
      <w:r w:rsidR="004E17B2">
        <w:rPr>
          <w:rFonts w:ascii="Times New Roman" w:hAnsi="Times New Roman" w:cs="Times New Roman"/>
          <w:sz w:val="28"/>
          <w:szCs w:val="28"/>
          <w:lang w:val="uk-UA"/>
        </w:rPr>
        <w:t>при захворюваннях</w:t>
      </w:r>
      <w:r w:rsidRPr="009966AE">
        <w:rPr>
          <w:rFonts w:ascii="Times New Roman" w:hAnsi="Times New Roman" w:cs="Times New Roman"/>
          <w:sz w:val="28"/>
          <w:szCs w:val="28"/>
          <w:lang w:val="uk-UA"/>
        </w:rPr>
        <w:t xml:space="preserve"> пародонтит</w:t>
      </w:r>
      <w:r w:rsidR="004E17B2">
        <w:rPr>
          <w:rFonts w:ascii="Times New Roman" w:hAnsi="Times New Roman" w:cs="Times New Roman"/>
          <w:sz w:val="28"/>
          <w:szCs w:val="28"/>
          <w:lang w:val="uk-UA"/>
        </w:rPr>
        <w:t xml:space="preserve">у </w:t>
      </w:r>
      <w:r w:rsidR="004E17B2" w:rsidRPr="004E17B2">
        <w:rPr>
          <w:rFonts w:ascii="Times New Roman" w:hAnsi="Times New Roman" w:cs="Times New Roman"/>
          <w:sz w:val="28"/>
          <w:szCs w:val="28"/>
          <w:lang w:val="uk-UA"/>
        </w:rPr>
        <w:t>[</w:t>
      </w:r>
      <w:r w:rsidR="00F81F79">
        <w:rPr>
          <w:rFonts w:ascii="Times New Roman" w:hAnsi="Times New Roman" w:cs="Times New Roman"/>
          <w:sz w:val="28"/>
          <w:szCs w:val="28"/>
          <w:lang w:val="uk-UA"/>
        </w:rPr>
        <w:t>403</w:t>
      </w:r>
      <w:r w:rsidR="004E17B2" w:rsidRPr="004E17B2">
        <w:rPr>
          <w:rFonts w:ascii="Times New Roman" w:hAnsi="Times New Roman" w:cs="Times New Roman"/>
          <w:sz w:val="28"/>
          <w:szCs w:val="28"/>
          <w:lang w:val="uk-UA"/>
        </w:rPr>
        <w:t>]</w:t>
      </w:r>
      <w:r w:rsidR="004E17B2">
        <w:rPr>
          <w:rFonts w:ascii="Times New Roman" w:hAnsi="Times New Roman" w:cs="Times New Roman"/>
          <w:sz w:val="28"/>
          <w:szCs w:val="28"/>
          <w:lang w:val="uk-UA"/>
        </w:rPr>
        <w:t>.</w:t>
      </w:r>
      <w:r w:rsidR="004E17B2" w:rsidRPr="004E17B2">
        <w:rPr>
          <w:rFonts w:ascii="Times New Roman" w:hAnsi="Times New Roman" w:cs="Times New Roman"/>
          <w:sz w:val="28"/>
          <w:szCs w:val="28"/>
          <w:lang w:val="uk-UA"/>
        </w:rPr>
        <w:t xml:space="preserve"> Подібно до наших результатів, в інших дослідженнях рівень </w:t>
      </w:r>
      <w:r w:rsidR="004E17B2">
        <w:rPr>
          <w:rFonts w:ascii="Times New Roman" w:hAnsi="Times New Roman" w:cs="Times New Roman"/>
          <w:sz w:val="28"/>
          <w:szCs w:val="28"/>
          <w:lang w:val="uk-UA"/>
        </w:rPr>
        <w:t>антиоксидантного захисту</w:t>
      </w:r>
      <w:r w:rsidR="004E17B2" w:rsidRPr="004E17B2">
        <w:rPr>
          <w:rFonts w:ascii="Times New Roman" w:hAnsi="Times New Roman" w:cs="Times New Roman"/>
          <w:sz w:val="28"/>
          <w:szCs w:val="28"/>
          <w:lang w:val="uk-UA"/>
        </w:rPr>
        <w:t xml:space="preserve"> був меншим при захворюваннях пародонту порівняно з контрольною </w:t>
      </w:r>
      <w:r w:rsidR="004E17B2" w:rsidRPr="00CF1941">
        <w:rPr>
          <w:rFonts w:ascii="Times New Roman" w:hAnsi="Times New Roman" w:cs="Times New Roman"/>
          <w:sz w:val="28"/>
          <w:szCs w:val="28"/>
          <w:lang w:val="uk-UA"/>
        </w:rPr>
        <w:t>групою [</w:t>
      </w:r>
      <w:r w:rsidR="00F81F79">
        <w:rPr>
          <w:rFonts w:ascii="Times New Roman" w:hAnsi="Times New Roman" w:cs="Times New Roman"/>
          <w:sz w:val="28"/>
          <w:szCs w:val="28"/>
          <w:lang w:val="uk-UA"/>
        </w:rPr>
        <w:t>404</w:t>
      </w:r>
      <w:r w:rsidR="004E17B2" w:rsidRPr="00CF1941">
        <w:rPr>
          <w:rFonts w:ascii="Times New Roman" w:hAnsi="Times New Roman" w:cs="Times New Roman"/>
          <w:sz w:val="28"/>
          <w:szCs w:val="28"/>
          <w:lang w:val="uk-UA"/>
        </w:rPr>
        <w:t xml:space="preserve">]. На </w:t>
      </w:r>
      <w:r w:rsidR="004E17B2" w:rsidRPr="004E17B2">
        <w:rPr>
          <w:rFonts w:ascii="Times New Roman" w:hAnsi="Times New Roman" w:cs="Times New Roman"/>
          <w:sz w:val="28"/>
          <w:szCs w:val="28"/>
          <w:lang w:val="uk-UA"/>
        </w:rPr>
        <w:t>підставі інших дослідже</w:t>
      </w:r>
      <w:r w:rsidR="004E17B2">
        <w:rPr>
          <w:rFonts w:ascii="Times New Roman" w:hAnsi="Times New Roman" w:cs="Times New Roman"/>
          <w:sz w:val="28"/>
          <w:szCs w:val="28"/>
          <w:lang w:val="uk-UA"/>
        </w:rPr>
        <w:t xml:space="preserve">нь, успішна терапія захворювань пародонту збільшує рівні показників антиоксидантного статусу, у тому числі зниження рівня МДА </w:t>
      </w:r>
      <w:r w:rsidR="004E17B2" w:rsidRPr="004E17B2">
        <w:rPr>
          <w:rFonts w:ascii="Times New Roman" w:hAnsi="Times New Roman" w:cs="Times New Roman"/>
          <w:sz w:val="28"/>
          <w:szCs w:val="28"/>
          <w:lang w:val="uk-UA"/>
        </w:rPr>
        <w:t>[</w:t>
      </w:r>
      <w:r w:rsidR="00F81F79">
        <w:rPr>
          <w:rFonts w:ascii="Times New Roman" w:hAnsi="Times New Roman" w:cs="Times New Roman"/>
          <w:sz w:val="28"/>
          <w:szCs w:val="28"/>
          <w:lang w:val="uk-UA"/>
        </w:rPr>
        <w:t>396</w:t>
      </w:r>
      <w:r w:rsidR="004E17B2" w:rsidRPr="004E17B2">
        <w:rPr>
          <w:rFonts w:ascii="Times New Roman" w:hAnsi="Times New Roman" w:cs="Times New Roman"/>
          <w:sz w:val="28"/>
          <w:szCs w:val="28"/>
          <w:lang w:val="uk-UA"/>
        </w:rPr>
        <w:t>]; отже пародонтологічна терапія може бути дуже корисною для пацієнта.</w:t>
      </w:r>
      <w:r w:rsidR="004E17B2">
        <w:rPr>
          <w:rFonts w:ascii="Times New Roman" w:hAnsi="Times New Roman" w:cs="Times New Roman"/>
          <w:sz w:val="28"/>
          <w:szCs w:val="28"/>
          <w:lang w:val="uk-UA"/>
        </w:rPr>
        <w:t xml:space="preserve"> Місцеве та системне застосування антиоксидантів</w:t>
      </w:r>
      <w:r w:rsidR="004E17B2" w:rsidRPr="004E17B2">
        <w:rPr>
          <w:rFonts w:ascii="Times New Roman" w:hAnsi="Times New Roman" w:cs="Times New Roman"/>
          <w:sz w:val="28"/>
          <w:szCs w:val="28"/>
          <w:lang w:val="uk-UA"/>
        </w:rPr>
        <w:t xml:space="preserve"> може бути корисни</w:t>
      </w:r>
      <w:r w:rsidR="00AA0D23">
        <w:rPr>
          <w:rFonts w:ascii="Times New Roman" w:hAnsi="Times New Roman" w:cs="Times New Roman"/>
          <w:sz w:val="28"/>
          <w:szCs w:val="28"/>
          <w:lang w:val="uk-UA"/>
        </w:rPr>
        <w:t xml:space="preserve">м для </w:t>
      </w:r>
      <w:r w:rsidR="00E3716F">
        <w:rPr>
          <w:rFonts w:ascii="Times New Roman" w:hAnsi="Times New Roman" w:cs="Times New Roman"/>
          <w:sz w:val="28"/>
          <w:szCs w:val="28"/>
          <w:lang w:val="uk-UA"/>
        </w:rPr>
        <w:t>лікування захворювань пародонту</w:t>
      </w:r>
      <w:r w:rsidR="00AA0D23">
        <w:rPr>
          <w:rFonts w:ascii="Times New Roman" w:hAnsi="Times New Roman" w:cs="Times New Roman"/>
          <w:sz w:val="28"/>
          <w:szCs w:val="28"/>
          <w:lang w:val="uk-UA"/>
        </w:rPr>
        <w:t xml:space="preserve"> пацієнтів, яким необхідно знизити</w:t>
      </w:r>
      <w:r w:rsidR="004E17B2" w:rsidRPr="004E17B2">
        <w:rPr>
          <w:rFonts w:ascii="Times New Roman" w:hAnsi="Times New Roman" w:cs="Times New Roman"/>
          <w:sz w:val="28"/>
          <w:szCs w:val="28"/>
          <w:lang w:val="uk-UA"/>
        </w:rPr>
        <w:t xml:space="preserve"> рівен</w:t>
      </w:r>
      <w:r w:rsidR="00AA0D23">
        <w:rPr>
          <w:rFonts w:ascii="Times New Roman" w:hAnsi="Times New Roman" w:cs="Times New Roman"/>
          <w:sz w:val="28"/>
          <w:szCs w:val="28"/>
          <w:lang w:val="uk-UA"/>
        </w:rPr>
        <w:t>ь окислювального стресу і може</w:t>
      </w:r>
      <w:r w:rsidR="004E17B2" w:rsidRPr="004E17B2">
        <w:rPr>
          <w:rFonts w:ascii="Times New Roman" w:hAnsi="Times New Roman" w:cs="Times New Roman"/>
          <w:sz w:val="28"/>
          <w:szCs w:val="28"/>
          <w:lang w:val="uk-UA"/>
        </w:rPr>
        <w:t xml:space="preserve"> мати позитивний вплив на загальний стан здоров'я пацієнтів.</w:t>
      </w:r>
    </w:p>
    <w:p w14:paraId="41D8D807" w14:textId="0DCB6B4C" w:rsidR="0011000C" w:rsidRDefault="00E3716F" w:rsidP="00C44F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ході проведених досліджень виявлений антиоксидантний дисбаланс у пацієнтів з атопічними захворюваннями. Звертає на себе увагу той факт, що зниження рівню супероксиддисмутази, каталази та глутатіону, а також підвищення рівня малонового диальдегіду ми спостерігали не тільки в групі пацієнтів з середнім ступенем гінгівіту, а й у пацієнтів майже без виражених клінічних ознак гінгівіту. Це підтверджує той факт, що порушення прооксидантно-антиоксидантної рівноваги передує клінічним проявам гінгівіту, а визначення рівню антиоксидантів у ротовій рідині може слугувати діагностичним бомаркером ранніх стадій запалення тканин пародонту.</w:t>
      </w:r>
    </w:p>
    <w:p w14:paraId="383614DE" w14:textId="16294F76" w:rsidR="00E3716F" w:rsidRPr="0007335E" w:rsidRDefault="00E3716F" w:rsidP="00C44FE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А</w:t>
      </w:r>
      <w:r w:rsidR="00746552">
        <w:rPr>
          <w:rFonts w:ascii="Times New Roman" w:hAnsi="Times New Roman" w:cs="Times New Roman"/>
          <w:sz w:val="28"/>
          <w:szCs w:val="28"/>
          <w:lang w:val="uk-UA"/>
        </w:rPr>
        <w:t>наліз отриманих</w:t>
      </w:r>
      <w:r>
        <w:rPr>
          <w:rFonts w:ascii="Times New Roman" w:hAnsi="Times New Roman" w:cs="Times New Roman"/>
          <w:sz w:val="28"/>
          <w:szCs w:val="28"/>
          <w:lang w:val="uk-UA"/>
        </w:rPr>
        <w:t xml:space="preserve"> нами численних клінічних та клініко-лабораторних даних показав специфіку змін у пародонтальному, імунному та антиоксидантному статусі дітей </w:t>
      </w:r>
      <w:r w:rsidR="00746552">
        <w:rPr>
          <w:rFonts w:ascii="Times New Roman" w:hAnsi="Times New Roman" w:cs="Times New Roman"/>
          <w:sz w:val="28"/>
          <w:szCs w:val="28"/>
          <w:lang w:val="uk-UA"/>
        </w:rPr>
        <w:t>з атопічними захворюваннями. У зв</w:t>
      </w:r>
      <w:r w:rsidR="00746552" w:rsidRPr="00746552">
        <w:rPr>
          <w:rFonts w:ascii="Times New Roman" w:hAnsi="Times New Roman" w:cs="Times New Roman"/>
          <w:sz w:val="28"/>
          <w:szCs w:val="28"/>
          <w:lang w:val="ru-RU"/>
        </w:rPr>
        <w:t>’</w:t>
      </w:r>
      <w:r w:rsidR="00746552">
        <w:rPr>
          <w:rFonts w:ascii="Times New Roman" w:hAnsi="Times New Roman" w:cs="Times New Roman"/>
          <w:sz w:val="28"/>
          <w:szCs w:val="28"/>
          <w:lang w:val="uk-UA"/>
        </w:rPr>
        <w:t xml:space="preserve">язку з цим очевидною була необхідність проведення детального клініко-статистичного аналізу, який би дозволив провести кореляційний аналіз та виявити у цифровому еквіваленті ступінь залежності одних показників від інших, за наявності такої. Для цього нами був використаний регресійний аналіз даних. </w:t>
      </w:r>
    </w:p>
    <w:p w14:paraId="451C57F2" w14:textId="6569E55A" w:rsidR="00AA0D23" w:rsidRPr="00E3716F" w:rsidRDefault="00967F40" w:rsidP="00C44FE8">
      <w:pPr>
        <w:spacing w:after="0" w:line="360" w:lineRule="auto"/>
        <w:ind w:firstLine="709"/>
        <w:jc w:val="both"/>
        <w:rPr>
          <w:rFonts w:ascii="Times New Roman" w:hAnsi="Times New Roman" w:cs="Times New Roman"/>
          <w:sz w:val="28"/>
          <w:szCs w:val="28"/>
          <w:lang w:val="uk-UA"/>
        </w:rPr>
      </w:pPr>
      <w:r w:rsidRPr="00967F40">
        <w:rPr>
          <w:rFonts w:ascii="Times New Roman" w:hAnsi="Times New Roman" w:cs="Times New Roman"/>
          <w:sz w:val="28"/>
          <w:szCs w:val="28"/>
          <w:lang w:val="uk-UA"/>
        </w:rPr>
        <w:t xml:space="preserve">У </w:t>
      </w:r>
      <w:r>
        <w:rPr>
          <w:rFonts w:ascii="Times New Roman" w:hAnsi="Times New Roman" w:cs="Times New Roman"/>
          <w:sz w:val="28"/>
          <w:szCs w:val="28"/>
          <w:lang w:val="uk-UA"/>
        </w:rPr>
        <w:t>математичній статистиці,</w:t>
      </w:r>
      <w:r w:rsidRPr="00967F40">
        <w:rPr>
          <w:rFonts w:ascii="Times New Roman" w:hAnsi="Times New Roman" w:cs="Times New Roman"/>
          <w:sz w:val="28"/>
          <w:szCs w:val="28"/>
          <w:lang w:val="uk-UA"/>
        </w:rPr>
        <w:t xml:space="preserve"> регресійний аналіз являє собою набір статистичних процесів для </w:t>
      </w:r>
      <w:r>
        <w:rPr>
          <w:rFonts w:ascii="Times New Roman" w:hAnsi="Times New Roman" w:cs="Times New Roman"/>
          <w:sz w:val="28"/>
          <w:szCs w:val="28"/>
          <w:lang w:val="uk-UA"/>
        </w:rPr>
        <w:t>оцінки співвідношень між змінними</w:t>
      </w:r>
      <w:r w:rsidRPr="00967F40">
        <w:rPr>
          <w:rFonts w:ascii="Times New Roman" w:hAnsi="Times New Roman" w:cs="Times New Roman"/>
          <w:sz w:val="28"/>
          <w:szCs w:val="28"/>
          <w:lang w:val="uk-UA"/>
        </w:rPr>
        <w:t>. Вона включає в себе багато методів для моделювання та аналізу кількох змінних, коли фокус робиться на взаємозв'язку між залежною змінною та однією чи більше незалежними змінними (або "прогностичними"). Більш конкретно, регресійний аналіз допомагає зрозуміти, як змінюється типове значенн</w:t>
      </w:r>
      <w:r>
        <w:rPr>
          <w:rFonts w:ascii="Times New Roman" w:hAnsi="Times New Roman" w:cs="Times New Roman"/>
          <w:sz w:val="28"/>
          <w:szCs w:val="28"/>
          <w:lang w:val="uk-UA"/>
        </w:rPr>
        <w:t>я залежної змінної (або "змінного</w:t>
      </w:r>
      <w:r w:rsidRPr="00967F40">
        <w:rPr>
          <w:rFonts w:ascii="Times New Roman" w:hAnsi="Times New Roman" w:cs="Times New Roman"/>
          <w:sz w:val="28"/>
          <w:szCs w:val="28"/>
          <w:lang w:val="uk-UA"/>
        </w:rPr>
        <w:t xml:space="preserve"> критерію"), коли будь-яка з незалежних змінних змінюється, тоді як інші незалежні змінні фіксуються</w:t>
      </w:r>
      <w:r>
        <w:rPr>
          <w:rFonts w:ascii="Times New Roman" w:hAnsi="Times New Roman" w:cs="Times New Roman"/>
          <w:sz w:val="28"/>
          <w:szCs w:val="28"/>
          <w:lang w:val="uk-UA"/>
        </w:rPr>
        <w:t xml:space="preserve">. </w:t>
      </w:r>
      <w:r w:rsidRPr="00967F40">
        <w:rPr>
          <w:rFonts w:ascii="Times New Roman" w:hAnsi="Times New Roman" w:cs="Times New Roman"/>
          <w:sz w:val="28"/>
          <w:szCs w:val="28"/>
          <w:lang w:val="uk-UA"/>
        </w:rPr>
        <w:t>Регресійний аналіз широко використовується дл</w:t>
      </w:r>
      <w:r>
        <w:rPr>
          <w:rFonts w:ascii="Times New Roman" w:hAnsi="Times New Roman" w:cs="Times New Roman"/>
          <w:sz w:val="28"/>
          <w:szCs w:val="28"/>
          <w:lang w:val="uk-UA"/>
        </w:rPr>
        <w:t>я прогнозування</w:t>
      </w:r>
      <w:r w:rsidRPr="00967F40">
        <w:rPr>
          <w:rFonts w:ascii="Times New Roman" w:hAnsi="Times New Roman" w:cs="Times New Roman"/>
          <w:sz w:val="28"/>
          <w:szCs w:val="28"/>
          <w:lang w:val="uk-UA"/>
        </w:rPr>
        <w:t xml:space="preserve">. Аналіз регресії також використовується для того, щоб зрозуміти, які з незалежних змінних пов'язані із залежною змінною, а також досліджувати форми цих відносин. У </w:t>
      </w:r>
      <w:r w:rsidR="00870D97">
        <w:rPr>
          <w:rFonts w:ascii="Times New Roman" w:hAnsi="Times New Roman" w:cs="Times New Roman"/>
          <w:sz w:val="28"/>
          <w:szCs w:val="28"/>
          <w:lang w:val="uk-UA"/>
        </w:rPr>
        <w:t xml:space="preserve">певних </w:t>
      </w:r>
      <w:r w:rsidRPr="00967F40">
        <w:rPr>
          <w:rFonts w:ascii="Times New Roman" w:hAnsi="Times New Roman" w:cs="Times New Roman"/>
          <w:sz w:val="28"/>
          <w:szCs w:val="28"/>
          <w:lang w:val="uk-UA"/>
        </w:rPr>
        <w:t>умовах регресійний аналіз може бути використаний для виявлення причинних зв'язків між не</w:t>
      </w:r>
      <w:r>
        <w:rPr>
          <w:rFonts w:ascii="Times New Roman" w:hAnsi="Times New Roman" w:cs="Times New Roman"/>
          <w:sz w:val="28"/>
          <w:szCs w:val="28"/>
          <w:lang w:val="uk-UA"/>
        </w:rPr>
        <w:t xml:space="preserve">залежними та залежними змінами </w:t>
      </w:r>
      <w:r w:rsidRPr="00967F40">
        <w:rPr>
          <w:rFonts w:ascii="Times New Roman" w:hAnsi="Times New Roman" w:cs="Times New Roman"/>
          <w:sz w:val="28"/>
          <w:szCs w:val="28"/>
          <w:lang w:val="uk-UA"/>
        </w:rPr>
        <w:t>[</w:t>
      </w:r>
      <w:r w:rsidR="00F81F79">
        <w:rPr>
          <w:rFonts w:ascii="Times New Roman" w:hAnsi="Times New Roman" w:cs="Times New Roman"/>
          <w:sz w:val="28"/>
          <w:szCs w:val="28"/>
          <w:lang w:val="ru-RU"/>
        </w:rPr>
        <w:t>403</w:t>
      </w:r>
      <w:r w:rsidRPr="00967F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7D47DC8" w14:textId="3F869C67" w:rsidR="004E17B2" w:rsidRDefault="00870D97" w:rsidP="00C44F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був використаний регресійний аналіз для того, щоб дослідити, як змінюється ступінь запалення тканин пародонту при різних імунометаболічних параметрах у дітей з атопією та соматично здорових дітей, у тому числі при мінімальних клінічних проявах гінгівіту. </w:t>
      </w:r>
      <w:r w:rsidR="00B448E0">
        <w:rPr>
          <w:rFonts w:ascii="Times New Roman" w:hAnsi="Times New Roman" w:cs="Times New Roman"/>
          <w:sz w:val="28"/>
          <w:szCs w:val="28"/>
          <w:lang w:val="uk-UA"/>
        </w:rPr>
        <w:t>На сонові отриманих даних ми побудували рівняння лінійної регресії та визначили коефіцієнти детермінації, що дозволило оцінити адекватність побудованої моделі та можливість її використання для прогнозування.</w:t>
      </w:r>
    </w:p>
    <w:p w14:paraId="18ACFD85" w14:textId="1E2BA4FF" w:rsidR="00B448E0" w:rsidRPr="008954DB" w:rsidRDefault="00F204EA" w:rsidP="00C44FE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 результаті проведеного дослідження нами були побудовані прогностичні моделі. Критерієм адекватності прогностичної моделі є коефіцієнт детермінації. Регресійний аналіз показав, які з імунометаболічних показників можуть бути виокристані з прогностичною метою. Так, </w:t>
      </w:r>
      <w:r>
        <w:rPr>
          <w:rFonts w:ascii="Times New Roman" w:hAnsi="Times New Roman"/>
          <w:color w:val="222222"/>
          <w:sz w:val="28"/>
          <w:szCs w:val="28"/>
          <w:lang w:val="uk-UA"/>
        </w:rPr>
        <w:t>побудована залежність показників імуноглобуліна А (</w:t>
      </w:r>
      <w:r>
        <w:rPr>
          <w:rFonts w:ascii="Times New Roman" w:hAnsi="Times New Roman"/>
          <w:color w:val="222222"/>
          <w:sz w:val="28"/>
          <w:szCs w:val="28"/>
        </w:rPr>
        <w:t>Y</w:t>
      </w:r>
      <w:r>
        <w:rPr>
          <w:rFonts w:ascii="Times New Roman" w:hAnsi="Times New Roman"/>
          <w:color w:val="222222"/>
          <w:sz w:val="28"/>
          <w:szCs w:val="28"/>
          <w:lang w:val="uk-UA"/>
        </w:rPr>
        <w:t>) від рівня запалення згідно з індексом РМА</w:t>
      </w:r>
      <w:r w:rsidRPr="008B77CB">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змінна </w:t>
      </w:r>
      <w:r>
        <w:rPr>
          <w:rFonts w:ascii="Times New Roman" w:hAnsi="Times New Roman"/>
          <w:color w:val="222222"/>
          <w:sz w:val="28"/>
          <w:szCs w:val="28"/>
        </w:rPr>
        <w:t>X</w:t>
      </w:r>
      <w:r w:rsidRPr="008B77CB">
        <w:rPr>
          <w:rFonts w:ascii="Times New Roman" w:hAnsi="Times New Roman"/>
          <w:color w:val="222222"/>
          <w:sz w:val="28"/>
          <w:szCs w:val="28"/>
          <w:lang w:val="uk-UA"/>
        </w:rPr>
        <w:t>)</w:t>
      </w:r>
      <w:r>
        <w:rPr>
          <w:rFonts w:ascii="Times New Roman" w:hAnsi="Times New Roman"/>
          <w:color w:val="222222"/>
          <w:sz w:val="28"/>
          <w:szCs w:val="28"/>
          <w:lang w:val="uk-UA"/>
        </w:rPr>
        <w:t xml:space="preserve"> у вигляді лінійної регресії</w:t>
      </w:r>
      <w:r w:rsidR="00BF2BC4">
        <w:rPr>
          <w:rFonts w:ascii="Times New Roman" w:hAnsi="Times New Roman"/>
          <w:color w:val="222222"/>
          <w:sz w:val="28"/>
          <w:szCs w:val="28"/>
          <w:lang w:val="uk-UA"/>
        </w:rPr>
        <w:t xml:space="preserve"> у групі дітей з атопічними захворюваннями без клінічних ознак гінгівіту</w:t>
      </w:r>
      <w:r>
        <w:rPr>
          <w:rFonts w:ascii="Times New Roman" w:hAnsi="Times New Roman"/>
          <w:color w:val="222222"/>
          <w:sz w:val="28"/>
          <w:szCs w:val="28"/>
          <w:lang w:val="uk-UA"/>
        </w:rPr>
        <w:t>. Визначені коефіцієнти лінійної регресії мінус 1,63 та 10,85. Для оцінки загальної якості отриманого рівняння лінійної регресії був застосований коефіцієнт детермінації. Отримане  в результаті значення 0,76 означає, що 76 % змінюваності імуноглобуліну А</w:t>
      </w:r>
      <w:r w:rsidRPr="00B354AE">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пов’язується зі змінюваністю індексу РМА. Інша частина змінюваності </w:t>
      </w:r>
      <w:r>
        <w:rPr>
          <w:rFonts w:ascii="Times New Roman" w:hAnsi="Times New Roman"/>
          <w:color w:val="222222"/>
          <w:sz w:val="28"/>
          <w:szCs w:val="28"/>
        </w:rPr>
        <w:t>Y</w:t>
      </w:r>
      <w:r>
        <w:rPr>
          <w:rFonts w:ascii="Times New Roman" w:hAnsi="Times New Roman"/>
          <w:color w:val="222222"/>
          <w:sz w:val="28"/>
          <w:szCs w:val="28"/>
          <w:lang w:val="uk-UA"/>
        </w:rPr>
        <w:t xml:space="preserve"> (24 %)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9141C4">
        <w:rPr>
          <w:rFonts w:ascii="Times New Roman" w:hAnsi="Times New Roman"/>
          <w:color w:val="222222"/>
          <w:sz w:val="28"/>
          <w:szCs w:val="28"/>
          <w:lang w:val="uk-UA"/>
        </w:rPr>
        <w:t>прогностичні</w:t>
      </w:r>
      <w:r>
        <w:rPr>
          <w:rFonts w:ascii="Times New Roman" w:hAnsi="Times New Roman"/>
          <w:color w:val="222222"/>
          <w:sz w:val="28"/>
          <w:szCs w:val="28"/>
          <w:lang w:val="uk-UA"/>
        </w:rPr>
        <w:t xml:space="preserve"> значення мають необхідну адекватніс</w:t>
      </w:r>
      <w:r w:rsidRPr="008954DB">
        <w:rPr>
          <w:rFonts w:ascii="Times New Roman" w:hAnsi="Times New Roman"/>
          <w:sz w:val="28"/>
          <w:szCs w:val="28"/>
          <w:lang w:val="uk-UA"/>
        </w:rPr>
        <w:t>ть та імуноглобулін А може бути використаний в якості прогностичного біомаркеру запалення тканин пародонту.</w:t>
      </w:r>
      <w:r w:rsidR="00B42C15" w:rsidRPr="008954DB">
        <w:rPr>
          <w:rFonts w:ascii="Times New Roman" w:hAnsi="Times New Roman"/>
          <w:sz w:val="28"/>
          <w:szCs w:val="28"/>
          <w:lang w:val="uk-UA"/>
        </w:rPr>
        <w:t xml:space="preserve"> Аналіз цих же показників у динаміці через шість та дванадцять місяців підтвердив встановлений взаємозв’язок між ступенем запалення та рівнем імуноглобуліну А</w:t>
      </w:r>
      <w:r w:rsidR="00BF2BC4" w:rsidRPr="008954DB">
        <w:rPr>
          <w:rFonts w:ascii="Times New Roman" w:hAnsi="Times New Roman"/>
          <w:sz w:val="28"/>
          <w:szCs w:val="28"/>
          <w:lang w:val="uk-UA"/>
        </w:rPr>
        <w:t xml:space="preserve">, оскільки коефіцієнт детермінації дорівнював 0,92, що підтверджує вплив імунного дисбалансу на стан тканин пародонту у дітей з атопічними захворюваннями. </w:t>
      </w:r>
    </w:p>
    <w:p w14:paraId="46784633" w14:textId="58326BCF" w:rsidR="00BF2BC4" w:rsidRPr="008954DB" w:rsidRDefault="007E5E0A" w:rsidP="00287E52">
      <w:pPr>
        <w:spacing w:line="360" w:lineRule="auto"/>
        <w:ind w:firstLine="709"/>
        <w:jc w:val="both"/>
        <w:rPr>
          <w:rFonts w:ascii="Times New Roman" w:hAnsi="Times New Roman"/>
          <w:sz w:val="28"/>
          <w:szCs w:val="28"/>
          <w:lang w:val="uk-UA"/>
        </w:rPr>
      </w:pPr>
      <w:r w:rsidRPr="008954DB">
        <w:rPr>
          <w:rFonts w:ascii="Times New Roman" w:hAnsi="Times New Roman"/>
          <w:sz w:val="28"/>
          <w:szCs w:val="28"/>
          <w:lang w:val="uk-UA"/>
        </w:rPr>
        <w:t xml:space="preserve">Так само ми проаналізували </w:t>
      </w:r>
      <w:r w:rsidR="00B04EF5" w:rsidRPr="008954DB">
        <w:rPr>
          <w:rFonts w:ascii="Times New Roman" w:hAnsi="Times New Roman"/>
          <w:sz w:val="28"/>
          <w:szCs w:val="28"/>
          <w:lang w:val="uk-UA"/>
        </w:rPr>
        <w:t xml:space="preserve">залежність ступеню запалення у групі дітей з вираженими </w:t>
      </w:r>
      <w:r w:rsidR="00287E52" w:rsidRPr="008954DB">
        <w:rPr>
          <w:rFonts w:ascii="Times New Roman" w:hAnsi="Times New Roman"/>
          <w:sz w:val="28"/>
          <w:szCs w:val="28"/>
          <w:lang w:val="uk-UA"/>
        </w:rPr>
        <w:t>проявами гінгівіту від рівню імуноглобуліну А. Нами д</w:t>
      </w:r>
      <w:r w:rsidRPr="008954DB">
        <w:rPr>
          <w:rFonts w:ascii="Times New Roman" w:hAnsi="Times New Roman"/>
          <w:sz w:val="28"/>
          <w:szCs w:val="28"/>
          <w:lang w:val="uk-UA"/>
        </w:rPr>
        <w:t>оведено, що 88 % змінюваності рівня імуноглобуліну А залежить від ступеню запалення ясен за індексом РМА. Оскільки в обох дос</w:t>
      </w:r>
      <w:r w:rsidR="00287E52" w:rsidRPr="008954DB">
        <w:rPr>
          <w:rFonts w:ascii="Times New Roman" w:hAnsi="Times New Roman"/>
          <w:sz w:val="28"/>
          <w:szCs w:val="28"/>
          <w:lang w:val="uk-UA"/>
        </w:rPr>
        <w:t>лідних групах</w:t>
      </w:r>
      <w:r w:rsidRPr="008954DB">
        <w:rPr>
          <w:rFonts w:ascii="Times New Roman" w:hAnsi="Times New Roman"/>
          <w:sz w:val="28"/>
          <w:szCs w:val="28"/>
          <w:lang w:val="uk-UA"/>
        </w:rPr>
        <w:t xml:space="preserve">, незалежно від вираженості клінічних ознак гінгівіту, визначена залежність ступеню запалення ясен згідно з індексом РМА від рівня імуноглобуліну А, визначеного у ротовій рідині, коефіцієнт детермінації та коефіцієнт множинної кореляції </w:t>
      </w:r>
      <w:r w:rsidRPr="008954DB">
        <w:rPr>
          <w:rFonts w:ascii="Times New Roman" w:hAnsi="Times New Roman"/>
          <w:sz w:val="28"/>
          <w:szCs w:val="28"/>
        </w:rPr>
        <w:t>R</w:t>
      </w:r>
      <w:r w:rsidRPr="008954DB">
        <w:rPr>
          <w:rFonts w:ascii="Times New Roman" w:hAnsi="Times New Roman"/>
          <w:sz w:val="28"/>
          <w:szCs w:val="28"/>
          <w:lang w:val="uk-UA"/>
        </w:rPr>
        <w:t xml:space="preserve"> суттєво не відрізняються між групами, отже, використання рівня імуноглобуліну А можна використовувати як неінвазивний</w:t>
      </w:r>
      <w:r w:rsidR="00287E52" w:rsidRPr="008954DB">
        <w:rPr>
          <w:rFonts w:ascii="Times New Roman" w:hAnsi="Times New Roman"/>
          <w:sz w:val="28"/>
          <w:szCs w:val="28"/>
          <w:lang w:val="uk-UA"/>
        </w:rPr>
        <w:t xml:space="preserve"> біомаркер запалення тканин пародонту.</w:t>
      </w:r>
    </w:p>
    <w:p w14:paraId="4ABF4DB6" w14:textId="77777777" w:rsidR="00287E52" w:rsidRPr="008954DB" w:rsidRDefault="00287E52" w:rsidP="00287E52">
      <w:pPr>
        <w:spacing w:line="360" w:lineRule="auto"/>
        <w:ind w:firstLine="709"/>
        <w:jc w:val="both"/>
        <w:rPr>
          <w:rFonts w:ascii="Times New Roman" w:hAnsi="Times New Roman"/>
          <w:sz w:val="28"/>
          <w:szCs w:val="28"/>
          <w:lang w:val="uk-UA"/>
        </w:rPr>
      </w:pPr>
      <w:r w:rsidRPr="008954DB">
        <w:rPr>
          <w:rFonts w:ascii="Times New Roman" w:hAnsi="Times New Roman"/>
          <w:sz w:val="28"/>
          <w:szCs w:val="28"/>
          <w:lang w:val="uk-UA"/>
        </w:rPr>
        <w:t xml:space="preserve">Ще одним з показників стану імунної системи є рівень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Для проведення регресійного аналізу були оброблені дані першої групи пацієнтів, серед яких був діагностований хронічний гінгівіт та атопічні захворювання. Згідно з отриманими даними середній рівень кровоточивості ясен дорівнював 3.42±0.42 балам, що свідчить про доволі високий рівень кровоточивості та відповідно про наявність процесів запалення у тканинах пародонту. Середній рівень </w:t>
      </w:r>
      <w:r w:rsidRPr="008954DB">
        <w:rPr>
          <w:rFonts w:ascii="Times New Roman" w:hAnsi="Times New Roman"/>
          <w:sz w:val="28"/>
          <w:szCs w:val="28"/>
        </w:rPr>
        <w:t>IgG</w:t>
      </w:r>
      <w:r w:rsidRPr="008954DB">
        <w:rPr>
          <w:rFonts w:ascii="Times New Roman" w:hAnsi="Times New Roman"/>
          <w:sz w:val="28"/>
          <w:szCs w:val="28"/>
          <w:lang w:val="uk-UA"/>
        </w:rPr>
        <w:t xml:space="preserve"> дорівнював 1.72 </w:t>
      </w:r>
      <w:r w:rsidRPr="008954DB">
        <w:rPr>
          <w:rFonts w:ascii="Times New Roman" w:hAnsi="Times New Roman" w:cs="Times New Roman"/>
          <w:sz w:val="28"/>
          <w:szCs w:val="28"/>
          <w:lang w:val="uk-UA"/>
        </w:rPr>
        <w:t xml:space="preserve">± </w:t>
      </w:r>
      <w:r w:rsidRPr="008954DB">
        <w:rPr>
          <w:rFonts w:ascii="Times New Roman" w:hAnsi="Times New Roman"/>
          <w:sz w:val="28"/>
          <w:szCs w:val="28"/>
          <w:lang w:val="uk-UA"/>
        </w:rPr>
        <w:t xml:space="preserve">0.49 г/л. Коефіцієнт детермінації </w:t>
      </w:r>
      <w:r w:rsidRPr="008954DB">
        <w:rPr>
          <w:rFonts w:ascii="Times New Roman" w:hAnsi="Times New Roman"/>
          <w:sz w:val="28"/>
          <w:szCs w:val="28"/>
        </w:rPr>
        <w:t>R</w:t>
      </w:r>
      <w:r w:rsidRPr="008954DB">
        <w:rPr>
          <w:rFonts w:ascii="Times New Roman" w:hAnsi="Times New Roman"/>
          <w:sz w:val="28"/>
          <w:szCs w:val="28"/>
          <w:lang w:val="uk-UA"/>
        </w:rPr>
        <w:t xml:space="preserve">-квадрат дорівнював 0,82, що робить можливим використання результатів регресійного аналізу та прогнозу за допомогою рівняння регресії. Визначені коефіцієнти лінійної регресії мінус 0,32 та 0,98, що доводить зворотню залежність рівню запалення тканин пародонту та рівню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Отже, рівень імуноглобуліну </w:t>
      </w:r>
      <w:r w:rsidRPr="008954DB">
        <w:rPr>
          <w:rFonts w:ascii="Times New Roman" w:hAnsi="Times New Roman"/>
          <w:sz w:val="28"/>
          <w:szCs w:val="28"/>
        </w:rPr>
        <w:t>G</w:t>
      </w:r>
      <w:r w:rsidRPr="008954DB">
        <w:rPr>
          <w:rFonts w:ascii="Times New Roman" w:hAnsi="Times New Roman"/>
          <w:sz w:val="28"/>
          <w:szCs w:val="28"/>
          <w:lang w:val="uk-UA"/>
        </w:rPr>
        <w:t xml:space="preserve"> є інформативним при ранній неінвазивній діагностиці захворювань тканин пародонту.</w:t>
      </w:r>
    </w:p>
    <w:p w14:paraId="15938A6E" w14:textId="1CEFFCF1" w:rsidR="00287E52" w:rsidRPr="008954DB" w:rsidRDefault="00287E52" w:rsidP="008954DB">
      <w:pPr>
        <w:spacing w:line="360" w:lineRule="auto"/>
        <w:ind w:firstLine="709"/>
        <w:jc w:val="both"/>
        <w:rPr>
          <w:rFonts w:ascii="Times New Roman" w:hAnsi="Times New Roman" w:cs="Times New Roman"/>
          <w:sz w:val="28"/>
          <w:szCs w:val="28"/>
          <w:lang w:val="uk-UA"/>
        </w:rPr>
      </w:pPr>
      <w:r w:rsidRPr="008954DB">
        <w:rPr>
          <w:rFonts w:ascii="Times New Roman" w:hAnsi="Times New Roman"/>
          <w:sz w:val="28"/>
          <w:szCs w:val="28"/>
          <w:lang w:val="uk-UA"/>
        </w:rPr>
        <w:t xml:space="preserve">Аналіз даних регресійного аналізу залежності ступеню запалення тканин пародонту від рівню імуноглобуліну М показав низький ступінь достовірності </w:t>
      </w:r>
      <w:r w:rsidR="009141C4">
        <w:rPr>
          <w:rFonts w:ascii="Times New Roman" w:hAnsi="Times New Roman"/>
          <w:sz w:val="28"/>
          <w:szCs w:val="28"/>
          <w:lang w:val="uk-UA"/>
        </w:rPr>
        <w:t>прогностичних</w:t>
      </w:r>
      <w:r w:rsidRPr="008954DB">
        <w:rPr>
          <w:rFonts w:ascii="Times New Roman" w:hAnsi="Times New Roman"/>
          <w:sz w:val="28"/>
          <w:szCs w:val="28"/>
          <w:lang w:val="uk-UA"/>
        </w:rPr>
        <w:t xml:space="preserve"> значень даного імуноглобуліну. Коефіцієнт детермінації </w:t>
      </w:r>
      <w:r w:rsidRPr="008954DB">
        <w:rPr>
          <w:rFonts w:ascii="Times New Roman" w:hAnsi="Times New Roman"/>
          <w:sz w:val="28"/>
          <w:szCs w:val="28"/>
        </w:rPr>
        <w:t>R</w:t>
      </w:r>
      <w:r w:rsidRPr="008954DB">
        <w:rPr>
          <w:rFonts w:ascii="Times New Roman" w:hAnsi="Times New Roman"/>
          <w:sz w:val="28"/>
          <w:szCs w:val="28"/>
          <w:lang w:val="uk-UA"/>
        </w:rPr>
        <w:t xml:space="preserve">-квадрат дорівнював 0,69, що ставить під сумнів можливість використання результатів регресійного аналізу та побудови рівняння лінійної регресії. </w:t>
      </w:r>
      <w:r w:rsidR="008954DB" w:rsidRPr="008954DB">
        <w:rPr>
          <w:rFonts w:ascii="Times New Roman" w:hAnsi="Times New Roman" w:cs="Times New Roman"/>
          <w:sz w:val="28"/>
          <w:szCs w:val="28"/>
          <w:lang w:val="uk-UA"/>
        </w:rPr>
        <w:t xml:space="preserve">Доволі високі значення </w:t>
      </w:r>
      <w:r w:rsidR="008954DB" w:rsidRPr="008954DB">
        <w:rPr>
          <w:rFonts w:ascii="Times New Roman" w:hAnsi="Times New Roman" w:cs="Times New Roman"/>
          <w:sz w:val="28"/>
          <w:szCs w:val="28"/>
        </w:rPr>
        <w:t>F</w:t>
      </w:r>
      <w:r w:rsidR="008954DB" w:rsidRPr="008954DB">
        <w:rPr>
          <w:rFonts w:ascii="Times New Roman" w:hAnsi="Times New Roman" w:cs="Times New Roman"/>
          <w:sz w:val="28"/>
          <w:szCs w:val="28"/>
          <w:lang w:val="uk-UA"/>
        </w:rPr>
        <w:t xml:space="preserve"> критерію Фішера підтверджують доволі високу вірогідність неправильного прогнозу ступеню запалення ясен на основі використання з метою прогнозу значень імуноглобуліну М. </w:t>
      </w:r>
      <w:r w:rsidRPr="008954DB">
        <w:rPr>
          <w:rFonts w:ascii="Times New Roman" w:hAnsi="Times New Roman"/>
          <w:sz w:val="28"/>
          <w:szCs w:val="28"/>
          <w:lang w:val="uk-UA"/>
        </w:rPr>
        <w:t>Отже, імуноглобулін М не може бути рекомендований як інструмент ранньої діагностики запальних процесів у тканинах пародонту.</w:t>
      </w:r>
    </w:p>
    <w:p w14:paraId="4A9C4F71" w14:textId="4435138B" w:rsidR="00287E52" w:rsidRDefault="008954DB" w:rsidP="00287E52">
      <w:pPr>
        <w:spacing w:line="360" w:lineRule="auto"/>
        <w:ind w:firstLine="709"/>
        <w:jc w:val="both"/>
        <w:rPr>
          <w:rFonts w:ascii="Times New Roman" w:hAnsi="Times New Roman" w:cs="Times New Roman"/>
          <w:sz w:val="28"/>
          <w:szCs w:val="28"/>
          <w:lang w:val="uk-UA"/>
        </w:rPr>
      </w:pPr>
      <w:r w:rsidRPr="008954DB">
        <w:rPr>
          <w:rFonts w:ascii="Times New Roman" w:hAnsi="Times New Roman"/>
          <w:sz w:val="28"/>
          <w:szCs w:val="28"/>
          <w:lang w:val="uk-UA"/>
        </w:rPr>
        <w:t xml:space="preserve">Оскільки імунний статус та стан мукозального імунітету був проаналізований нами комплексно, рівень лізоциму також був врахований при проведенні регресійного аналізу. </w:t>
      </w:r>
      <w:r w:rsidRPr="008954DB">
        <w:rPr>
          <w:rFonts w:ascii="Times New Roman" w:hAnsi="Times New Roman" w:cs="Times New Roman"/>
          <w:sz w:val="28"/>
          <w:szCs w:val="28"/>
          <w:lang w:val="uk-UA"/>
        </w:rPr>
        <w:t xml:space="preserve">Можливість побудови прогностичної моделі була визначеня за допомогою коефіцієнта детермінації, точність даного прогнозу визначена за допомогою </w:t>
      </w:r>
      <w:r w:rsidRPr="008954DB">
        <w:rPr>
          <w:rFonts w:ascii="Times New Roman" w:hAnsi="Times New Roman" w:cs="Times New Roman"/>
          <w:sz w:val="28"/>
          <w:szCs w:val="28"/>
        </w:rPr>
        <w:t>F</w:t>
      </w:r>
      <w:r w:rsidRPr="008954DB">
        <w:rPr>
          <w:rFonts w:ascii="Times New Roman" w:hAnsi="Times New Roman" w:cs="Times New Roman"/>
          <w:sz w:val="28"/>
          <w:szCs w:val="28"/>
          <w:lang w:val="uk-UA"/>
        </w:rPr>
        <w:t>-критерію та Р-значення.</w:t>
      </w:r>
      <w:r>
        <w:rPr>
          <w:rFonts w:ascii="Times New Roman" w:hAnsi="Times New Roman" w:cs="Times New Roman"/>
          <w:sz w:val="28"/>
          <w:szCs w:val="28"/>
          <w:lang w:val="uk-UA"/>
        </w:rPr>
        <w:t xml:space="preserve"> Був визначений коефіцієнт детермінації, який дорівнював 0.48, що представляє слабку вираженість залежності між рівнем лізоциму та індексом РМА. Аналіз параметрів, таких як </w:t>
      </w:r>
      <w:r>
        <w:rPr>
          <w:rFonts w:ascii="Times New Roman" w:hAnsi="Times New Roman" w:cs="Times New Roman"/>
          <w:sz w:val="28"/>
          <w:szCs w:val="28"/>
        </w:rPr>
        <w:t>F</w:t>
      </w:r>
      <w:r w:rsidRPr="00687EB8">
        <w:rPr>
          <w:rFonts w:ascii="Times New Roman" w:hAnsi="Times New Roman" w:cs="Times New Roman"/>
          <w:sz w:val="28"/>
          <w:szCs w:val="28"/>
          <w:lang w:val="ru-RU"/>
        </w:rPr>
        <w:t>-</w:t>
      </w:r>
      <w:r>
        <w:rPr>
          <w:rFonts w:ascii="Times New Roman" w:hAnsi="Times New Roman" w:cs="Times New Roman"/>
          <w:sz w:val="28"/>
          <w:szCs w:val="28"/>
          <w:lang w:val="uk-UA"/>
        </w:rPr>
        <w:t>значимість та Р-значення, показав низьку інформативність значень лізоциму як діагностичного та прогностичного інструменту запалень тканин пародонту.</w:t>
      </w:r>
    </w:p>
    <w:p w14:paraId="433B8F44" w14:textId="521F33A0" w:rsidR="008954DB" w:rsidRDefault="00CB2795" w:rsidP="00287E52">
      <w:pPr>
        <w:spacing w:line="360" w:lineRule="auto"/>
        <w:ind w:firstLine="709"/>
        <w:jc w:val="both"/>
        <w:rPr>
          <w:rFonts w:ascii="Times New Roman" w:hAnsi="Times New Roman"/>
          <w:sz w:val="28"/>
          <w:szCs w:val="28"/>
          <w:lang w:val="uk-UA"/>
        </w:rPr>
      </w:pPr>
      <w:r w:rsidRPr="00CB2795">
        <w:rPr>
          <w:rFonts w:ascii="Times New Roman" w:hAnsi="Times New Roman"/>
          <w:sz w:val="28"/>
          <w:szCs w:val="28"/>
          <w:lang w:val="uk-UA"/>
        </w:rPr>
        <w:t xml:space="preserve">Дослідження з оцінкою вмісту імуноглобулінів в сироватці крові або </w:t>
      </w:r>
      <w:r>
        <w:rPr>
          <w:rFonts w:ascii="Times New Roman" w:hAnsi="Times New Roman"/>
          <w:sz w:val="28"/>
          <w:szCs w:val="28"/>
          <w:lang w:val="uk-UA"/>
        </w:rPr>
        <w:t>ротовій рідині</w:t>
      </w:r>
      <w:r w:rsidRPr="00CB2795">
        <w:rPr>
          <w:rFonts w:ascii="Times New Roman" w:hAnsi="Times New Roman"/>
          <w:sz w:val="28"/>
          <w:szCs w:val="28"/>
          <w:lang w:val="uk-UA"/>
        </w:rPr>
        <w:t xml:space="preserve"> </w:t>
      </w:r>
      <w:r>
        <w:rPr>
          <w:rFonts w:ascii="Times New Roman" w:hAnsi="Times New Roman"/>
          <w:sz w:val="28"/>
          <w:szCs w:val="28"/>
          <w:lang w:val="uk-UA"/>
        </w:rPr>
        <w:t>представляють</w:t>
      </w:r>
      <w:r w:rsidRPr="00CB2795">
        <w:rPr>
          <w:rFonts w:ascii="Times New Roman" w:hAnsi="Times New Roman"/>
          <w:sz w:val="28"/>
          <w:szCs w:val="28"/>
          <w:lang w:val="uk-UA"/>
        </w:rPr>
        <w:t xml:space="preserve"> різні результати. Деякі дослідження показали збільшення IgG, IgA і IgM в сироватці кр</w:t>
      </w:r>
      <w:r>
        <w:rPr>
          <w:rFonts w:ascii="Times New Roman" w:hAnsi="Times New Roman"/>
          <w:sz w:val="28"/>
          <w:szCs w:val="28"/>
          <w:lang w:val="uk-UA"/>
        </w:rPr>
        <w:t>ові у хворих на пародонтит</w:t>
      </w:r>
      <w:r w:rsidRPr="00CB2795">
        <w:rPr>
          <w:rFonts w:ascii="Times New Roman" w:hAnsi="Times New Roman"/>
          <w:sz w:val="28"/>
          <w:szCs w:val="28"/>
          <w:lang w:val="uk-UA"/>
        </w:rPr>
        <w:t xml:space="preserve">, в той час як інші не показали суттєвих відмінностей в рівнях </w:t>
      </w:r>
      <w:r>
        <w:rPr>
          <w:rFonts w:ascii="Times New Roman" w:hAnsi="Times New Roman"/>
          <w:sz w:val="28"/>
          <w:szCs w:val="28"/>
          <w:lang w:val="uk-UA"/>
        </w:rPr>
        <w:t>імуноглобулінів</w:t>
      </w:r>
      <w:r w:rsidRPr="00CB2795">
        <w:rPr>
          <w:rFonts w:ascii="Times New Roman" w:hAnsi="Times New Roman"/>
          <w:sz w:val="28"/>
          <w:szCs w:val="28"/>
          <w:lang w:val="uk-UA"/>
        </w:rPr>
        <w:t xml:space="preserve"> між пацієнтами </w:t>
      </w:r>
      <w:r>
        <w:rPr>
          <w:rFonts w:ascii="Times New Roman" w:hAnsi="Times New Roman"/>
          <w:sz w:val="28"/>
          <w:szCs w:val="28"/>
          <w:lang w:val="uk-UA"/>
        </w:rPr>
        <w:t>з пародонтитом та здоровими особами [</w:t>
      </w:r>
      <w:r w:rsidR="004B75FC">
        <w:rPr>
          <w:rFonts w:ascii="Times New Roman" w:hAnsi="Times New Roman"/>
          <w:sz w:val="28"/>
          <w:szCs w:val="28"/>
          <w:lang w:val="uk-UA"/>
        </w:rPr>
        <w:t>373</w:t>
      </w:r>
      <w:r w:rsidRPr="00CB2795">
        <w:rPr>
          <w:rFonts w:ascii="Times New Roman" w:hAnsi="Times New Roman"/>
          <w:sz w:val="28"/>
          <w:szCs w:val="28"/>
          <w:lang w:val="uk-UA"/>
        </w:rPr>
        <w:t xml:space="preserve">]. </w:t>
      </w:r>
      <w:r>
        <w:rPr>
          <w:rFonts w:ascii="Times New Roman" w:hAnsi="Times New Roman"/>
          <w:sz w:val="28"/>
          <w:szCs w:val="28"/>
          <w:lang w:val="uk-UA"/>
        </w:rPr>
        <w:t>Аналіз літературних даних щодо залежності ступеню запалення тканин пародонту від рівнів імуноглобулінів у більшості доводить наявність кореляційного взаємозв</w:t>
      </w:r>
      <w:r w:rsidRPr="00CB2795">
        <w:rPr>
          <w:rFonts w:ascii="Times New Roman" w:hAnsi="Times New Roman"/>
          <w:sz w:val="28"/>
          <w:szCs w:val="28"/>
          <w:lang w:val="uk-UA"/>
        </w:rPr>
        <w:t>’</w:t>
      </w:r>
      <w:r>
        <w:rPr>
          <w:rFonts w:ascii="Times New Roman" w:hAnsi="Times New Roman"/>
          <w:sz w:val="28"/>
          <w:szCs w:val="28"/>
          <w:lang w:val="uk-UA"/>
        </w:rPr>
        <w:t>язку, хоча й виявляються дослідження, які говорять про зворотнє. Але переважна кількість до</w:t>
      </w:r>
      <w:r w:rsidR="003F2DC3">
        <w:rPr>
          <w:rFonts w:ascii="Times New Roman" w:hAnsi="Times New Roman"/>
          <w:sz w:val="28"/>
          <w:szCs w:val="28"/>
          <w:lang w:val="uk-UA"/>
        </w:rPr>
        <w:t xml:space="preserve">сліджень підтверджують вплив імунного статусу на стан тканин пародонту та підкреслюють важливість імунного компоненту у етіології та патогенезі захворювань пародонту </w:t>
      </w:r>
      <w:r w:rsidR="003F2DC3" w:rsidRPr="003F2DC3">
        <w:rPr>
          <w:rFonts w:ascii="Times New Roman" w:hAnsi="Times New Roman"/>
          <w:sz w:val="28"/>
          <w:szCs w:val="28"/>
          <w:lang w:val="uk-UA"/>
        </w:rPr>
        <w:t>[</w:t>
      </w:r>
      <w:r w:rsidR="00F81F79">
        <w:rPr>
          <w:rFonts w:ascii="Times New Roman" w:hAnsi="Times New Roman"/>
          <w:sz w:val="28"/>
          <w:szCs w:val="28"/>
          <w:lang w:val="uk-UA"/>
        </w:rPr>
        <w:t>406-408</w:t>
      </w:r>
      <w:r w:rsidR="003F2DC3" w:rsidRPr="003F2DC3">
        <w:rPr>
          <w:rFonts w:ascii="Times New Roman" w:hAnsi="Times New Roman"/>
          <w:sz w:val="28"/>
          <w:szCs w:val="28"/>
          <w:lang w:val="uk-UA"/>
        </w:rPr>
        <w:t>]</w:t>
      </w:r>
      <w:r w:rsidR="003F2DC3">
        <w:rPr>
          <w:rFonts w:ascii="Times New Roman" w:hAnsi="Times New Roman"/>
          <w:sz w:val="28"/>
          <w:szCs w:val="28"/>
          <w:lang w:val="uk-UA"/>
        </w:rPr>
        <w:t xml:space="preserve">. Проте фундаментальних досліджень, які на основі отриманих клініко-лабораторних даних оцінили та запропонували </w:t>
      </w:r>
      <w:r w:rsidR="009141C4">
        <w:rPr>
          <w:rFonts w:ascii="Times New Roman" w:hAnsi="Times New Roman"/>
          <w:sz w:val="28"/>
          <w:szCs w:val="28"/>
          <w:lang w:val="uk-UA"/>
        </w:rPr>
        <w:t>прогностичні</w:t>
      </w:r>
      <w:r w:rsidR="003F2DC3">
        <w:rPr>
          <w:rFonts w:ascii="Times New Roman" w:hAnsi="Times New Roman"/>
          <w:sz w:val="28"/>
          <w:szCs w:val="28"/>
          <w:lang w:val="uk-UA"/>
        </w:rPr>
        <w:t xml:space="preserve"> значення для визначення ступеню запалення тканин пародонту, у літературі майже не представлені </w:t>
      </w:r>
      <w:r w:rsidR="003F2DC3" w:rsidRPr="0007335E">
        <w:rPr>
          <w:rFonts w:ascii="Times New Roman" w:hAnsi="Times New Roman"/>
          <w:sz w:val="28"/>
          <w:szCs w:val="28"/>
          <w:lang w:val="uk-UA"/>
        </w:rPr>
        <w:t>[</w:t>
      </w:r>
      <w:r w:rsidR="00F81F79">
        <w:rPr>
          <w:rFonts w:ascii="Times New Roman" w:hAnsi="Times New Roman"/>
          <w:sz w:val="28"/>
          <w:szCs w:val="28"/>
          <w:lang w:val="ru-RU"/>
        </w:rPr>
        <w:t>409-410</w:t>
      </w:r>
      <w:r w:rsidR="003F2DC3" w:rsidRPr="004B75FC">
        <w:rPr>
          <w:rFonts w:ascii="Times New Roman" w:hAnsi="Times New Roman"/>
          <w:sz w:val="28"/>
          <w:szCs w:val="28"/>
          <w:lang w:val="ru-RU"/>
        </w:rPr>
        <w:t>]</w:t>
      </w:r>
      <w:r w:rsidR="003F2DC3">
        <w:rPr>
          <w:rFonts w:ascii="Times New Roman" w:hAnsi="Times New Roman"/>
          <w:sz w:val="28"/>
          <w:szCs w:val="28"/>
          <w:lang w:val="uk-UA"/>
        </w:rPr>
        <w:t xml:space="preserve">. </w:t>
      </w:r>
    </w:p>
    <w:p w14:paraId="324D7C78" w14:textId="77777777" w:rsidR="0007335E" w:rsidRDefault="0007335E" w:rsidP="000733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визначення найвагоміших біомаркерів запалення, які могли би бути інформативними для ранньої діагностики запальних захворювань пародонту та контролю їх лікування, нами був проведений регресійний аналіз клінічних даних та даних, що характеризують антиоксидантний статус дітей, хворих на атопічні захворювання та соматично здорових дітей. </w:t>
      </w:r>
    </w:p>
    <w:p w14:paraId="16231604" w14:textId="6977510B" w:rsidR="003F2DC3" w:rsidRPr="00CB2795" w:rsidRDefault="0007335E" w:rsidP="0007335E">
      <w:pPr>
        <w:spacing w:after="0" w:line="360" w:lineRule="auto"/>
        <w:ind w:firstLine="709"/>
        <w:jc w:val="both"/>
        <w:rPr>
          <w:rFonts w:ascii="Times New Roman" w:hAnsi="Times New Roman"/>
          <w:sz w:val="28"/>
          <w:szCs w:val="28"/>
          <w:lang w:val="uk-UA"/>
        </w:rPr>
      </w:pPr>
      <w:r w:rsidRPr="00963B98">
        <w:rPr>
          <w:rFonts w:ascii="Times New Roman" w:hAnsi="Times New Roman" w:cs="Times New Roman"/>
          <w:sz w:val="28"/>
          <w:szCs w:val="28"/>
          <w:lang w:val="uk-UA"/>
        </w:rPr>
        <w:t xml:space="preserve">Для оцінки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індексом SBI та рівнем МДА у </w:t>
      </w:r>
      <w:r>
        <w:rPr>
          <w:rFonts w:ascii="Times New Roman" w:hAnsi="Times New Roman" w:cs="Times New Roman"/>
          <w:sz w:val="28"/>
          <w:szCs w:val="28"/>
          <w:lang w:val="uk-UA"/>
        </w:rPr>
        <w:t xml:space="preserve">першій </w:t>
      </w:r>
      <w:r w:rsidRPr="00963B98">
        <w:rPr>
          <w:rFonts w:ascii="Times New Roman" w:hAnsi="Times New Roman" w:cs="Times New Roman"/>
          <w:sz w:val="28"/>
          <w:szCs w:val="28"/>
          <w:lang w:val="uk-UA"/>
        </w:rPr>
        <w:t xml:space="preserve">групі </w:t>
      </w:r>
      <w:r>
        <w:rPr>
          <w:rFonts w:ascii="Times New Roman" w:hAnsi="Times New Roman" w:cs="Times New Roman"/>
          <w:sz w:val="28"/>
          <w:szCs w:val="28"/>
          <w:lang w:val="uk-UA"/>
        </w:rPr>
        <w:t xml:space="preserve">пацієнтів </w:t>
      </w:r>
      <w:r w:rsidRPr="00963B98">
        <w:rPr>
          <w:rFonts w:ascii="Times New Roman" w:hAnsi="Times New Roman" w:cs="Times New Roman"/>
          <w:sz w:val="28"/>
          <w:szCs w:val="28"/>
          <w:lang w:val="uk-UA"/>
        </w:rPr>
        <w:t>було прове</w:t>
      </w:r>
      <w:r>
        <w:rPr>
          <w:rFonts w:ascii="Times New Roman" w:hAnsi="Times New Roman" w:cs="Times New Roman"/>
          <w:sz w:val="28"/>
          <w:szCs w:val="28"/>
          <w:lang w:val="uk-UA"/>
        </w:rPr>
        <w:t>дено регресійний аналіз</w:t>
      </w:r>
      <w:r w:rsidRPr="00963B98">
        <w:rPr>
          <w:rFonts w:ascii="Times New Roman" w:hAnsi="Times New Roman" w:cs="Times New Roman"/>
          <w:sz w:val="28"/>
          <w:szCs w:val="28"/>
          <w:lang w:val="uk-UA"/>
        </w:rPr>
        <w:t>. Оскільки R</w:t>
      </w:r>
      <w:r w:rsidRPr="00963B9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дорівнюва 0,43</w:t>
      </w:r>
      <w:r w:rsidRPr="00963B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ступінь </w:t>
      </w:r>
      <w:r w:rsidRPr="00963B98">
        <w:rPr>
          <w:rFonts w:ascii="Times New Roman" w:hAnsi="Times New Roman" w:cs="Times New Roman"/>
          <w:sz w:val="28"/>
          <w:szCs w:val="28"/>
          <w:lang w:val="uk-UA"/>
        </w:rPr>
        <w:t>кореляці</w:t>
      </w:r>
      <w:r>
        <w:rPr>
          <w:rFonts w:ascii="Times New Roman" w:hAnsi="Times New Roman" w:cs="Times New Roman"/>
          <w:sz w:val="28"/>
          <w:szCs w:val="28"/>
          <w:lang w:val="uk-UA"/>
        </w:rPr>
        <w:t>ї між рівнем малонового ди</w:t>
      </w:r>
      <w:r w:rsidRPr="00963B98">
        <w:rPr>
          <w:rFonts w:ascii="Times New Roman" w:hAnsi="Times New Roman" w:cs="Times New Roman"/>
          <w:sz w:val="28"/>
          <w:szCs w:val="28"/>
          <w:lang w:val="uk-UA"/>
        </w:rPr>
        <w:t>альдегіду та проблемами пародонту</w:t>
      </w:r>
      <w:r>
        <w:rPr>
          <w:rFonts w:ascii="Times New Roman" w:hAnsi="Times New Roman" w:cs="Times New Roman"/>
          <w:sz w:val="28"/>
          <w:szCs w:val="28"/>
          <w:lang w:val="uk-UA"/>
        </w:rPr>
        <w:t xml:space="preserve"> був дуже слабким</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3B98">
        <w:rPr>
          <w:rFonts w:ascii="Times New Roman" w:hAnsi="Times New Roman" w:cs="Times New Roman"/>
          <w:sz w:val="28"/>
          <w:szCs w:val="28"/>
          <w:lang w:val="uk-UA"/>
        </w:rPr>
        <w:t xml:space="preserve">Статистика регресії в групі </w:t>
      </w:r>
      <w:r>
        <w:rPr>
          <w:rFonts w:ascii="Times New Roman" w:hAnsi="Times New Roman" w:cs="Times New Roman"/>
          <w:sz w:val="28"/>
          <w:szCs w:val="28"/>
          <w:lang w:val="uk-UA"/>
        </w:rPr>
        <w:t>пацієнтів з атопічними захворюваннями та без виражених ознак гінгівіту також</w:t>
      </w:r>
      <w:r w:rsidRPr="00963B98">
        <w:rPr>
          <w:rFonts w:ascii="Times New Roman" w:hAnsi="Times New Roman" w:cs="Times New Roman"/>
          <w:sz w:val="28"/>
          <w:szCs w:val="28"/>
          <w:lang w:val="uk-UA"/>
        </w:rPr>
        <w:t xml:space="preserve"> показує, що не існує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індексом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та рівнем малонового диальдегіду. </w:t>
      </w:r>
      <w:r>
        <w:rPr>
          <w:rFonts w:ascii="Times New Roman" w:hAnsi="Times New Roman" w:cs="Times New Roman"/>
          <w:sz w:val="28"/>
          <w:szCs w:val="28"/>
          <w:lang w:val="uk-UA"/>
        </w:rPr>
        <w:t>Таким чином</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очевидним є те,</w:t>
      </w:r>
      <w:r w:rsidRPr="00963B98">
        <w:rPr>
          <w:rFonts w:ascii="Times New Roman" w:hAnsi="Times New Roman" w:cs="Times New Roman"/>
          <w:sz w:val="28"/>
          <w:szCs w:val="28"/>
          <w:lang w:val="uk-UA"/>
        </w:rPr>
        <w:t xml:space="preserve"> що рівень МДА не можна використовувати для точного прогнозування </w:t>
      </w:r>
      <w:r w:rsidRPr="0007335E">
        <w:rPr>
          <w:rFonts w:ascii="Times New Roman" w:hAnsi="Times New Roman" w:cs="Times New Roman"/>
          <w:sz w:val="28"/>
          <w:szCs w:val="28"/>
          <w:lang w:val="ru-RU"/>
        </w:rPr>
        <w:t>запалення тканин пародонту</w:t>
      </w:r>
      <w:r w:rsidRPr="00963B98">
        <w:rPr>
          <w:rFonts w:ascii="Times New Roman" w:hAnsi="Times New Roman" w:cs="Times New Roman"/>
          <w:sz w:val="28"/>
          <w:szCs w:val="28"/>
          <w:lang w:val="uk-UA"/>
        </w:rPr>
        <w:t>.</w:t>
      </w:r>
      <w:r>
        <w:rPr>
          <w:rFonts w:ascii="Times New Roman" w:hAnsi="Times New Roman" w:cs="Times New Roman"/>
          <w:sz w:val="28"/>
          <w:szCs w:val="28"/>
          <w:lang w:val="uk-UA"/>
        </w:rPr>
        <w:t xml:space="preserve"> Даний показник характеризує стан антиокидантної системи, але його застосування з діагностичною метою неможливе.</w:t>
      </w:r>
    </w:p>
    <w:p w14:paraId="204D8CA1" w14:textId="10B815B3" w:rsidR="00F204EA" w:rsidRDefault="0007335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само, зниження рівню супероксиддисмутази у всіх групах пацієнтів з атопією підтверджує наявність антиоксидантного дисбалансу, але я</w:t>
      </w:r>
      <w:r w:rsidRPr="00963B98">
        <w:rPr>
          <w:rFonts w:ascii="Times New Roman" w:hAnsi="Times New Roman" w:cs="Times New Roman"/>
          <w:sz w:val="28"/>
          <w:szCs w:val="28"/>
          <w:lang w:val="uk-UA"/>
        </w:rPr>
        <w:t>к показали результати регресійного аналізу</w:t>
      </w:r>
      <w:r w:rsidR="0087297E">
        <w:rPr>
          <w:rFonts w:ascii="Times New Roman" w:hAnsi="Times New Roman" w:cs="Times New Roman"/>
          <w:sz w:val="28"/>
          <w:szCs w:val="28"/>
          <w:lang w:val="uk-UA"/>
        </w:rPr>
        <w:t xml:space="preserve"> та коефіцієнт детермінації</w:t>
      </w:r>
      <w:r w:rsidRPr="00963B98">
        <w:rPr>
          <w:rFonts w:ascii="Times New Roman" w:hAnsi="Times New Roman" w:cs="Times New Roman"/>
          <w:sz w:val="28"/>
          <w:szCs w:val="28"/>
          <w:lang w:val="uk-UA"/>
        </w:rPr>
        <w:t xml:space="preserve">, не було </w:t>
      </w:r>
      <w:r>
        <w:rPr>
          <w:rFonts w:ascii="Times New Roman" w:hAnsi="Times New Roman" w:cs="Times New Roman"/>
          <w:sz w:val="28"/>
          <w:szCs w:val="28"/>
          <w:lang w:val="uk-UA"/>
        </w:rPr>
        <w:t>залежності</w:t>
      </w:r>
      <w:r w:rsidRPr="00963B98">
        <w:rPr>
          <w:rFonts w:ascii="Times New Roman" w:hAnsi="Times New Roman" w:cs="Times New Roman"/>
          <w:sz w:val="28"/>
          <w:szCs w:val="28"/>
          <w:lang w:val="uk-UA"/>
        </w:rPr>
        <w:t xml:space="preserve"> між показником індексом кровоточивості </w:t>
      </w:r>
      <w:r w:rsidRPr="00963B98">
        <w:rPr>
          <w:rFonts w:ascii="Times New Roman" w:hAnsi="Times New Roman" w:cs="Times New Roman"/>
          <w:sz w:val="28"/>
          <w:szCs w:val="28"/>
        </w:rPr>
        <w:t>SBI</w:t>
      </w:r>
      <w:r w:rsidRPr="00963B98">
        <w:rPr>
          <w:rFonts w:ascii="Times New Roman" w:hAnsi="Times New Roman" w:cs="Times New Roman"/>
          <w:sz w:val="28"/>
          <w:szCs w:val="28"/>
          <w:lang w:val="uk-UA"/>
        </w:rPr>
        <w:t xml:space="preserve"> та активністю </w:t>
      </w:r>
      <w:r>
        <w:rPr>
          <w:rFonts w:ascii="Times New Roman" w:hAnsi="Times New Roman" w:cs="Times New Roman"/>
          <w:sz w:val="28"/>
          <w:szCs w:val="28"/>
          <w:lang w:val="uk-UA"/>
        </w:rPr>
        <w:t>супероксиддисмутази</w:t>
      </w:r>
      <w:r w:rsidR="0087297E">
        <w:rPr>
          <w:rFonts w:ascii="Times New Roman" w:hAnsi="Times New Roman" w:cs="Times New Roman"/>
          <w:sz w:val="28"/>
          <w:szCs w:val="28"/>
          <w:lang w:val="uk-UA"/>
        </w:rPr>
        <w:t xml:space="preserve"> серед пацієнтів даних груп.</w:t>
      </w:r>
    </w:p>
    <w:p w14:paraId="20566712" w14:textId="677FD585" w:rsidR="0087297E" w:rsidRDefault="0087297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рівню каталази у ротовій рідині також було неінформативним. Коефіцієнт детермінації, позначений як </w:t>
      </w:r>
      <w:r w:rsidRPr="00217D8A">
        <w:rPr>
          <w:rFonts w:ascii="Times New Roman" w:hAnsi="Times New Roman" w:cs="Times New Roman"/>
          <w:sz w:val="28"/>
          <w:szCs w:val="28"/>
          <w:lang w:val="uk-UA"/>
        </w:rPr>
        <w:t>R-квадрат</w:t>
      </w:r>
      <w:r w:rsidR="00606A2B">
        <w:rPr>
          <w:rFonts w:ascii="Times New Roman" w:hAnsi="Times New Roman" w:cs="Times New Roman"/>
          <w:sz w:val="28"/>
          <w:szCs w:val="28"/>
          <w:lang w:val="uk-UA"/>
        </w:rPr>
        <w:t>, дорівнював</w:t>
      </w:r>
      <w:r>
        <w:rPr>
          <w:rFonts w:ascii="Times New Roman" w:hAnsi="Times New Roman" w:cs="Times New Roman"/>
          <w:sz w:val="28"/>
          <w:szCs w:val="28"/>
          <w:lang w:val="uk-UA"/>
        </w:rPr>
        <w:t xml:space="preserve"> 0.42, що вказує на слабкий рівень за</w:t>
      </w:r>
      <w:r w:rsidR="00606A2B">
        <w:rPr>
          <w:rFonts w:ascii="Times New Roman" w:hAnsi="Times New Roman" w:cs="Times New Roman"/>
          <w:sz w:val="28"/>
          <w:szCs w:val="28"/>
          <w:lang w:val="uk-UA"/>
        </w:rPr>
        <w:t>лежності між активністю каталази</w:t>
      </w:r>
      <w:r>
        <w:rPr>
          <w:rFonts w:ascii="Times New Roman" w:hAnsi="Times New Roman" w:cs="Times New Roman"/>
          <w:sz w:val="28"/>
          <w:szCs w:val="28"/>
          <w:lang w:val="uk-UA"/>
        </w:rPr>
        <w:t xml:space="preserve"> у ротовій рідині та ступенем запалення тканин пародонту. </w:t>
      </w:r>
      <w:r>
        <w:rPr>
          <w:rFonts w:ascii="Times New Roman" w:hAnsi="Times New Roman" w:cs="Times New Roman"/>
          <w:color w:val="222222"/>
          <w:sz w:val="28"/>
          <w:szCs w:val="28"/>
          <w:lang w:val="uk-UA"/>
        </w:rPr>
        <w:t xml:space="preserve">Дані регресійного аналізу, а саме значення коефіцієнту детермінації, свідчили про неможливість використання побудованої прогностичної моделі та відсутність необхідності </w:t>
      </w:r>
      <w:r w:rsidR="00606A2B">
        <w:rPr>
          <w:rFonts w:ascii="Times New Roman" w:hAnsi="Times New Roman" w:cs="Times New Roman"/>
          <w:color w:val="222222"/>
          <w:sz w:val="28"/>
          <w:szCs w:val="28"/>
          <w:lang w:val="uk-UA"/>
        </w:rPr>
        <w:t>подальшого визначення</w:t>
      </w:r>
      <w:r>
        <w:rPr>
          <w:rFonts w:ascii="Times New Roman" w:hAnsi="Times New Roman" w:cs="Times New Roman"/>
          <w:color w:val="222222"/>
          <w:sz w:val="28"/>
          <w:szCs w:val="28"/>
          <w:lang w:val="uk-UA"/>
        </w:rPr>
        <w:t xml:space="preserve"> коефіцієнтів регресії</w:t>
      </w:r>
      <w:r w:rsidR="00606A2B">
        <w:rPr>
          <w:rFonts w:ascii="Times New Roman" w:hAnsi="Times New Roman" w:cs="Times New Roman"/>
          <w:color w:val="222222"/>
          <w:sz w:val="28"/>
          <w:szCs w:val="28"/>
          <w:lang w:val="uk-UA"/>
        </w:rPr>
        <w:t>.</w:t>
      </w:r>
    </w:p>
    <w:p w14:paraId="4CA51FC8" w14:textId="78F03F2A" w:rsidR="00935E57" w:rsidRPr="004B75FC" w:rsidRDefault="0087297E" w:rsidP="00935E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дані є надзвичайно цікавими, оскільки з однієї точки зору вони підтверджують результати інших наукових досліджень, які свідчать на користь наявності антиоксидантного дисбалансу у пацієнтів на тлі захворювань пародонту та підтверджують його роль у етіології та патогенезі пародонтальних проблем</w:t>
      </w:r>
      <w:r w:rsidR="00935E57">
        <w:rPr>
          <w:rFonts w:ascii="Times New Roman" w:hAnsi="Times New Roman" w:cs="Times New Roman"/>
          <w:sz w:val="28"/>
          <w:szCs w:val="28"/>
          <w:lang w:val="uk-UA"/>
        </w:rPr>
        <w:t xml:space="preserve"> </w:t>
      </w:r>
      <w:r w:rsidR="00935E57" w:rsidRPr="00935E57">
        <w:rPr>
          <w:rFonts w:ascii="Times New Roman" w:hAnsi="Times New Roman" w:cs="Times New Roman"/>
          <w:sz w:val="28"/>
          <w:szCs w:val="28"/>
          <w:lang w:val="uk-UA"/>
        </w:rPr>
        <w:t>[</w:t>
      </w:r>
      <w:r w:rsidR="00F81F79">
        <w:rPr>
          <w:rFonts w:ascii="Times New Roman" w:hAnsi="Times New Roman" w:cs="Times New Roman"/>
          <w:sz w:val="28"/>
          <w:szCs w:val="28"/>
          <w:lang w:val="uk-UA"/>
        </w:rPr>
        <w:t>411-412</w:t>
      </w:r>
      <w:r w:rsidR="00935E57" w:rsidRPr="00935E57">
        <w:rPr>
          <w:rFonts w:ascii="Times New Roman" w:hAnsi="Times New Roman" w:cs="Times New Roman"/>
          <w:sz w:val="28"/>
          <w:szCs w:val="28"/>
          <w:lang w:val="uk-UA"/>
        </w:rPr>
        <w:t>]</w:t>
      </w:r>
      <w:r>
        <w:rPr>
          <w:rFonts w:ascii="Times New Roman" w:hAnsi="Times New Roman" w:cs="Times New Roman"/>
          <w:sz w:val="28"/>
          <w:szCs w:val="28"/>
          <w:lang w:val="uk-UA"/>
        </w:rPr>
        <w:t>.</w:t>
      </w:r>
      <w:r w:rsidR="00935E57" w:rsidRPr="00935E57">
        <w:rPr>
          <w:rFonts w:ascii="Times New Roman" w:hAnsi="Times New Roman" w:cs="Times New Roman"/>
          <w:sz w:val="28"/>
          <w:szCs w:val="28"/>
          <w:lang w:val="uk-UA"/>
        </w:rPr>
        <w:t xml:space="preserve"> </w:t>
      </w:r>
      <w:r w:rsidR="00935E57">
        <w:rPr>
          <w:rFonts w:ascii="Times New Roman" w:hAnsi="Times New Roman" w:cs="Times New Roman"/>
          <w:sz w:val="28"/>
          <w:szCs w:val="28"/>
          <w:lang w:val="uk-UA"/>
        </w:rPr>
        <w:t>Як відомо, захворювання пародонту є одними</w:t>
      </w:r>
      <w:r w:rsidR="00935E57" w:rsidRPr="00935E57">
        <w:rPr>
          <w:rFonts w:ascii="Times New Roman" w:hAnsi="Times New Roman" w:cs="Times New Roman"/>
          <w:sz w:val="28"/>
          <w:szCs w:val="28"/>
          <w:lang w:val="uk-UA"/>
        </w:rPr>
        <w:t xml:space="preserve"> з найпоширеніших хронічних запаль</w:t>
      </w:r>
      <w:r w:rsidR="00935E57">
        <w:rPr>
          <w:rFonts w:ascii="Times New Roman" w:hAnsi="Times New Roman" w:cs="Times New Roman"/>
          <w:sz w:val="28"/>
          <w:szCs w:val="28"/>
          <w:lang w:val="uk-UA"/>
        </w:rPr>
        <w:t>них захворювань</w:t>
      </w:r>
      <w:r w:rsidR="00935E57" w:rsidRPr="00935E57">
        <w:rPr>
          <w:rFonts w:ascii="Times New Roman" w:hAnsi="Times New Roman" w:cs="Times New Roman"/>
          <w:sz w:val="28"/>
          <w:szCs w:val="28"/>
          <w:lang w:val="uk-UA"/>
        </w:rPr>
        <w:t xml:space="preserve">. Бактеріальна колонізація, імунна реакція </w:t>
      </w:r>
      <w:r w:rsidR="00935E57">
        <w:rPr>
          <w:rFonts w:ascii="Times New Roman" w:hAnsi="Times New Roman" w:cs="Times New Roman"/>
          <w:sz w:val="28"/>
          <w:szCs w:val="28"/>
          <w:lang w:val="uk-UA"/>
        </w:rPr>
        <w:t>організму</w:t>
      </w:r>
      <w:r w:rsidR="00935E57" w:rsidRPr="00935E57">
        <w:rPr>
          <w:rFonts w:ascii="Times New Roman" w:hAnsi="Times New Roman" w:cs="Times New Roman"/>
          <w:sz w:val="28"/>
          <w:szCs w:val="28"/>
          <w:lang w:val="uk-UA"/>
        </w:rPr>
        <w:t xml:space="preserve"> та генетична схильність є частиною</w:t>
      </w:r>
      <w:r w:rsidR="00935E57">
        <w:rPr>
          <w:rFonts w:ascii="Times New Roman" w:hAnsi="Times New Roman" w:cs="Times New Roman"/>
          <w:sz w:val="28"/>
          <w:szCs w:val="28"/>
          <w:lang w:val="uk-UA"/>
        </w:rPr>
        <w:t xml:space="preserve"> основних етіологічних </w:t>
      </w:r>
      <w:r w:rsidR="00935E57" w:rsidRPr="004B75FC">
        <w:rPr>
          <w:rFonts w:ascii="Times New Roman" w:hAnsi="Times New Roman" w:cs="Times New Roman"/>
          <w:sz w:val="28"/>
          <w:szCs w:val="28"/>
          <w:lang w:val="uk-UA"/>
        </w:rPr>
        <w:t>чинників [</w:t>
      </w:r>
      <w:r w:rsidR="00F81F79">
        <w:rPr>
          <w:rFonts w:ascii="Times New Roman" w:hAnsi="Times New Roman" w:cs="Times New Roman"/>
          <w:sz w:val="28"/>
          <w:szCs w:val="28"/>
          <w:lang w:val="uk-UA"/>
        </w:rPr>
        <w:t>413-414</w:t>
      </w:r>
      <w:r w:rsidR="00935E57" w:rsidRPr="004B75FC">
        <w:rPr>
          <w:rFonts w:ascii="Times New Roman" w:hAnsi="Times New Roman" w:cs="Times New Roman"/>
          <w:sz w:val="28"/>
          <w:szCs w:val="28"/>
          <w:lang w:val="uk-UA"/>
        </w:rPr>
        <w:t>].</w:t>
      </w:r>
      <w:r w:rsidRPr="004B75FC">
        <w:rPr>
          <w:rFonts w:ascii="Times New Roman" w:hAnsi="Times New Roman" w:cs="Times New Roman"/>
          <w:sz w:val="28"/>
          <w:szCs w:val="28"/>
          <w:lang w:val="uk-UA"/>
        </w:rPr>
        <w:t xml:space="preserve"> </w:t>
      </w:r>
    </w:p>
    <w:p w14:paraId="19ACAEBC" w14:textId="75C11DBC" w:rsidR="0087297E" w:rsidRPr="00F81F79" w:rsidRDefault="0087297E" w:rsidP="000733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з іншого боку, нами доведено, що у дітей на тлі атопічних захворювань рівень малонового диальдегіду, суперокиддисмутази та каталази не може бути використаний як неінвазивний біомаркер. Варто відмітити, що згідно з нашими дослідженнями, показники рівнів імуноглобулінів є значно більше інф</w:t>
      </w:r>
      <w:r w:rsidRPr="00F81F79">
        <w:rPr>
          <w:rFonts w:ascii="Times New Roman" w:hAnsi="Times New Roman" w:cs="Times New Roman"/>
          <w:sz w:val="28"/>
          <w:szCs w:val="28"/>
          <w:lang w:val="uk-UA"/>
        </w:rPr>
        <w:t>ормативними та можуть бути застосовані у клінічній практиці як біомаркер запалення тканин пародонту незалежно від клінічних ознак гінгівіту.</w:t>
      </w:r>
    </w:p>
    <w:p w14:paraId="52BBBE08" w14:textId="007796FB" w:rsidR="00F006BC" w:rsidRPr="00F81F79" w:rsidRDefault="0087297E" w:rsidP="00C44FE8">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Дещо іншими були висновки щодо інформативності рівня глутатіону. Р</w:t>
      </w:r>
      <w:r w:rsidR="0007335E" w:rsidRPr="00F81F79">
        <w:rPr>
          <w:rFonts w:ascii="Times New Roman" w:hAnsi="Times New Roman" w:cs="Times New Roman"/>
          <w:sz w:val="28"/>
          <w:szCs w:val="28"/>
          <w:lang w:val="uk-UA"/>
        </w:rPr>
        <w:t xml:space="preserve">егресійний аналіз даних показав, що побудована прогностична модель має необхідну адекватність, </w:t>
      </w:r>
      <w:r w:rsidR="009141C4">
        <w:rPr>
          <w:rFonts w:ascii="Times New Roman" w:hAnsi="Times New Roman" w:cs="Times New Roman"/>
          <w:sz w:val="28"/>
          <w:szCs w:val="28"/>
          <w:lang w:val="uk-UA"/>
        </w:rPr>
        <w:t>прогностичні</w:t>
      </w:r>
      <w:r w:rsidR="0007335E" w:rsidRPr="00F81F79">
        <w:rPr>
          <w:rFonts w:ascii="Times New Roman" w:hAnsi="Times New Roman" w:cs="Times New Roman"/>
          <w:sz w:val="28"/>
          <w:szCs w:val="28"/>
          <w:lang w:val="uk-UA"/>
        </w:rPr>
        <w:t xml:space="preserve"> значення можуть бути застосовані як предиктивні для характеризування ступеню запалення тканин пародонту. У результаті провденого аналізу визначено коефіцієнт детермінації, який показав, що 91 % змінюваності рівню глутатіону залежить від зміни рівню запалення за індексом РМА; на 9 % припадає вплив інших факторів. Отже, рівень відновленого глутатіону може бути рекомендований як предиктивний та діагносичний біомаркер запалення тканин пародонту у дітей з атопічними захворюваннями.</w:t>
      </w:r>
    </w:p>
    <w:p w14:paraId="40F5377D" w14:textId="27CD435F" w:rsidR="0007335E" w:rsidRPr="00F81F79" w:rsidRDefault="00F971D5" w:rsidP="00F971D5">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Отримані нами дані щодо антиоксидантного статусу та залежності стану тканин пародонту від його змін співпадають з даними інших дослідників. Дослідження інших авторів показали зниження як системних, так і місцевих рівнів антиоксидантів та концентрації антиоксидантів ясенної борозни у групі пацієнтів з пародонтитом у порівнянні з контролем [</w:t>
      </w:r>
      <w:r w:rsidR="00E260E5">
        <w:rPr>
          <w:rFonts w:ascii="Times New Roman" w:hAnsi="Times New Roman" w:cs="Times New Roman"/>
          <w:sz w:val="28"/>
          <w:szCs w:val="28"/>
          <w:lang w:val="uk-UA"/>
        </w:rPr>
        <w:t>415-417</w:t>
      </w:r>
      <w:r w:rsidRPr="00F81F79">
        <w:rPr>
          <w:rFonts w:ascii="Times New Roman" w:hAnsi="Times New Roman" w:cs="Times New Roman"/>
          <w:sz w:val="28"/>
          <w:szCs w:val="28"/>
          <w:lang w:val="uk-UA"/>
        </w:rPr>
        <w:t xml:space="preserve">]. </w:t>
      </w:r>
    </w:p>
    <w:p w14:paraId="7106B363" w14:textId="2860BA1C" w:rsidR="00287E52" w:rsidRPr="00F81F79" w:rsidRDefault="00F971D5" w:rsidP="00462B23">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Таким чином, у результаті проведеної нами роботи</w:t>
      </w:r>
      <w:r w:rsidR="00DF2F65" w:rsidRPr="00F81F79">
        <w:rPr>
          <w:rFonts w:ascii="Times New Roman" w:hAnsi="Times New Roman" w:cs="Times New Roman"/>
          <w:sz w:val="28"/>
          <w:szCs w:val="28"/>
          <w:lang w:val="uk-UA"/>
        </w:rPr>
        <w:t xml:space="preserve"> та аналізу літературних джерел, ми визначили найбільш інформативні біомаркери запалення тканин пародонти, до яких відносяться рівень імуноглобуліну А, імуноглобуліну </w:t>
      </w:r>
      <w:r w:rsidR="00DF2F65" w:rsidRPr="00F81F79">
        <w:rPr>
          <w:rFonts w:ascii="Times New Roman" w:hAnsi="Times New Roman" w:cs="Times New Roman"/>
          <w:sz w:val="28"/>
          <w:szCs w:val="28"/>
        </w:rPr>
        <w:t>G</w:t>
      </w:r>
      <w:r w:rsidR="00DF2F65" w:rsidRPr="00F81F79">
        <w:rPr>
          <w:rFonts w:ascii="Times New Roman" w:hAnsi="Times New Roman" w:cs="Times New Roman"/>
          <w:sz w:val="28"/>
          <w:szCs w:val="28"/>
          <w:lang w:val="uk-UA"/>
        </w:rPr>
        <w:t xml:space="preserve"> та рівень глутатіону. На основі проведених нами численних досліджень, використання саме цих неінвазивних біомаркерів у ротовій рідині дозволяє проводити ранню діагностику на етапі відсутності виражених ознак гінгівіту, контролювати ефективність проведеного лікування та проводити скринінгову оцінку стану тканин пародонту у дітей групи ризику.</w:t>
      </w:r>
    </w:p>
    <w:p w14:paraId="1C601524" w14:textId="41EF7BB2" w:rsidR="009C3C5E" w:rsidRPr="00F81F79" w:rsidRDefault="00EE3DAD" w:rsidP="00E023F2">
      <w:pPr>
        <w:spacing w:after="0" w:line="360" w:lineRule="auto"/>
        <w:ind w:firstLine="709"/>
        <w:jc w:val="both"/>
        <w:rPr>
          <w:rFonts w:ascii="Times New Roman" w:hAnsi="Times New Roman" w:cs="Times New Roman"/>
          <w:sz w:val="28"/>
          <w:szCs w:val="28"/>
          <w:lang w:val="uk-UA"/>
        </w:rPr>
      </w:pPr>
      <w:r w:rsidRPr="00F81F79">
        <w:rPr>
          <w:rFonts w:ascii="Times New Roman" w:hAnsi="Times New Roman" w:cs="Times New Roman"/>
          <w:sz w:val="28"/>
          <w:szCs w:val="28"/>
          <w:lang w:val="uk-UA"/>
        </w:rPr>
        <w:t>Завдяки здійсненню комплексного дослідження стоматологічного та імунометаболічного статусу дітей з атопічними захворюваннями, аналізу отриманих результатів, ретельній клініко-статистичній обробці отриманих даних, ми запропонували концептуально нову програму лікування та профілактики гінгівіту, яка малу високу клінічну ефективність серед представленого контингенту.</w:t>
      </w:r>
    </w:p>
    <w:p w14:paraId="2585E2F2" w14:textId="77777777" w:rsidR="009C3C5E" w:rsidRDefault="009C3C5E" w:rsidP="00E023F2">
      <w:pPr>
        <w:spacing w:after="0" w:line="360" w:lineRule="auto"/>
        <w:ind w:firstLine="709"/>
        <w:jc w:val="both"/>
        <w:rPr>
          <w:rFonts w:ascii="Times New Roman" w:hAnsi="Times New Roman" w:cs="Times New Roman"/>
          <w:sz w:val="28"/>
          <w:szCs w:val="28"/>
          <w:lang w:val="uk-UA"/>
        </w:rPr>
      </w:pPr>
    </w:p>
    <w:p w14:paraId="52F397E0" w14:textId="77777777" w:rsidR="0049043E" w:rsidRDefault="0049043E">
      <w:pPr>
        <w:rPr>
          <w:rFonts w:asciiTheme="majorHAnsi" w:eastAsiaTheme="majorEastAsia" w:hAnsiTheme="majorHAnsi" w:cstheme="majorBidi"/>
          <w:color w:val="2E74B5" w:themeColor="accent1" w:themeShade="BF"/>
          <w:sz w:val="32"/>
          <w:szCs w:val="32"/>
          <w:lang w:val="uk-UA"/>
        </w:rPr>
      </w:pPr>
      <w:r>
        <w:rPr>
          <w:lang w:val="uk-UA"/>
        </w:rPr>
        <w:br w:type="page"/>
      </w:r>
    </w:p>
    <w:p w14:paraId="0217876F" w14:textId="1B309216" w:rsidR="00E023F2" w:rsidRDefault="00112933" w:rsidP="00112933">
      <w:pPr>
        <w:pStyle w:val="Heading1"/>
        <w:spacing w:before="0"/>
        <w:jc w:val="center"/>
        <w:rPr>
          <w:rFonts w:ascii="Times New Roman" w:hAnsi="Times New Roman" w:cs="Times New Roman"/>
          <w:color w:val="auto"/>
          <w:sz w:val="28"/>
          <w:szCs w:val="28"/>
          <w:lang w:val="uk-UA"/>
        </w:rPr>
      </w:pPr>
      <w:bookmarkStart w:id="39" w:name="_Toc507575332"/>
      <w:r w:rsidRPr="00112933">
        <w:rPr>
          <w:rFonts w:ascii="Times New Roman" w:hAnsi="Times New Roman" w:cs="Times New Roman"/>
          <w:color w:val="auto"/>
          <w:sz w:val="28"/>
          <w:szCs w:val="28"/>
          <w:lang w:val="uk-UA"/>
        </w:rPr>
        <w:t>ВИСНОВКИ</w:t>
      </w:r>
      <w:bookmarkEnd w:id="39"/>
    </w:p>
    <w:p w14:paraId="31610D24" w14:textId="77777777" w:rsidR="00112933" w:rsidRPr="00763FF8" w:rsidRDefault="00112933" w:rsidP="00763FF8">
      <w:pPr>
        <w:spacing w:line="360" w:lineRule="auto"/>
        <w:rPr>
          <w:rFonts w:ascii="Times New Roman" w:hAnsi="Times New Roman" w:cs="Times New Roman"/>
          <w:lang w:val="uk-UA"/>
        </w:rPr>
      </w:pPr>
    </w:p>
    <w:p w14:paraId="55BD5E58"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На сьогоднішній день гінгівіт у дітей на тлі атопічних захворювань має високу розповсюдженість та не має тенденції до зниження. Невирішеною є проблема ранньої діагностики, профілактики та лікування гінгівіту у дітей з атопічними захворюваннями. У дисертаційній роботі представлене вирішення наукової проблеми, що полягає у розробці концептуально нової програми лікування та профілактики гінгівіту у дітей на тлі атопічних захворювань шляхом комплексного аналізу стоматологічного статусу, виявлення прогностичних біомаркерів ініціації гінгівіту та диференційованої корекції імунометаболічних ланок його патогенезу.</w:t>
      </w:r>
    </w:p>
    <w:p w14:paraId="5CD92C82"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Вивчені показники клінічного стоматологічного статусу у дітей з гінгівітом та провідні чинники розвитку гінгівіту у дітей на тлі атопічних захворювань. Встановлено, що у дітей з атопічними захворюваннями ступінь запалення тканин пародонту за індексом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та РМА достовірно вищий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дорівнював 2.11 ± 0.22 бали та РМА дорівнював 21.14 ± 1.86 %), ніж у дітей без соматичної патології, де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знаходився на рівні 0.48 ± 0.21 бали, РМА - на рівні 6.03 ± 2.56 %. Також спостерігали зміни у властивостях ротової рідини, які полягали у підвищенні кислотності до рівня 4.94 ± 0.49 та збільшенні рівню муцину до 5.76 ± 0.82 г/л в середньому серед груп дітей з атопією. Встановлено, що у групі пацієнтів з атопічними захворюваннями при мінімальних значеннях показників, що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Встановлено, що незалежно від рівня запалення, спостерігається зниження рівня імуноглобулінів класу А,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М та зниження активності СОД, зростання концентрації МДА, знижується вміст каталази та глутатіону. Провідними етіологічними чинниками хронічного гінгівіту у дітей з атопічними захворюваннями є наявність імунометаболічного дисбалансу.</w:t>
      </w:r>
    </w:p>
    <w:p w14:paraId="128D6F91"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При моделюванні атопічних процесів в експерименті на тваринах морфологічна картина в ротовій порожнині характеризується запальними, дистрофічними, дисциркуляторними змінами, які супроводжуються порушенням обміну синтази оксиду азоту. Останнє проявляється зниженням синтезу ендотеліальної фракції синтази оксиду азоту у стінках судин до 0,79±0,11 ум.од., підвищенням активності індуцибельної синтази оксиду азоту більш ніж в два рази, підвищенням активності ендотеліальної синтази оксиду азоту у позасудинному просторі до 0,27±0,04 ум.од. Порушення обміну синтази оксиду азоту пов’язано з накопиченням запальних клітин, зокрема, кількість клітинних елементів імунопозитивних до CD23 в 7,7 раз вище при наявності атопічного процесу. Застосування запропонованої методики лікування дозволяє поліпшити стан мікроциркуляторного русла слизової оболонки, що проявляється у відновленні констрікторно-ділататорних механізмів судинного тонусу.  </w:t>
      </w:r>
    </w:p>
    <w:p w14:paraId="56FDB636"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та рівняння лінійної регресії, за допомогою якого можливе цифрове визначення прогностичних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індексу кровоточивості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від рівню секреторного імуноглобуліну А - мінус 88,7 та 50,6; від рівню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які дорівнюють мінус 2.49 та 40.97.</w:t>
      </w:r>
    </w:p>
    <w:p w14:paraId="5E4419B8"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Встановлено найбільш інформативні біомаркери запалення тканин пародонту у дітей з гінгівітом – рівень відновленого глутатіону,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імуноглобуліну А. Найбільш інформативним біомаркером, який характеризує антиоксидантний статус та дає змогу прогнозувати ступінь запалення тканин пародонту є рівень відновленого глутатіону у ротовій рідині, коефіцієнт детермінації складає 91%. Коефіцієнт детермінації залежності рівню запалення тканин пародонту (за індексом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від рівня секреторного імуноглобуліну А дорівнює 87 %, від рівня імуноглобуліну </w:t>
      </w:r>
      <w:r w:rsidRPr="00763FF8">
        <w:rPr>
          <w:rFonts w:ascii="Times New Roman" w:hAnsi="Times New Roman" w:cs="Times New Roman"/>
          <w:sz w:val="28"/>
          <w:szCs w:val="28"/>
        </w:rPr>
        <w:t>G</w:t>
      </w:r>
      <w:r w:rsidRPr="00763FF8">
        <w:rPr>
          <w:rFonts w:ascii="Times New Roman" w:hAnsi="Times New Roman" w:cs="Times New Roman"/>
          <w:sz w:val="28"/>
          <w:szCs w:val="28"/>
          <w:lang w:val="uk-UA"/>
        </w:rPr>
        <w:t xml:space="preserve"> – 82 %. Дані біомаркери можуть бути використані для прогнозу запальних захворювань пародонту у пародонтологічно здорових дітей з атопічними захворюваннями.</w:t>
      </w:r>
    </w:p>
    <w:p w14:paraId="759B9B75"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Пацієнти з атопічними захворюваннями та різними генотипами за rs1801270 поліморфізмом мають різний характер імунної відповіді (за імуноглобулінами А, G, M); зокрема гомозиготи АА тяжіють до більш агресивного протікання гінгівіту. У дітей з атопічними захворюваннями виявлено генетичні предиктори розвитку стоматологічних захворювань, а саме для представників даної групи характерні «довгі» алелі з 7-ма, 8-ма або 9-ма повторами в інтроні 36 гена </w:t>
      </w:r>
      <w:r w:rsidRPr="00763FF8">
        <w:rPr>
          <w:rFonts w:ascii="Times New Roman" w:hAnsi="Times New Roman" w:cs="Times New Roman"/>
          <w:sz w:val="28"/>
          <w:szCs w:val="28"/>
        </w:rPr>
        <w:t>MUC</w:t>
      </w:r>
      <w:r w:rsidRPr="00763FF8">
        <w:rPr>
          <w:rFonts w:ascii="Times New Roman" w:hAnsi="Times New Roman" w:cs="Times New Roman"/>
          <w:sz w:val="28"/>
          <w:szCs w:val="28"/>
          <w:lang w:val="uk-UA"/>
        </w:rPr>
        <w:t>5</w:t>
      </w:r>
      <w:r w:rsidRPr="00763FF8">
        <w:rPr>
          <w:rFonts w:ascii="Times New Roman" w:hAnsi="Times New Roman" w:cs="Times New Roman"/>
          <w:sz w:val="28"/>
          <w:szCs w:val="28"/>
        </w:rPr>
        <w:t>B</w:t>
      </w:r>
      <w:r w:rsidRPr="00763FF8">
        <w:rPr>
          <w:rFonts w:ascii="Times New Roman" w:hAnsi="Times New Roman" w:cs="Times New Roman"/>
          <w:sz w:val="28"/>
          <w:szCs w:val="28"/>
          <w:lang w:val="uk-UA"/>
        </w:rPr>
        <w:t xml:space="preserve"> (поширені у 79% випадків). Дані алелі можна використовувати як маркери групи ризику щодо гінгівіту на тлі атопічних захворювань, або як додатковий діагностичний тест для цієї групи захворювань.</w:t>
      </w:r>
    </w:p>
    <w:p w14:paraId="6DA7BBC1" w14:textId="77777777" w:rsidR="00763FF8" w:rsidRP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Диференційована програма лікувально-профілактичних заходів на основі патогенетичної корекції у дітей на тлі атопічних захворювань полягала у прийомі імуномодулюючих препаратів при зниженні рівнів імуноглобулінів та прийомі вітамінно-антиоксидантного комплексу при порушенні антиоксидантної рівноваги, а також корекцію схеми індивідуальної гігієни, яка полягала у використанні зволожувального гелю для ясен та ополіскувача з нейтральним рН з вмістом бетаїну, алое вера, алантоїну та ксиліту при ксеростомії, астматичних нападах та застосуванні інгаляційних медикаментозних засобів. Концептуально нова програма лікування та профілактики гінгівіту включала прийом імуномодулюючих препаратів при зниженні рівнів визначених біомаркерів запалення, а саме </w:t>
      </w:r>
      <w:r w:rsidRPr="00763FF8">
        <w:rPr>
          <w:rFonts w:ascii="Times New Roman" w:hAnsi="Times New Roman" w:cs="Times New Roman"/>
          <w:sz w:val="28"/>
          <w:szCs w:val="28"/>
        </w:rPr>
        <w:t>IgG</w:t>
      </w:r>
      <w:r w:rsidRPr="00763FF8">
        <w:rPr>
          <w:rFonts w:ascii="Times New Roman" w:hAnsi="Times New Roman" w:cs="Times New Roman"/>
          <w:sz w:val="28"/>
          <w:szCs w:val="28"/>
          <w:lang w:val="uk-UA"/>
        </w:rPr>
        <w:t xml:space="preserve"> до рівня 1.72 ± 0.49 г/л у групі дітей з гінгівітом та атопічними захворюваннями, 1.56 ± 0.49 г/л у групі дітей без виражених ознак гінгівіту, та вітамінно-антиоксидантних комплексів за наявності антиоксидантного дисбалансу, а саме зниження рівню відновленого глутатіону до рівня 2.31 ± 0.44 ммоль/л у групі дітей з гінгівітом та атопічними захворюваннями, 2.69 ± 0.56 ммоль/л у групі дітей без виражених ознак гінгівіту. </w:t>
      </w:r>
    </w:p>
    <w:p w14:paraId="295DA571" w14:textId="77777777" w:rsidR="00763FF8" w:rsidRDefault="00763FF8"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763FF8">
        <w:rPr>
          <w:rFonts w:ascii="Times New Roman" w:hAnsi="Times New Roman" w:cs="Times New Roman"/>
          <w:sz w:val="28"/>
          <w:szCs w:val="28"/>
          <w:lang w:val="uk-UA"/>
        </w:rPr>
        <w:t xml:space="preserve">Впроваджено використання концептуально нової моделі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 Оцінювання клінічної ефективності показало нормалізацію стоматологічного статусу у динаміці, при оцінюванні через дванадцять місяців РМА дорівнював 3,59 ± 2,31 % у групі дітей з гінгівітом та атопічними захворюваннями, 1,94 ± 1,61 % у групі дітей без виражених ознак гінгівіту; </w:t>
      </w:r>
      <w:r w:rsidRPr="00763FF8">
        <w:rPr>
          <w:rFonts w:ascii="Times New Roman" w:hAnsi="Times New Roman" w:cs="Times New Roman"/>
          <w:sz w:val="28"/>
          <w:szCs w:val="28"/>
        </w:rPr>
        <w:t>SBI</w:t>
      </w:r>
      <w:r w:rsidRPr="00763FF8">
        <w:rPr>
          <w:rFonts w:ascii="Times New Roman" w:hAnsi="Times New Roman" w:cs="Times New Roman"/>
          <w:sz w:val="28"/>
          <w:szCs w:val="28"/>
          <w:lang w:val="uk-UA"/>
        </w:rPr>
        <w:t xml:space="preserve"> - 0,17 ± 0,14 бали у групі дітей з гінгівітом та атопічними захворюваннями, 0,13 ± 0,13 бали у групі дітей без виражених ознак гінгівіту; рівень муцину - 2.48 ± 0.55 г/л у групі дітей з гінгівітом та атопічними захворюваннями, 2.37 ± 0.53 г/л у групі дітей без виражених ознак гінгівіту. Зазначені показники достовірно (р&lt;0,05) відрізнялися від показників контрольної групи пацієнтів, що підтверджує ефективність концептуально нової програми лікування та профілактики гінгівіту на тлі атопічних захворювань.</w:t>
      </w:r>
    </w:p>
    <w:p w14:paraId="787AFAF7" w14:textId="08A0AE5B" w:rsidR="0049043E" w:rsidRPr="0049043E" w:rsidRDefault="0049043E" w:rsidP="00763FF8">
      <w:pPr>
        <w:pStyle w:val="ListParagraph"/>
        <w:numPr>
          <w:ilvl w:val="0"/>
          <w:numId w:val="2"/>
        </w:numPr>
        <w:spacing w:after="0" w:line="360" w:lineRule="auto"/>
        <w:ind w:left="0" w:firstLine="709"/>
        <w:jc w:val="both"/>
        <w:rPr>
          <w:rFonts w:ascii="Times New Roman" w:hAnsi="Times New Roman" w:cs="Times New Roman"/>
          <w:sz w:val="28"/>
          <w:szCs w:val="28"/>
          <w:lang w:val="uk-UA"/>
        </w:rPr>
      </w:pPr>
      <w:r w:rsidRPr="0049043E">
        <w:rPr>
          <w:lang w:val="uk-UA"/>
        </w:rPr>
        <w:br w:type="page"/>
      </w:r>
    </w:p>
    <w:p w14:paraId="38B6EA66" w14:textId="2FD409AB" w:rsidR="00A822FE" w:rsidRDefault="00112933" w:rsidP="00112933">
      <w:pPr>
        <w:pStyle w:val="Heading1"/>
        <w:spacing w:before="0"/>
        <w:jc w:val="center"/>
        <w:rPr>
          <w:rFonts w:ascii="Times New Roman" w:hAnsi="Times New Roman" w:cs="Times New Roman"/>
          <w:color w:val="auto"/>
          <w:sz w:val="28"/>
          <w:szCs w:val="28"/>
          <w:lang w:val="uk-UA"/>
        </w:rPr>
      </w:pPr>
      <w:bookmarkStart w:id="40" w:name="_Toc507575333"/>
      <w:r w:rsidRPr="00112933">
        <w:rPr>
          <w:rFonts w:ascii="Times New Roman" w:hAnsi="Times New Roman" w:cs="Times New Roman"/>
          <w:color w:val="auto"/>
          <w:sz w:val="28"/>
          <w:szCs w:val="28"/>
          <w:lang w:val="uk-UA"/>
        </w:rPr>
        <w:t>ПРАКТИЧНІ РЕКОМЕНДАЦІЇ</w:t>
      </w:r>
      <w:bookmarkEnd w:id="40"/>
    </w:p>
    <w:p w14:paraId="02C96361" w14:textId="77777777" w:rsidR="00112933" w:rsidRPr="00112933" w:rsidRDefault="00112933" w:rsidP="00112933">
      <w:pPr>
        <w:rPr>
          <w:lang w:val="uk-UA"/>
        </w:rPr>
      </w:pPr>
    </w:p>
    <w:p w14:paraId="5C4B15C2" w14:textId="5BBE26B0" w:rsidR="00A822FE" w:rsidRDefault="00A822FE" w:rsidP="00112933">
      <w:pPr>
        <w:spacing w:after="0" w:line="360" w:lineRule="auto"/>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Забезпечення ефективності ранньої діагностики, профілактики, прогнозу та лікування</w:t>
      </w:r>
      <w:r>
        <w:rPr>
          <w:rFonts w:ascii="Times New Roman" w:hAnsi="Times New Roman" w:cs="Times New Roman"/>
          <w:sz w:val="28"/>
          <w:szCs w:val="28"/>
          <w:lang w:val="uk-UA"/>
        </w:rPr>
        <w:t xml:space="preserve"> хронічного гінгівіту у дітей з атопічними захворюваннями пропонується проводити наступним чином:</w:t>
      </w:r>
    </w:p>
    <w:p w14:paraId="3DB2BB41" w14:textId="77777777" w:rsidR="00713CF7" w:rsidRPr="00DD39D0" w:rsidRDefault="00713CF7" w:rsidP="00713CF7">
      <w:pPr>
        <w:pStyle w:val="ListParagraph"/>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Рекомендовано в</w:t>
      </w:r>
      <w:r w:rsidRPr="00DD39D0">
        <w:rPr>
          <w:rFonts w:ascii="Times New Roman" w:hAnsi="Times New Roman"/>
          <w:sz w:val="28"/>
          <w:szCs w:val="28"/>
          <w:lang w:val="uk-UA"/>
        </w:rPr>
        <w:t>вести термін диспансерного нагляду дітей з атопічними захворюваннями з відвідуванням лікаря-стоматолога один раз на шість місяців</w:t>
      </w:r>
    </w:p>
    <w:p w14:paraId="0CC67633" w14:textId="77777777" w:rsidR="00713CF7" w:rsidRPr="00DD39D0" w:rsidRDefault="00713CF7" w:rsidP="00713CF7">
      <w:pPr>
        <w:pStyle w:val="ListParagraph"/>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Під час кожного профілактичного візиту</w:t>
      </w:r>
      <w:r>
        <w:rPr>
          <w:rFonts w:ascii="Times New Roman" w:hAnsi="Times New Roman"/>
          <w:sz w:val="28"/>
          <w:szCs w:val="28"/>
          <w:lang w:val="uk-UA"/>
        </w:rPr>
        <w:t xml:space="preserve"> у дітей з атопічними захворюваннями</w:t>
      </w:r>
      <w:r w:rsidRPr="00DD39D0">
        <w:rPr>
          <w:rFonts w:ascii="Times New Roman" w:hAnsi="Times New Roman"/>
          <w:sz w:val="28"/>
          <w:szCs w:val="28"/>
          <w:lang w:val="uk-UA"/>
        </w:rPr>
        <w:t xml:space="preserve"> </w:t>
      </w:r>
      <w:r>
        <w:rPr>
          <w:rFonts w:ascii="Times New Roman" w:hAnsi="Times New Roman"/>
          <w:sz w:val="28"/>
          <w:szCs w:val="28"/>
          <w:lang w:val="uk-UA"/>
        </w:rPr>
        <w:t>під час</w:t>
      </w:r>
      <w:r w:rsidRPr="00DD39D0">
        <w:rPr>
          <w:rFonts w:ascii="Times New Roman" w:hAnsi="Times New Roman"/>
          <w:sz w:val="28"/>
          <w:szCs w:val="28"/>
          <w:lang w:val="uk-UA"/>
        </w:rPr>
        <w:t xml:space="preserve"> стоматологічного огляду</w:t>
      </w:r>
      <w:r>
        <w:rPr>
          <w:rFonts w:ascii="Times New Roman" w:hAnsi="Times New Roman"/>
          <w:sz w:val="28"/>
          <w:szCs w:val="28"/>
          <w:lang w:val="uk-UA"/>
        </w:rPr>
        <w:t xml:space="preserve"> рекомендовано</w:t>
      </w:r>
      <w:r w:rsidRPr="00DD39D0">
        <w:rPr>
          <w:rFonts w:ascii="Times New Roman" w:hAnsi="Times New Roman"/>
          <w:sz w:val="28"/>
          <w:szCs w:val="28"/>
          <w:lang w:val="uk-UA"/>
        </w:rPr>
        <w:t xml:space="preserve"> проводити неінвазивну скринінг-діагностику, яка полягає у заборі ротової рідини з подальшим визначенням рівня відновленого глутатіону, рівня секреторного імуноглобуліну А та імуноглобуліну </w:t>
      </w:r>
      <w:r w:rsidRPr="00DD39D0">
        <w:rPr>
          <w:rFonts w:ascii="Times New Roman" w:hAnsi="Times New Roman"/>
          <w:sz w:val="28"/>
          <w:szCs w:val="28"/>
        </w:rPr>
        <w:t>G</w:t>
      </w:r>
      <w:r w:rsidRPr="00DD39D0">
        <w:rPr>
          <w:rFonts w:ascii="Times New Roman" w:hAnsi="Times New Roman"/>
          <w:sz w:val="28"/>
          <w:szCs w:val="28"/>
          <w:lang w:val="uk-UA"/>
        </w:rPr>
        <w:t>.</w:t>
      </w:r>
    </w:p>
    <w:p w14:paraId="34B134E1" w14:textId="77777777" w:rsidR="00713CF7" w:rsidRPr="00DD39D0" w:rsidRDefault="00713CF7" w:rsidP="00713CF7">
      <w:pPr>
        <w:pStyle w:val="ListParagraph"/>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При профілактичних оглядах дітей з атопічними захворюваннями рекомендувати схему індивідуальної гігієни, яка включає засто</w:t>
      </w:r>
      <w:r>
        <w:rPr>
          <w:rFonts w:ascii="Times New Roman" w:hAnsi="Times New Roman"/>
          <w:sz w:val="28"/>
          <w:szCs w:val="28"/>
          <w:lang w:val="uk-UA"/>
        </w:rPr>
        <w:t>сування ополіскувача</w:t>
      </w:r>
      <w:r w:rsidRPr="00DD39D0">
        <w:rPr>
          <w:rFonts w:ascii="Times New Roman" w:hAnsi="Times New Roman"/>
          <w:sz w:val="28"/>
          <w:szCs w:val="28"/>
          <w:lang w:val="uk-UA"/>
        </w:rPr>
        <w:t xml:space="preserve"> з нейтральним рН та використання гелю для ясен з вмістом бетаїну, </w:t>
      </w:r>
      <w:r>
        <w:rPr>
          <w:rFonts w:ascii="Times New Roman" w:hAnsi="Times New Roman"/>
          <w:sz w:val="28"/>
          <w:szCs w:val="28"/>
          <w:lang w:val="uk-UA"/>
        </w:rPr>
        <w:t xml:space="preserve">алое вера, </w:t>
      </w:r>
      <w:r w:rsidRPr="00DD39D0">
        <w:rPr>
          <w:rFonts w:ascii="Times New Roman" w:hAnsi="Times New Roman"/>
          <w:sz w:val="28"/>
          <w:szCs w:val="28"/>
          <w:lang w:val="uk-UA"/>
        </w:rPr>
        <w:t xml:space="preserve">алантоїну </w:t>
      </w:r>
      <w:r>
        <w:rPr>
          <w:rFonts w:ascii="Times New Roman" w:hAnsi="Times New Roman"/>
          <w:sz w:val="28"/>
          <w:szCs w:val="28"/>
          <w:lang w:val="uk-UA"/>
        </w:rPr>
        <w:t xml:space="preserve">та ксиліту </w:t>
      </w:r>
      <w:r w:rsidRPr="00DD39D0">
        <w:rPr>
          <w:rFonts w:ascii="Times New Roman" w:hAnsi="Times New Roman"/>
          <w:sz w:val="28"/>
          <w:szCs w:val="28"/>
          <w:lang w:val="uk-UA"/>
        </w:rPr>
        <w:t>у періоди загострення соматичного захворювання.</w:t>
      </w:r>
    </w:p>
    <w:p w14:paraId="5F2C6F40" w14:textId="16071E17" w:rsidR="0004513B" w:rsidRPr="00713CF7" w:rsidRDefault="00713CF7" w:rsidP="00713CF7">
      <w:pPr>
        <w:pStyle w:val="ListParagraph"/>
        <w:numPr>
          <w:ilvl w:val="0"/>
          <w:numId w:val="3"/>
        </w:numPr>
        <w:spacing w:after="0" w:line="360" w:lineRule="auto"/>
        <w:jc w:val="both"/>
        <w:rPr>
          <w:rFonts w:ascii="Times New Roman" w:hAnsi="Times New Roman"/>
          <w:sz w:val="28"/>
          <w:szCs w:val="28"/>
          <w:lang w:val="uk-UA"/>
        </w:rPr>
      </w:pPr>
      <w:r w:rsidRPr="00DD39D0">
        <w:rPr>
          <w:rFonts w:ascii="Times New Roman" w:hAnsi="Times New Roman"/>
          <w:sz w:val="28"/>
          <w:szCs w:val="28"/>
          <w:lang w:val="uk-UA"/>
        </w:rPr>
        <w:t xml:space="preserve">При виявленні запальних змін тканин пародонту або при визначенні змін імунометаболічних показників </w:t>
      </w:r>
      <w:r>
        <w:rPr>
          <w:rFonts w:ascii="Times New Roman" w:hAnsi="Times New Roman"/>
          <w:sz w:val="28"/>
          <w:szCs w:val="28"/>
          <w:lang w:val="uk-UA"/>
        </w:rPr>
        <w:t xml:space="preserve">рекомендовано </w:t>
      </w:r>
      <w:r w:rsidRPr="00DD39D0">
        <w:rPr>
          <w:rFonts w:ascii="Times New Roman" w:hAnsi="Times New Roman"/>
          <w:sz w:val="28"/>
          <w:szCs w:val="28"/>
          <w:lang w:val="uk-UA"/>
        </w:rPr>
        <w:t>призначити курс прийому імуномодулюючих препаратів та вітаміно-антиоксидантних комплексів</w:t>
      </w:r>
      <w:r>
        <w:rPr>
          <w:rFonts w:ascii="Times New Roman" w:hAnsi="Times New Roman"/>
          <w:sz w:val="28"/>
          <w:szCs w:val="28"/>
          <w:lang w:val="uk-UA"/>
        </w:rPr>
        <w:t xml:space="preserve"> відповідно до розробленої диференційованої схеми лікувально-профілактичних заходів</w:t>
      </w:r>
      <w:r w:rsidRPr="00DD39D0">
        <w:rPr>
          <w:rFonts w:ascii="Times New Roman" w:hAnsi="Times New Roman"/>
          <w:sz w:val="28"/>
          <w:szCs w:val="28"/>
          <w:lang w:val="uk-UA"/>
        </w:rPr>
        <w:t>.</w:t>
      </w:r>
    </w:p>
    <w:p w14:paraId="20376392" w14:textId="2116F661" w:rsidR="00A822FE" w:rsidRPr="00A822FE" w:rsidRDefault="00A822FE" w:rsidP="00A822FE">
      <w:pPr>
        <w:spacing w:after="0" w:line="360" w:lineRule="auto"/>
        <w:jc w:val="both"/>
        <w:rPr>
          <w:rFonts w:ascii="Times New Roman" w:hAnsi="Times New Roman" w:cs="Times New Roman"/>
          <w:sz w:val="28"/>
          <w:szCs w:val="28"/>
          <w:lang w:val="uk-UA"/>
        </w:rPr>
      </w:pPr>
    </w:p>
    <w:p w14:paraId="71182806" w14:textId="77777777" w:rsidR="0049043E" w:rsidRPr="008919FB" w:rsidRDefault="0049043E">
      <w:pPr>
        <w:rPr>
          <w:rFonts w:asciiTheme="majorHAnsi" w:eastAsiaTheme="majorEastAsia" w:hAnsiTheme="majorHAnsi" w:cstheme="majorBidi"/>
          <w:color w:val="2E74B5" w:themeColor="accent1" w:themeShade="BF"/>
          <w:sz w:val="26"/>
          <w:szCs w:val="26"/>
          <w:lang w:val="uk-UA"/>
        </w:rPr>
      </w:pPr>
      <w:r w:rsidRPr="008919FB">
        <w:rPr>
          <w:lang w:val="uk-UA"/>
        </w:rPr>
        <w:br w:type="page"/>
      </w:r>
    </w:p>
    <w:p w14:paraId="62EDC9F7" w14:textId="03C67F8E" w:rsidR="009B6CE4" w:rsidRDefault="009B6CE4" w:rsidP="00112933">
      <w:pPr>
        <w:pStyle w:val="Heading1"/>
        <w:spacing w:before="0" w:line="360" w:lineRule="auto"/>
        <w:jc w:val="center"/>
        <w:rPr>
          <w:rFonts w:ascii="Times New Roman" w:hAnsi="Times New Roman" w:cs="Times New Roman"/>
          <w:color w:val="auto"/>
          <w:sz w:val="28"/>
          <w:szCs w:val="28"/>
        </w:rPr>
      </w:pPr>
      <w:bookmarkStart w:id="41" w:name="_Toc507575334"/>
      <w:r w:rsidRPr="00112933">
        <w:rPr>
          <w:rFonts w:ascii="Times New Roman" w:hAnsi="Times New Roman" w:cs="Times New Roman"/>
          <w:color w:val="auto"/>
          <w:sz w:val="28"/>
          <w:szCs w:val="28"/>
        </w:rPr>
        <w:t>СПИСОК ВИКОРИСТАНИХ ДЖЕРЕЛ</w:t>
      </w:r>
      <w:bookmarkEnd w:id="41"/>
    </w:p>
    <w:p w14:paraId="724B5C29" w14:textId="77777777" w:rsidR="00112933" w:rsidRPr="00112933" w:rsidRDefault="00112933" w:rsidP="00112933"/>
    <w:p w14:paraId="1ECF97A3" w14:textId="77777777" w:rsidR="002767DC" w:rsidRDefault="002767DC" w:rsidP="00112933">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12933">
        <w:rPr>
          <w:rFonts w:ascii="Times New Roman" w:hAnsi="Times New Roman" w:cs="Times New Roman"/>
          <w:sz w:val="28"/>
          <w:szCs w:val="28"/>
          <w:lang w:val="uk-UA"/>
        </w:rPr>
        <w:t>Каськова Л</w:t>
      </w:r>
      <w:r>
        <w:rPr>
          <w:rFonts w:ascii="Times New Roman" w:hAnsi="Times New Roman" w:cs="Times New Roman"/>
          <w:sz w:val="28"/>
          <w:szCs w:val="28"/>
          <w:lang w:val="uk-UA"/>
        </w:rPr>
        <w:t xml:space="preserve">. Ф. </w:t>
      </w:r>
      <w:r w:rsidRPr="000E183E">
        <w:rPr>
          <w:rFonts w:ascii="Times New Roman" w:hAnsi="Times New Roman" w:cs="Times New Roman"/>
          <w:sz w:val="28"/>
          <w:szCs w:val="28"/>
          <w:lang w:val="uk-UA"/>
        </w:rPr>
        <w:t>Стан тканин пародонта в дітей із флюорозом зубів з регіонів із різним вмістом фтору в питній воді / Л. Ф. Каськова, Н. А. Моргун, С. Ч. Новикова, Н. В. Янко, Л. І. Амосова, І. Л. Маковка // Профілактична та дитяча стоматологія. - 2014. - № 2. - С. 5-8.</w:t>
      </w:r>
    </w:p>
    <w:p w14:paraId="1CF91B3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Ковач І.В. </w:t>
      </w:r>
      <w:r w:rsidRPr="000E183E">
        <w:rPr>
          <w:rFonts w:ascii="Times New Roman" w:hAnsi="Times New Roman" w:cs="Times New Roman"/>
          <w:sz w:val="28"/>
          <w:szCs w:val="28"/>
          <w:lang w:val="uk-UA"/>
        </w:rPr>
        <w:t>Динаміка показників клінічного стану тканин зубів та пародонту у дітей під впливом лікувально-профілактичних заходів на тлі ортодонтичного лікування / І. В. Ковач, Я. В. Лавренюк // Современная стоматология. - 2016. - № 1. - С. 58-63.</w:t>
      </w:r>
    </w:p>
    <w:p w14:paraId="1B96B08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 xml:space="preserve">Савичук О. В. Сучасні особливості стану тканин пародонта у дітей / О. В. Савичук, О. </w:t>
      </w:r>
      <w:r>
        <w:rPr>
          <w:rFonts w:ascii="Times New Roman" w:hAnsi="Times New Roman" w:cs="Times New Roman"/>
          <w:sz w:val="28"/>
          <w:szCs w:val="28"/>
          <w:lang w:val="uk-UA"/>
        </w:rPr>
        <w:t>О. Тимофеева, Л. О. Хоменко //Л</w:t>
      </w:r>
      <w:r w:rsidRPr="000E183E">
        <w:rPr>
          <w:rFonts w:ascii="Times New Roman" w:hAnsi="Times New Roman" w:cs="Times New Roman"/>
          <w:sz w:val="28"/>
          <w:szCs w:val="28"/>
          <w:lang w:val="uk-UA"/>
        </w:rPr>
        <w:t>іки України. - 2010. - № 3. - С. 54-56.</w:t>
      </w:r>
    </w:p>
    <w:p w14:paraId="7EFEFBD0" w14:textId="77777777" w:rsidR="002767DC" w:rsidRPr="00DB3A79"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Малий Д. Ю. Епідеміологія захворювань пародонта: віковий аспект / Д. Ю. Малий, М. Ю. Антоненко // Український науково-медичний молодіжний журнал. - 2013. - № 4. - С. 41-43.</w:t>
      </w:r>
    </w:p>
    <w:p w14:paraId="170F536D" w14:textId="6E5F669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Опанасенко О.О. Визначення вагомості факторів ризику виникнення хронічного катараль</w:t>
      </w:r>
      <w:r>
        <w:rPr>
          <w:rFonts w:ascii="Times New Roman" w:hAnsi="Times New Roman" w:cs="Times New Roman"/>
          <w:sz w:val="28"/>
          <w:szCs w:val="28"/>
          <w:lang w:val="uk-UA"/>
        </w:rPr>
        <w:t>ного гінгівіту у дітей</w:t>
      </w:r>
      <w:r w:rsidRPr="00DF394A">
        <w:rPr>
          <w:rFonts w:ascii="Times New Roman" w:hAnsi="Times New Roman" w:cs="Times New Roman"/>
          <w:sz w:val="28"/>
          <w:szCs w:val="28"/>
          <w:lang w:val="uk-UA"/>
        </w:rPr>
        <w:t xml:space="preserve"> / О.О. Опанасенко //. Профілактична та </w:t>
      </w:r>
      <w:r w:rsidR="00877D22">
        <w:rPr>
          <w:rFonts w:ascii="Times New Roman" w:hAnsi="Times New Roman" w:cs="Times New Roman"/>
          <w:sz w:val="28"/>
          <w:szCs w:val="28"/>
          <w:lang w:val="uk-UA"/>
        </w:rPr>
        <w:t xml:space="preserve">дитяча стоматологія. – 2011. – </w:t>
      </w:r>
      <w:r w:rsidRPr="00DF394A">
        <w:rPr>
          <w:rFonts w:ascii="Times New Roman" w:hAnsi="Times New Roman" w:cs="Times New Roman"/>
          <w:sz w:val="28"/>
          <w:szCs w:val="28"/>
          <w:lang w:val="uk-UA"/>
        </w:rPr>
        <w:t>№ 2 (5). – С. 34-40</w:t>
      </w:r>
    </w:p>
    <w:p w14:paraId="42002FA0" w14:textId="7C54B2B8" w:rsidR="002767DC" w:rsidRPr="000C17AD"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 xml:space="preserve">Хоменко Л. О. Вплив стану організму на стоматологічні захворювання у дітей та підлітків / Л. О. Хоменко, О. І. Остапко, Н. В. Біденко, І. М. Голубєва, О. О. Воєвода, О. В. Дуда // Медична наука України.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 xml:space="preserve"> 2016.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 xml:space="preserve">Т. 12, № 1-2. </w:t>
      </w:r>
      <w:r w:rsidR="00877D22" w:rsidRPr="00DF394A">
        <w:rPr>
          <w:rFonts w:ascii="Times New Roman" w:hAnsi="Times New Roman" w:cs="Times New Roman"/>
          <w:sz w:val="28"/>
          <w:szCs w:val="28"/>
          <w:lang w:val="uk-UA"/>
        </w:rPr>
        <w:t xml:space="preserve">– </w:t>
      </w:r>
      <w:r w:rsidRPr="000E183E">
        <w:rPr>
          <w:rFonts w:ascii="Times New Roman" w:hAnsi="Times New Roman" w:cs="Times New Roman"/>
          <w:sz w:val="28"/>
          <w:szCs w:val="28"/>
          <w:lang w:val="uk-UA"/>
        </w:rPr>
        <w:t>С. 58-63.</w:t>
      </w:r>
    </w:p>
    <w:p w14:paraId="1C2FDB5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Романенко О.Г. Умови розвитку захворювань пародонту в дитячому віці й патологія верхніх в</w:t>
      </w:r>
      <w:r>
        <w:rPr>
          <w:rFonts w:ascii="Times New Roman" w:hAnsi="Times New Roman" w:cs="Times New Roman"/>
          <w:sz w:val="28"/>
          <w:szCs w:val="28"/>
          <w:lang w:val="uk-UA"/>
        </w:rPr>
        <w:t xml:space="preserve">ідділів травного тракту </w:t>
      </w:r>
      <w:r w:rsidRPr="00DF394A">
        <w:rPr>
          <w:rFonts w:ascii="Times New Roman" w:hAnsi="Times New Roman" w:cs="Times New Roman"/>
          <w:sz w:val="28"/>
          <w:szCs w:val="28"/>
          <w:lang w:val="uk-UA"/>
        </w:rPr>
        <w:t>/ О.Г. Романенко, В.О. Кондратьєв // Здоровье ребенка. – 2010. – № 4. – С. 145-148.</w:t>
      </w:r>
    </w:p>
    <w:p w14:paraId="72FED772" w14:textId="4EE619BA" w:rsidR="002767DC" w:rsidRPr="0093706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F394A">
        <w:rPr>
          <w:rFonts w:ascii="Times New Roman" w:hAnsi="Times New Roman" w:cs="Times New Roman"/>
          <w:sz w:val="28"/>
          <w:szCs w:val="28"/>
          <w:lang w:val="uk-UA"/>
        </w:rPr>
        <w:t xml:space="preserve">Беш Л.В. Аналіз діагностичних і лікувальних помилок у дитячій алергології / Л.В. Беш// Здоровье ребенка. </w:t>
      </w:r>
      <w:r w:rsidR="00877D22" w:rsidRPr="00DF394A">
        <w:rPr>
          <w:rFonts w:ascii="Times New Roman" w:hAnsi="Times New Roman" w:cs="Times New Roman"/>
          <w:sz w:val="28"/>
          <w:szCs w:val="28"/>
          <w:lang w:val="uk-UA"/>
        </w:rPr>
        <w:t xml:space="preserve">– </w:t>
      </w:r>
      <w:r w:rsidRPr="00DF394A">
        <w:rPr>
          <w:rFonts w:ascii="Times New Roman" w:hAnsi="Times New Roman" w:cs="Times New Roman"/>
          <w:sz w:val="28"/>
          <w:szCs w:val="28"/>
          <w:lang w:val="uk-UA"/>
        </w:rPr>
        <w:t xml:space="preserve">2007. </w:t>
      </w:r>
      <w:r w:rsidR="00877D22" w:rsidRPr="00DF394A">
        <w:rPr>
          <w:rFonts w:ascii="Times New Roman" w:hAnsi="Times New Roman" w:cs="Times New Roman"/>
          <w:sz w:val="28"/>
          <w:szCs w:val="28"/>
          <w:lang w:val="uk-UA"/>
        </w:rPr>
        <w:t>–</w:t>
      </w:r>
      <w:r w:rsidRPr="00DF394A">
        <w:rPr>
          <w:rFonts w:ascii="Times New Roman" w:hAnsi="Times New Roman" w:cs="Times New Roman"/>
          <w:sz w:val="28"/>
          <w:szCs w:val="28"/>
          <w:lang w:val="uk-UA"/>
        </w:rPr>
        <w:t xml:space="preserve"> № 4. </w:t>
      </w:r>
      <w:r w:rsidR="00877D22">
        <w:rPr>
          <w:rFonts w:ascii="Times New Roman" w:hAnsi="Times New Roman" w:cs="Times New Roman"/>
          <w:sz w:val="28"/>
          <w:szCs w:val="28"/>
          <w:lang w:val="uk-UA"/>
        </w:rPr>
        <w:t>–</w:t>
      </w:r>
      <w:r w:rsidRPr="00DF394A">
        <w:rPr>
          <w:rFonts w:ascii="Times New Roman" w:hAnsi="Times New Roman" w:cs="Times New Roman"/>
          <w:sz w:val="28"/>
          <w:szCs w:val="28"/>
          <w:lang w:val="uk-UA"/>
        </w:rPr>
        <w:t xml:space="preserve"> С. 69</w:t>
      </w:r>
      <w:r>
        <w:rPr>
          <w:rFonts w:ascii="Times New Roman" w:hAnsi="Times New Roman" w:cs="Times New Roman"/>
          <w:sz w:val="28"/>
          <w:szCs w:val="28"/>
          <w:lang w:val="uk-UA"/>
        </w:rPr>
        <w:t>-</w:t>
      </w:r>
      <w:r w:rsidRPr="00DF394A">
        <w:rPr>
          <w:rFonts w:ascii="Times New Roman" w:hAnsi="Times New Roman" w:cs="Times New Roman"/>
          <w:sz w:val="28"/>
          <w:szCs w:val="28"/>
          <w:lang w:val="uk-UA"/>
        </w:rPr>
        <w:t>72.</w:t>
      </w:r>
    </w:p>
    <w:p w14:paraId="359C22C1" w14:textId="77777777" w:rsidR="002767DC" w:rsidRPr="000E183E"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183E">
        <w:rPr>
          <w:rFonts w:ascii="Times New Roman" w:hAnsi="Times New Roman" w:cs="Times New Roman"/>
          <w:sz w:val="28"/>
          <w:szCs w:val="28"/>
          <w:lang w:val="uk-UA"/>
        </w:rPr>
        <w:t>Паттерсон Р. Аллергические болезни (диагностика и лечение) / Р. Патте</w:t>
      </w:r>
      <w:r>
        <w:rPr>
          <w:rFonts w:ascii="Times New Roman" w:hAnsi="Times New Roman" w:cs="Times New Roman"/>
          <w:sz w:val="28"/>
          <w:szCs w:val="28"/>
          <w:lang w:val="uk-UA"/>
        </w:rPr>
        <w:t>рсон, Л. Грэмэр, П. Гринберг. —</w:t>
      </w:r>
      <w:r w:rsidRPr="000E183E">
        <w:rPr>
          <w:rFonts w:ascii="Times New Roman" w:hAnsi="Times New Roman" w:cs="Times New Roman"/>
          <w:sz w:val="28"/>
          <w:szCs w:val="28"/>
          <w:lang w:val="uk-UA"/>
        </w:rPr>
        <w:t xml:space="preserve"> М. : Геотар, 2000. — 734 с.</w:t>
      </w:r>
    </w:p>
    <w:p w14:paraId="41EE272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3706C">
        <w:rPr>
          <w:rFonts w:ascii="Times New Roman" w:hAnsi="Times New Roman" w:cs="Times New Roman"/>
          <w:sz w:val="28"/>
          <w:szCs w:val="28"/>
          <w:lang w:val="uk-UA"/>
        </w:rPr>
        <w:t>Проценко Т. В. Атопический дерматит: рук во для врачей /. Т. В. Проценко. — Донецк : Мединфо, 2008.</w:t>
      </w:r>
      <w:r>
        <w:rPr>
          <w:rFonts w:ascii="Times New Roman" w:hAnsi="Times New Roman" w:cs="Times New Roman"/>
          <w:sz w:val="28"/>
          <w:szCs w:val="28"/>
          <w:lang w:val="uk-UA"/>
        </w:rPr>
        <w:t xml:space="preserve"> – С.108</w:t>
      </w:r>
    </w:p>
    <w:p w14:paraId="686098E5" w14:textId="6539CE98"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3706C">
        <w:rPr>
          <w:rFonts w:ascii="Times New Roman" w:hAnsi="Times New Roman" w:cs="Times New Roman"/>
          <w:sz w:val="28"/>
          <w:szCs w:val="28"/>
          <w:lang w:val="uk-UA"/>
        </w:rPr>
        <w:t xml:space="preserve">Безвушко Е.В. Порівняльна оцінка стоматологічного </w:t>
      </w:r>
      <w:r>
        <w:rPr>
          <w:rFonts w:ascii="Times New Roman" w:hAnsi="Times New Roman" w:cs="Times New Roman"/>
          <w:sz w:val="28"/>
          <w:szCs w:val="28"/>
          <w:lang w:val="uk-UA"/>
        </w:rPr>
        <w:t>здоров'я дітей шкільного віку за</w:t>
      </w:r>
      <w:r w:rsidRPr="0093706C">
        <w:rPr>
          <w:rFonts w:ascii="Times New Roman" w:hAnsi="Times New Roman" w:cs="Times New Roman"/>
          <w:sz w:val="28"/>
          <w:szCs w:val="28"/>
          <w:lang w:val="uk-UA"/>
        </w:rPr>
        <w:t xml:space="preserve"> Європейськими індикато</w:t>
      </w:r>
      <w:r>
        <w:rPr>
          <w:rFonts w:ascii="Times New Roman" w:hAnsi="Times New Roman" w:cs="Times New Roman"/>
          <w:sz w:val="28"/>
          <w:szCs w:val="28"/>
          <w:lang w:val="uk-UA"/>
        </w:rPr>
        <w:t>рами здоров'я порожнини рота / Е.В. Безвушко</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Л.Ф. Жугіна</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А.А. Нарикова</w:t>
      </w:r>
      <w:r w:rsidRPr="0093706C">
        <w:rPr>
          <w:rFonts w:ascii="Times New Roman" w:hAnsi="Times New Roman" w:cs="Times New Roman"/>
          <w:sz w:val="28"/>
          <w:szCs w:val="28"/>
          <w:lang w:val="uk-UA"/>
        </w:rPr>
        <w:t xml:space="preserve">, </w:t>
      </w:r>
      <w:r>
        <w:rPr>
          <w:rFonts w:ascii="Times New Roman" w:hAnsi="Times New Roman" w:cs="Times New Roman"/>
          <w:sz w:val="28"/>
          <w:szCs w:val="28"/>
          <w:lang w:val="uk-UA"/>
        </w:rPr>
        <w:t>Н.Л. Чухрай</w:t>
      </w:r>
      <w:r w:rsidRPr="0093706C">
        <w:rPr>
          <w:rFonts w:ascii="Times New Roman" w:hAnsi="Times New Roman" w:cs="Times New Roman"/>
          <w:sz w:val="28"/>
          <w:szCs w:val="28"/>
          <w:lang w:val="uk-UA"/>
        </w:rPr>
        <w:t xml:space="preserve"> // Новини стоматології.</w:t>
      </w:r>
      <w:r>
        <w:rPr>
          <w:rFonts w:ascii="Times New Roman" w:hAnsi="Times New Roman" w:cs="Times New Roman"/>
          <w:sz w:val="28"/>
          <w:szCs w:val="28"/>
          <w:lang w:val="uk-UA"/>
        </w:rPr>
        <w:t xml:space="preserve"> </w:t>
      </w:r>
      <w:r w:rsidR="00877D22" w:rsidRPr="00DF394A">
        <w:rPr>
          <w:rFonts w:ascii="Times New Roman" w:hAnsi="Times New Roman" w:cs="Times New Roman"/>
          <w:sz w:val="28"/>
          <w:szCs w:val="28"/>
          <w:lang w:val="uk-UA"/>
        </w:rPr>
        <w:t xml:space="preserve">– </w:t>
      </w:r>
      <w:r w:rsidRPr="0093706C">
        <w:rPr>
          <w:rFonts w:ascii="Times New Roman" w:hAnsi="Times New Roman" w:cs="Times New Roman"/>
          <w:sz w:val="28"/>
          <w:szCs w:val="28"/>
          <w:lang w:val="uk-UA"/>
        </w:rPr>
        <w:t>2013.</w:t>
      </w:r>
      <w:r>
        <w:rPr>
          <w:rFonts w:ascii="Times New Roman" w:hAnsi="Times New Roman" w:cs="Times New Roman"/>
          <w:sz w:val="28"/>
          <w:szCs w:val="28"/>
          <w:lang w:val="uk-UA"/>
        </w:rPr>
        <w:t xml:space="preserve"> </w:t>
      </w:r>
      <w:r w:rsidR="00877D22">
        <w:rPr>
          <w:rFonts w:ascii="Times New Roman" w:hAnsi="Times New Roman" w:cs="Times New Roman"/>
          <w:sz w:val="28"/>
          <w:szCs w:val="28"/>
          <w:lang w:val="uk-UA"/>
        </w:rPr>
        <w:t>–</w:t>
      </w:r>
      <w:r w:rsidRPr="0093706C">
        <w:rPr>
          <w:rFonts w:ascii="Times New Roman" w:hAnsi="Times New Roman" w:cs="Times New Roman"/>
          <w:sz w:val="28"/>
          <w:szCs w:val="28"/>
          <w:lang w:val="uk-UA"/>
        </w:rPr>
        <w:t xml:space="preserve"> № 3.</w:t>
      </w:r>
      <w:r w:rsidR="00877D22">
        <w:rPr>
          <w:rFonts w:ascii="Times New Roman" w:hAnsi="Times New Roman" w:cs="Times New Roman"/>
          <w:sz w:val="28"/>
          <w:szCs w:val="28"/>
          <w:lang w:val="uk-UA"/>
        </w:rPr>
        <w:t xml:space="preserve"> </w:t>
      </w:r>
      <w:r w:rsidR="00877D22" w:rsidRPr="00DF394A">
        <w:rPr>
          <w:rFonts w:ascii="Times New Roman" w:hAnsi="Times New Roman" w:cs="Times New Roman"/>
          <w:sz w:val="28"/>
          <w:szCs w:val="28"/>
          <w:lang w:val="uk-UA"/>
        </w:rPr>
        <w:t xml:space="preserve">– </w:t>
      </w:r>
      <w:r w:rsidRPr="0093706C">
        <w:rPr>
          <w:rFonts w:ascii="Times New Roman" w:hAnsi="Times New Roman" w:cs="Times New Roman"/>
          <w:sz w:val="28"/>
          <w:szCs w:val="28"/>
          <w:lang w:val="uk-UA"/>
        </w:rPr>
        <w:t>С. 76-80.</w:t>
      </w:r>
    </w:p>
    <w:p w14:paraId="5CD67CF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Johansson S.G. </w:t>
      </w:r>
      <w:r w:rsidRPr="00087461">
        <w:rPr>
          <w:rFonts w:ascii="Times New Roman" w:hAnsi="Times New Roman" w:cs="Times New Roman"/>
          <w:sz w:val="28"/>
          <w:szCs w:val="28"/>
          <w:lang w:val="uk-UA"/>
        </w:rPr>
        <w:t>A re</w:t>
      </w:r>
      <w:r>
        <w:rPr>
          <w:rFonts w:ascii="Times New Roman" w:hAnsi="Times New Roman" w:cs="Times New Roman"/>
          <w:sz w:val="28"/>
          <w:szCs w:val="28"/>
          <w:lang w:val="uk-UA"/>
        </w:rPr>
        <w:t>vised nomenclature for allergy / S.</w:t>
      </w:r>
      <w:r>
        <w:rPr>
          <w:rFonts w:ascii="Times New Roman" w:hAnsi="Times New Roman" w:cs="Times New Roman"/>
          <w:sz w:val="28"/>
          <w:szCs w:val="28"/>
        </w:rPr>
        <w:t>G. Johansson, J.O. Hourihane</w:t>
      </w:r>
      <w:r w:rsidRPr="00087461">
        <w:rPr>
          <w:rFonts w:ascii="Times New Roman" w:hAnsi="Times New Roman" w:cs="Times New Roman"/>
          <w:sz w:val="28"/>
          <w:szCs w:val="28"/>
        </w:rPr>
        <w:t xml:space="preserve">, </w:t>
      </w:r>
      <w:r>
        <w:rPr>
          <w:rFonts w:ascii="Times New Roman" w:hAnsi="Times New Roman" w:cs="Times New Roman"/>
          <w:sz w:val="28"/>
          <w:szCs w:val="28"/>
        </w:rPr>
        <w:t>J. Bousquet //</w:t>
      </w:r>
      <w:r>
        <w:rPr>
          <w:rFonts w:ascii="Times New Roman" w:hAnsi="Times New Roman" w:cs="Times New Roman"/>
          <w:sz w:val="28"/>
          <w:szCs w:val="28"/>
          <w:lang w:val="uk-UA"/>
        </w:rPr>
        <w:t xml:space="preserve"> Allergy.</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2001. – </w:t>
      </w:r>
      <w:r>
        <w:rPr>
          <w:rFonts w:ascii="Times New Roman" w:hAnsi="Times New Roman" w:cs="Times New Roman"/>
          <w:sz w:val="28"/>
          <w:szCs w:val="28"/>
          <w:lang w:val="uk-UA"/>
        </w:rPr>
        <w:t>V</w:t>
      </w:r>
      <w:r w:rsidRPr="00087461">
        <w:rPr>
          <w:rFonts w:ascii="Times New Roman" w:hAnsi="Times New Roman" w:cs="Times New Roman"/>
          <w:sz w:val="28"/>
          <w:szCs w:val="28"/>
          <w:lang w:val="uk-UA"/>
        </w:rPr>
        <w:t>ol</w:t>
      </w:r>
      <w:r>
        <w:rPr>
          <w:rFonts w:ascii="Times New Roman" w:hAnsi="Times New Roman" w:cs="Times New Roman"/>
          <w:sz w:val="28"/>
          <w:szCs w:val="28"/>
          <w:lang w:val="uk-UA"/>
        </w:rPr>
        <w:t xml:space="preserve">. 56. </w:t>
      </w:r>
      <w:r>
        <w:rPr>
          <w:rFonts w:ascii="Times New Roman" w:hAnsi="Times New Roman" w:cs="Times New Roman"/>
          <w:sz w:val="28"/>
          <w:szCs w:val="28"/>
        </w:rPr>
        <w:t xml:space="preserve">– </w:t>
      </w:r>
      <w:r>
        <w:rPr>
          <w:rFonts w:ascii="Times New Roman" w:hAnsi="Times New Roman" w:cs="Times New Roman"/>
          <w:sz w:val="28"/>
          <w:szCs w:val="28"/>
          <w:lang w:val="uk-UA"/>
        </w:rPr>
        <w:t>P. 813–824</w:t>
      </w:r>
      <w:r w:rsidRPr="00087461">
        <w:rPr>
          <w:rFonts w:ascii="Times New Roman" w:hAnsi="Times New Roman" w:cs="Times New Roman"/>
          <w:sz w:val="28"/>
          <w:szCs w:val="28"/>
          <w:lang w:val="uk-UA"/>
        </w:rPr>
        <w:t>.</w:t>
      </w:r>
    </w:p>
    <w:p w14:paraId="2B848ED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Johansson S.G.</w:t>
      </w:r>
      <w:r w:rsidRPr="00087461">
        <w:rPr>
          <w:rFonts w:ascii="Times New Roman" w:hAnsi="Times New Roman" w:cs="Times New Roman"/>
          <w:sz w:val="28"/>
          <w:szCs w:val="28"/>
          <w:lang w:val="uk-UA"/>
        </w:rPr>
        <w:t xml:space="preserve"> </w:t>
      </w:r>
      <w:r w:rsidRPr="00A55D23">
        <w:rPr>
          <w:rFonts w:ascii="Times New Roman" w:hAnsi="Times New Roman" w:cs="Times New Roman"/>
          <w:sz w:val="28"/>
          <w:szCs w:val="28"/>
          <w:lang w:val="uk-UA"/>
        </w:rPr>
        <w:t>Revised nomenclature for allergy for global use: Report of the Nomenclature Review Committee of the World All</w:t>
      </w:r>
      <w:r>
        <w:rPr>
          <w:rFonts w:ascii="Times New Roman" w:hAnsi="Times New Roman" w:cs="Times New Roman"/>
          <w:sz w:val="28"/>
          <w:szCs w:val="28"/>
          <w:lang w:val="uk-UA"/>
        </w:rPr>
        <w:t xml:space="preserve">ergy Organization, October 2003 / </w:t>
      </w:r>
      <w:r w:rsidRPr="00087461">
        <w:rPr>
          <w:rFonts w:ascii="Times New Roman" w:hAnsi="Times New Roman" w:cs="Times New Roman"/>
          <w:sz w:val="28"/>
          <w:szCs w:val="28"/>
          <w:lang w:val="uk-UA"/>
        </w:rPr>
        <w:t>S</w:t>
      </w:r>
      <w:r>
        <w:rPr>
          <w:rFonts w:ascii="Times New Roman" w:hAnsi="Times New Roman" w:cs="Times New Roman"/>
          <w:sz w:val="28"/>
          <w:szCs w:val="28"/>
        </w:rPr>
        <w:t>.</w:t>
      </w:r>
      <w:r w:rsidRPr="00087461">
        <w:rPr>
          <w:rFonts w:ascii="Times New Roman" w:hAnsi="Times New Roman" w:cs="Times New Roman"/>
          <w:sz w:val="28"/>
          <w:szCs w:val="28"/>
          <w:lang w:val="uk-UA"/>
        </w:rPr>
        <w:t>G</w:t>
      </w:r>
      <w:r>
        <w:rPr>
          <w:rFonts w:ascii="Times New Roman" w:hAnsi="Times New Roman" w:cs="Times New Roman"/>
          <w:sz w:val="28"/>
          <w:szCs w:val="28"/>
        </w:rPr>
        <w:t>.</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J</w:t>
      </w:r>
      <w:r>
        <w:rPr>
          <w:rFonts w:ascii="Times New Roman" w:hAnsi="Times New Roman" w:cs="Times New Roman"/>
          <w:sz w:val="28"/>
          <w:szCs w:val="28"/>
          <w:lang w:val="uk-UA"/>
        </w:rPr>
        <w:t>ohansson</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 xml:space="preserve">T. </w:t>
      </w:r>
      <w:r>
        <w:rPr>
          <w:rFonts w:ascii="Times New Roman" w:hAnsi="Times New Roman" w:cs="Times New Roman"/>
          <w:sz w:val="28"/>
          <w:szCs w:val="28"/>
          <w:lang w:val="uk-UA"/>
        </w:rPr>
        <w:t>Bieber</w:t>
      </w:r>
      <w:r w:rsidRPr="00087461">
        <w:rPr>
          <w:rFonts w:ascii="Times New Roman" w:hAnsi="Times New Roman" w:cs="Times New Roman"/>
          <w:sz w:val="28"/>
          <w:szCs w:val="28"/>
          <w:lang w:val="uk-UA"/>
        </w:rPr>
        <w:t xml:space="preserve">, </w:t>
      </w:r>
      <w:r>
        <w:rPr>
          <w:rFonts w:ascii="Times New Roman" w:hAnsi="Times New Roman" w:cs="Times New Roman"/>
          <w:sz w:val="28"/>
          <w:szCs w:val="28"/>
        </w:rPr>
        <w:t xml:space="preserve">R.J. </w:t>
      </w:r>
      <w:r>
        <w:rPr>
          <w:rFonts w:ascii="Times New Roman" w:hAnsi="Times New Roman" w:cs="Times New Roman"/>
          <w:sz w:val="28"/>
          <w:szCs w:val="28"/>
          <w:lang w:val="uk-UA"/>
        </w:rPr>
        <w:t>Dahl //</w:t>
      </w:r>
      <w:r w:rsidRPr="00A55D23">
        <w:rPr>
          <w:rFonts w:ascii="Times New Roman" w:hAnsi="Times New Roman" w:cs="Times New Roman"/>
          <w:sz w:val="28"/>
          <w:szCs w:val="28"/>
          <w:lang w:val="uk-UA"/>
        </w:rPr>
        <w:t xml:space="preserve"> Allergy Clin Immunol.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2004.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Vol.</w:t>
      </w:r>
      <w:r>
        <w:rPr>
          <w:rFonts w:ascii="Times New Roman" w:hAnsi="Times New Roman" w:cs="Times New Roman"/>
          <w:sz w:val="28"/>
          <w:szCs w:val="28"/>
          <w:lang w:val="uk-UA"/>
        </w:rPr>
        <w:t>113 (5). – P.</w:t>
      </w:r>
      <w:r w:rsidRPr="00A55D23">
        <w:rPr>
          <w:rFonts w:ascii="Times New Roman" w:hAnsi="Times New Roman" w:cs="Times New Roman"/>
          <w:sz w:val="28"/>
          <w:szCs w:val="28"/>
          <w:lang w:val="uk-UA"/>
        </w:rPr>
        <w:t>832-</w:t>
      </w:r>
      <w:r>
        <w:rPr>
          <w:rFonts w:ascii="Times New Roman" w:hAnsi="Times New Roman" w:cs="Times New Roman"/>
          <w:sz w:val="28"/>
          <w:szCs w:val="28"/>
        </w:rPr>
        <w:t>83</w:t>
      </w:r>
      <w:r w:rsidRPr="00A55D23">
        <w:rPr>
          <w:rFonts w:ascii="Times New Roman" w:hAnsi="Times New Roman" w:cs="Times New Roman"/>
          <w:sz w:val="28"/>
          <w:szCs w:val="28"/>
          <w:lang w:val="uk-UA"/>
        </w:rPr>
        <w:t>6.</w:t>
      </w:r>
    </w:p>
    <w:p w14:paraId="1768545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Hwang C.Y. </w:t>
      </w:r>
      <w:r w:rsidRPr="00AF3776">
        <w:rPr>
          <w:rFonts w:ascii="Times New Roman" w:hAnsi="Times New Roman" w:cs="Times New Roman"/>
          <w:sz w:val="28"/>
          <w:szCs w:val="28"/>
          <w:lang w:val="uk-UA"/>
        </w:rPr>
        <w:t>Prevalence of atopic dermatitis, allergic rhinitis and asthma in Taiwan: a national study 2000 to 2007</w:t>
      </w:r>
      <w:r>
        <w:rPr>
          <w:rFonts w:ascii="Times New Roman" w:hAnsi="Times New Roman" w:cs="Times New Roman"/>
          <w:sz w:val="28"/>
          <w:szCs w:val="28"/>
        </w:rPr>
        <w:t xml:space="preserve"> / </w:t>
      </w:r>
      <w:r w:rsidRPr="00AF3776">
        <w:rPr>
          <w:rFonts w:ascii="Times New Roman" w:hAnsi="Times New Roman" w:cs="Times New Roman"/>
          <w:sz w:val="28"/>
          <w:szCs w:val="28"/>
          <w:lang w:val="uk-UA"/>
        </w:rPr>
        <w:t>C.Y. Hwan</w:t>
      </w:r>
      <w:r>
        <w:rPr>
          <w:rFonts w:ascii="Times New Roman" w:hAnsi="Times New Roman" w:cs="Times New Roman"/>
          <w:sz w:val="28"/>
          <w:szCs w:val="28"/>
          <w:lang w:val="uk-UA"/>
        </w:rPr>
        <w:t>g, Y.J. Chen, M.W. Lin et al.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Acta Derm Venereol. –</w:t>
      </w:r>
      <w:r>
        <w:rPr>
          <w:rFonts w:ascii="Times New Roman" w:hAnsi="Times New Roman" w:cs="Times New Roman"/>
          <w:sz w:val="28"/>
          <w:szCs w:val="28"/>
        </w:rPr>
        <w:t xml:space="preserve"> 2010. –</w:t>
      </w:r>
      <w:r>
        <w:rPr>
          <w:rFonts w:ascii="Times New Roman" w:hAnsi="Times New Roman" w:cs="Times New Roman"/>
          <w:sz w:val="28"/>
          <w:szCs w:val="28"/>
          <w:lang w:val="uk-UA"/>
        </w:rPr>
        <w:t xml:space="preserve"> V</w:t>
      </w:r>
      <w:r w:rsidRPr="00AF3776">
        <w:rPr>
          <w:rFonts w:ascii="Times New Roman" w:hAnsi="Times New Roman" w:cs="Times New Roman"/>
          <w:sz w:val="28"/>
          <w:szCs w:val="28"/>
          <w:lang w:val="uk-UA"/>
        </w:rPr>
        <w:t>ol.</w:t>
      </w:r>
      <w:r>
        <w:rPr>
          <w:rFonts w:ascii="Times New Roman" w:hAnsi="Times New Roman" w:cs="Times New Roman"/>
          <w:sz w:val="28"/>
          <w:szCs w:val="28"/>
          <w:lang w:val="uk-UA"/>
        </w:rPr>
        <w:t xml:space="preserve"> 90. </w:t>
      </w:r>
      <w:r>
        <w:rPr>
          <w:rFonts w:ascii="Times New Roman" w:hAnsi="Times New Roman" w:cs="Times New Roman"/>
          <w:sz w:val="28"/>
          <w:szCs w:val="28"/>
        </w:rPr>
        <w:t xml:space="preserve">– </w:t>
      </w:r>
      <w:r>
        <w:rPr>
          <w:rFonts w:ascii="Times New Roman" w:hAnsi="Times New Roman" w:cs="Times New Roman"/>
          <w:sz w:val="28"/>
          <w:szCs w:val="28"/>
          <w:lang w:val="uk-UA"/>
        </w:rPr>
        <w:t>P. 589-594</w:t>
      </w:r>
      <w:r w:rsidRPr="00AF3776">
        <w:rPr>
          <w:rFonts w:ascii="Times New Roman" w:hAnsi="Times New Roman" w:cs="Times New Roman"/>
          <w:sz w:val="28"/>
          <w:szCs w:val="28"/>
          <w:lang w:val="uk-UA"/>
        </w:rPr>
        <w:t>.</w:t>
      </w:r>
    </w:p>
    <w:p w14:paraId="1877D0EB"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Wong G.W. </w:t>
      </w:r>
      <w:r w:rsidRPr="00AF3776">
        <w:rPr>
          <w:rFonts w:ascii="Times New Roman" w:hAnsi="Times New Roman" w:cs="Times New Roman"/>
          <w:sz w:val="28"/>
          <w:szCs w:val="28"/>
          <w:lang w:val="uk-UA"/>
        </w:rPr>
        <w:t>Changing prevalence of allergic dise</w:t>
      </w:r>
      <w:r>
        <w:rPr>
          <w:rFonts w:ascii="Times New Roman" w:hAnsi="Times New Roman" w:cs="Times New Roman"/>
          <w:sz w:val="28"/>
          <w:szCs w:val="28"/>
          <w:lang w:val="uk-UA"/>
        </w:rPr>
        <w:t xml:space="preserve">ases in the Asia-pacific region </w:t>
      </w:r>
      <w:r>
        <w:rPr>
          <w:rFonts w:ascii="Times New Roman" w:hAnsi="Times New Roman" w:cs="Times New Roman"/>
          <w:sz w:val="28"/>
          <w:szCs w:val="28"/>
        </w:rPr>
        <w:t xml:space="preserve">/ </w:t>
      </w:r>
      <w:r w:rsidRPr="00AF3776">
        <w:rPr>
          <w:rFonts w:ascii="Times New Roman" w:hAnsi="Times New Roman" w:cs="Times New Roman"/>
          <w:sz w:val="28"/>
          <w:szCs w:val="28"/>
          <w:lang w:val="uk-UA"/>
        </w:rPr>
        <w:t>G.W</w:t>
      </w:r>
      <w:r>
        <w:rPr>
          <w:rFonts w:ascii="Times New Roman" w:hAnsi="Times New Roman" w:cs="Times New Roman"/>
          <w:sz w:val="28"/>
          <w:szCs w:val="28"/>
          <w:lang w:val="uk-UA"/>
        </w:rPr>
        <w:t>. Wong, T.F. Leung, F.W. /</w:t>
      </w:r>
      <w:r>
        <w:rPr>
          <w:rFonts w:ascii="Times New Roman" w:hAnsi="Times New Roman" w:cs="Times New Roman"/>
          <w:sz w:val="28"/>
          <w:szCs w:val="28"/>
        </w:rPr>
        <w:t>/</w:t>
      </w:r>
      <w:r w:rsidRPr="00AF3776">
        <w:rPr>
          <w:rFonts w:ascii="Times New Roman" w:hAnsi="Times New Roman" w:cs="Times New Roman"/>
          <w:sz w:val="28"/>
          <w:szCs w:val="28"/>
          <w:lang w:val="uk-UA"/>
        </w:rPr>
        <w:t xml:space="preserve"> Allergy </w:t>
      </w:r>
      <w:r>
        <w:rPr>
          <w:rFonts w:ascii="Times New Roman" w:hAnsi="Times New Roman" w:cs="Times New Roman"/>
          <w:sz w:val="28"/>
          <w:szCs w:val="28"/>
          <w:lang w:val="uk-UA"/>
        </w:rPr>
        <w:t>Asthma Immunol Res.</w:t>
      </w:r>
      <w:r>
        <w:rPr>
          <w:rFonts w:ascii="Times New Roman" w:hAnsi="Times New Roman" w:cs="Times New Roman"/>
          <w:sz w:val="28"/>
          <w:szCs w:val="28"/>
        </w:rPr>
        <w:t xml:space="preserve"> – 2013. – </w:t>
      </w:r>
      <w:r>
        <w:rPr>
          <w:rFonts w:ascii="Times New Roman" w:hAnsi="Times New Roman" w:cs="Times New Roman"/>
          <w:sz w:val="28"/>
          <w:szCs w:val="28"/>
          <w:lang w:val="uk-UA"/>
        </w:rPr>
        <w:t>№</w:t>
      </w:r>
      <w:r w:rsidRPr="00AF3776">
        <w:rPr>
          <w:rFonts w:ascii="Times New Roman" w:hAnsi="Times New Roman" w:cs="Times New Roman"/>
          <w:sz w:val="28"/>
          <w:szCs w:val="28"/>
          <w:lang w:val="uk-UA"/>
        </w:rPr>
        <w:t>5</w:t>
      </w:r>
      <w:r>
        <w:rPr>
          <w:rFonts w:ascii="Times New Roman" w:hAnsi="Times New Roman" w:cs="Times New Roman"/>
          <w:sz w:val="28"/>
          <w:szCs w:val="28"/>
        </w:rPr>
        <w:t xml:space="preserve">. – </w:t>
      </w:r>
      <w:r>
        <w:rPr>
          <w:rFonts w:ascii="Times New Roman" w:hAnsi="Times New Roman" w:cs="Times New Roman"/>
          <w:sz w:val="28"/>
          <w:szCs w:val="28"/>
          <w:lang w:val="uk-UA"/>
        </w:rPr>
        <w:t>P. 251-257</w:t>
      </w:r>
      <w:r w:rsidRPr="00AF3776">
        <w:rPr>
          <w:rFonts w:ascii="Times New Roman" w:hAnsi="Times New Roman" w:cs="Times New Roman"/>
          <w:sz w:val="28"/>
          <w:szCs w:val="28"/>
          <w:lang w:val="uk-UA"/>
        </w:rPr>
        <w:t>.</w:t>
      </w:r>
    </w:p>
    <w:p w14:paraId="479675E7" w14:textId="01B4F08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Акопян А.З. Распространенность алле</w:t>
      </w:r>
      <w:r>
        <w:rPr>
          <w:rFonts w:ascii="Times New Roman" w:hAnsi="Times New Roman" w:cs="Times New Roman"/>
          <w:sz w:val="28"/>
          <w:szCs w:val="28"/>
          <w:lang w:val="uk-UA"/>
        </w:rPr>
        <w:t>ргических заболеваний у детей /</w:t>
      </w:r>
      <w:r w:rsidRPr="00CB56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А.З. Акопян // </w:t>
      </w:r>
      <w:r w:rsidRPr="00CB5666">
        <w:rPr>
          <w:rFonts w:ascii="Times New Roman" w:hAnsi="Times New Roman" w:cs="Times New Roman"/>
          <w:sz w:val="28"/>
          <w:szCs w:val="28"/>
          <w:lang w:val="uk-UA"/>
        </w:rPr>
        <w:t xml:space="preserve">Укр. пульмонол. журнал.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2000.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 1.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С. 65-69.</w:t>
      </w:r>
    </w:p>
    <w:p w14:paraId="7235F109" w14:textId="51EDD627" w:rsidR="002767DC" w:rsidRPr="00CB566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Ласица О. И. Атопический марш</w:t>
      </w:r>
      <w:r>
        <w:rPr>
          <w:rFonts w:ascii="Times New Roman" w:hAnsi="Times New Roman" w:cs="Times New Roman"/>
          <w:sz w:val="28"/>
          <w:szCs w:val="28"/>
          <w:lang w:val="uk-UA"/>
        </w:rPr>
        <w:t xml:space="preserve"> у детей перспективы профилакти</w:t>
      </w:r>
      <w:r w:rsidRPr="00CB5666">
        <w:rPr>
          <w:rFonts w:ascii="Times New Roman" w:hAnsi="Times New Roman" w:cs="Times New Roman"/>
          <w:sz w:val="28"/>
          <w:szCs w:val="28"/>
          <w:lang w:val="uk-UA"/>
        </w:rPr>
        <w:t xml:space="preserve">ки и прогноза / О. И. Ласица // Клін. імунол. Алергол. Інфектол.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2006.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 xml:space="preserve">№ 1 (01). </w:t>
      </w:r>
      <w:r w:rsidR="00877D22" w:rsidRPr="00DF394A">
        <w:rPr>
          <w:rFonts w:ascii="Times New Roman" w:hAnsi="Times New Roman" w:cs="Times New Roman"/>
          <w:sz w:val="28"/>
          <w:szCs w:val="28"/>
          <w:lang w:val="uk-UA"/>
        </w:rPr>
        <w:t xml:space="preserve">– </w:t>
      </w:r>
      <w:r w:rsidRPr="00CB5666">
        <w:rPr>
          <w:rFonts w:ascii="Times New Roman" w:hAnsi="Times New Roman" w:cs="Times New Roman"/>
          <w:sz w:val="28"/>
          <w:szCs w:val="28"/>
          <w:lang w:val="uk-UA"/>
        </w:rPr>
        <w:t>С. 42—46.</w:t>
      </w:r>
    </w:p>
    <w:p w14:paraId="1A6CE979" w14:textId="77777777" w:rsidR="002767DC" w:rsidRPr="00CB566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Балаболкин И.И. Актуальные проблемы аллергологии детского возраста на современном этапе</w:t>
      </w:r>
      <w:r w:rsidRPr="00CB5666">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И.И. Балаболкин </w:t>
      </w:r>
      <w:r w:rsidRPr="00CB5666">
        <w:rPr>
          <w:rFonts w:ascii="Times New Roman" w:hAnsi="Times New Roman" w:cs="Times New Roman"/>
          <w:sz w:val="28"/>
          <w:szCs w:val="28"/>
          <w:lang w:val="uk-UA"/>
        </w:rPr>
        <w:t>// Педиатрия. – 2012. – № 3. – С. 69.</w:t>
      </w:r>
    </w:p>
    <w:p w14:paraId="5F457C8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Балаболкин И.И. Аллергенспецифическая иммунотерапия детей с аллергическими заболеваниями : современные подходы к ее проведению и клиническая эффективность</w:t>
      </w:r>
      <w:r>
        <w:rPr>
          <w:rFonts w:ascii="Times New Roman" w:hAnsi="Times New Roman" w:cs="Times New Roman"/>
          <w:sz w:val="28"/>
          <w:szCs w:val="28"/>
          <w:lang w:val="uk-UA"/>
        </w:rPr>
        <w:t xml:space="preserve"> / И.И.</w:t>
      </w:r>
      <w:r w:rsidRPr="00CB56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Балаболкин </w:t>
      </w:r>
      <w:r w:rsidRPr="00CB5666">
        <w:rPr>
          <w:rFonts w:ascii="Times New Roman" w:hAnsi="Times New Roman" w:cs="Times New Roman"/>
          <w:sz w:val="28"/>
          <w:szCs w:val="28"/>
          <w:lang w:val="uk-UA"/>
        </w:rPr>
        <w:t>// Педиатрия. – 2012. – № 2. – С. 81.</w:t>
      </w:r>
    </w:p>
    <w:p w14:paraId="07C74261"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Shmulich V.K. </w:t>
      </w:r>
      <w:r w:rsidRPr="00CB5666">
        <w:rPr>
          <w:rFonts w:ascii="Times New Roman" w:hAnsi="Times New Roman" w:cs="Times New Roman"/>
          <w:sz w:val="28"/>
          <w:szCs w:val="28"/>
          <w:lang w:val="uk-UA"/>
        </w:rPr>
        <w:t>Comparative analysis of the role of domestic allergens in atopic dermatitis etiology in children / V. K. Shmulich, M. K. Uryvayva, O. S. Lupaltsova, V. V. Staruseva, O. S. Rybka, O. V. Shmulich, L. S. Kryvenko // Inter collegas. – 2015. – 2 (3). – С.205-211</w:t>
      </w:r>
    </w:p>
    <w:p w14:paraId="024A35F8" w14:textId="77777777" w:rsidR="002767DC" w:rsidRPr="00CB566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Пухлик С.М. Опыт применения препарата милукант в лечении больных аллергическим ринитом</w:t>
      </w:r>
      <w:r w:rsidRPr="00CB5666">
        <w:rPr>
          <w:rFonts w:ascii="Times New Roman" w:hAnsi="Times New Roman" w:cs="Times New Roman"/>
          <w:sz w:val="28"/>
          <w:szCs w:val="28"/>
          <w:lang w:val="ru-RU"/>
        </w:rPr>
        <w:t xml:space="preserve"> / </w:t>
      </w:r>
      <w:r>
        <w:rPr>
          <w:rFonts w:ascii="Times New Roman" w:hAnsi="Times New Roman" w:cs="Times New Roman"/>
          <w:sz w:val="28"/>
          <w:szCs w:val="28"/>
          <w:lang w:val="uk-UA"/>
        </w:rPr>
        <w:t>С.М. Пухлик</w:t>
      </w:r>
      <w:r w:rsidRPr="00CB5666">
        <w:rPr>
          <w:rFonts w:ascii="Times New Roman" w:hAnsi="Times New Roman" w:cs="Times New Roman"/>
          <w:sz w:val="28"/>
          <w:szCs w:val="28"/>
          <w:lang w:val="uk-UA"/>
        </w:rPr>
        <w:t xml:space="preserve"> // Журн. вушних, носових і горлових хвороб. – 2014. – № 6. – С.94.</w:t>
      </w:r>
    </w:p>
    <w:p w14:paraId="74051D71"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B5666">
        <w:rPr>
          <w:rFonts w:ascii="Times New Roman" w:hAnsi="Times New Roman" w:cs="Times New Roman"/>
          <w:sz w:val="28"/>
          <w:szCs w:val="28"/>
          <w:lang w:val="uk-UA"/>
        </w:rPr>
        <w:t>Пухлик С.М. Результаты лечения поллинозов методом аллерген-специфической иммунотерапии с использованием региональных аллергенов</w:t>
      </w:r>
      <w:r>
        <w:rPr>
          <w:rFonts w:ascii="Times New Roman" w:hAnsi="Times New Roman" w:cs="Times New Roman"/>
          <w:sz w:val="28"/>
          <w:szCs w:val="28"/>
          <w:lang w:val="uk-UA"/>
        </w:rPr>
        <w:t xml:space="preserve"> / С.М. Пухлик</w:t>
      </w:r>
      <w:r w:rsidRPr="00CB5666">
        <w:rPr>
          <w:rFonts w:ascii="Times New Roman" w:hAnsi="Times New Roman" w:cs="Times New Roman"/>
          <w:sz w:val="28"/>
          <w:szCs w:val="28"/>
          <w:lang w:val="uk-UA"/>
        </w:rPr>
        <w:t xml:space="preserve"> // Клініч. імунол. – 2014. – № 1–2. – С. 64.</w:t>
      </w:r>
    </w:p>
    <w:p w14:paraId="03477AA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B1239">
        <w:rPr>
          <w:rFonts w:ascii="Times New Roman" w:hAnsi="Times New Roman" w:cs="Times New Roman"/>
          <w:sz w:val="28"/>
          <w:szCs w:val="28"/>
          <w:lang w:val="uk-UA"/>
        </w:rPr>
        <w:t>Романюк Л.И. Аллергический ринит как коморбидное состояние бронхиальной астмы // Астма та алергія. – 2013. – № 2. – С. 62.</w:t>
      </w:r>
    </w:p>
    <w:p w14:paraId="68393A26"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Тяжка О.В.</w:t>
      </w:r>
      <w:r w:rsidRPr="00FB1239">
        <w:rPr>
          <w:rFonts w:ascii="Times New Roman" w:hAnsi="Times New Roman" w:cs="Times New Roman"/>
          <w:sz w:val="28"/>
          <w:szCs w:val="28"/>
          <w:lang w:val="uk-UA"/>
        </w:rPr>
        <w:t xml:space="preserve"> Реабілітаційно-профілактичні заходи для запобігання трансформації спадкової атопії в алергічні захворювання </w:t>
      </w:r>
      <w:r>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О.В. Тяжка</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Л.О. Левадна </w:t>
      </w:r>
      <w:r w:rsidRPr="00FB1239">
        <w:rPr>
          <w:rFonts w:ascii="Times New Roman" w:hAnsi="Times New Roman" w:cs="Times New Roman"/>
          <w:sz w:val="28"/>
          <w:szCs w:val="28"/>
          <w:lang w:val="uk-UA"/>
        </w:rPr>
        <w:t>// Проблемні питання патології у дітей та підлітків: Збірник тезів. – Тернопіль, 2</w:t>
      </w:r>
      <w:r>
        <w:rPr>
          <w:rFonts w:ascii="Times New Roman" w:hAnsi="Times New Roman" w:cs="Times New Roman"/>
          <w:sz w:val="28"/>
          <w:szCs w:val="28"/>
          <w:lang w:val="uk-UA"/>
        </w:rPr>
        <w:t>008. – С.69-70</w:t>
      </w:r>
      <w:r w:rsidRPr="00FB1239">
        <w:rPr>
          <w:rFonts w:ascii="Times New Roman" w:hAnsi="Times New Roman" w:cs="Times New Roman"/>
          <w:sz w:val="28"/>
          <w:szCs w:val="28"/>
          <w:lang w:val="uk-UA"/>
        </w:rPr>
        <w:t>.</w:t>
      </w:r>
    </w:p>
    <w:p w14:paraId="7678A9B5" w14:textId="2C3D778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C17AD">
        <w:rPr>
          <w:rFonts w:ascii="Times New Roman" w:hAnsi="Times New Roman" w:cs="Times New Roman"/>
          <w:sz w:val="28"/>
          <w:szCs w:val="28"/>
          <w:lang w:val="uk-UA"/>
        </w:rPr>
        <w:t>Регеда М. С. Алергічні захворювання легенів: монографія / М. С. Регеда. – Львів, 2009. – 342 c</w:t>
      </w:r>
      <w:r w:rsidR="00877D22">
        <w:rPr>
          <w:rFonts w:ascii="Times New Roman" w:hAnsi="Times New Roman" w:cs="Times New Roman"/>
          <w:sz w:val="28"/>
          <w:szCs w:val="28"/>
          <w:lang w:val="uk-UA"/>
        </w:rPr>
        <w:t>.</w:t>
      </w:r>
    </w:p>
    <w:p w14:paraId="0E1376CC" w14:textId="4A2BA977" w:rsidR="002767DC" w:rsidRPr="006D6A1E"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Пухлик Б. М. Алергічні захворюва</w:t>
      </w:r>
      <w:r>
        <w:rPr>
          <w:rFonts w:ascii="Times New Roman" w:hAnsi="Times New Roman" w:cs="Times New Roman"/>
          <w:sz w:val="28"/>
          <w:szCs w:val="28"/>
          <w:lang w:val="uk-UA"/>
        </w:rPr>
        <w:t>ння як проблема всесвітньої охо</w:t>
      </w:r>
      <w:r w:rsidRPr="006D6A1E">
        <w:rPr>
          <w:rFonts w:ascii="Times New Roman" w:hAnsi="Times New Roman" w:cs="Times New Roman"/>
          <w:sz w:val="28"/>
          <w:szCs w:val="28"/>
          <w:lang w:val="uk-UA"/>
        </w:rPr>
        <w:t>рони здоров'я За матеріалами 3</w:t>
      </w:r>
      <w:r w:rsidRPr="006D6A1E">
        <w:rPr>
          <w:rFonts w:ascii="Times New Roman" w:hAnsi="Times New Roman" w:cs="Times New Roman"/>
          <w:sz w:val="28"/>
          <w:szCs w:val="28"/>
          <w:lang w:val="uk-UA"/>
        </w:rPr>
        <w:noBreakHyphen/>
        <w:t>го з'їзду алергологів України /</w:t>
      </w:r>
      <w:r>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xml:space="preserve">Б. М. Пухлик // Нов. медицины и фармации. </w:t>
      </w:r>
      <w:r w:rsidR="00877D22" w:rsidRPr="00DF394A">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xml:space="preserve">2011. </w:t>
      </w:r>
      <w:r w:rsidR="00877D22" w:rsidRPr="00DF394A">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 18 (387)</w:t>
      </w:r>
      <w:r w:rsidRPr="006D6A1E">
        <w:rPr>
          <w:rFonts w:ascii="Times New Roman" w:hAnsi="Times New Roman" w:cs="Times New Roman"/>
          <w:sz w:val="28"/>
          <w:szCs w:val="28"/>
          <w:lang w:val="ru-RU"/>
        </w:rPr>
        <w:t xml:space="preserve">. – </w:t>
      </w:r>
      <w:r>
        <w:rPr>
          <w:rFonts w:ascii="Times New Roman" w:hAnsi="Times New Roman" w:cs="Times New Roman"/>
          <w:sz w:val="28"/>
          <w:szCs w:val="28"/>
        </w:rPr>
        <w:t>C</w:t>
      </w:r>
      <w:r w:rsidRPr="006D6A1E">
        <w:rPr>
          <w:rFonts w:ascii="Times New Roman" w:hAnsi="Times New Roman" w:cs="Times New Roman"/>
          <w:sz w:val="28"/>
          <w:szCs w:val="28"/>
          <w:lang w:val="ru-RU"/>
        </w:rPr>
        <w:t>.47</w:t>
      </w:r>
      <w:r w:rsidR="00877D22">
        <w:rPr>
          <w:rFonts w:ascii="Times New Roman" w:hAnsi="Times New Roman" w:cs="Times New Roman"/>
          <w:sz w:val="28"/>
          <w:szCs w:val="28"/>
          <w:lang w:val="ru-RU"/>
        </w:rPr>
        <w:t>.</w:t>
      </w:r>
    </w:p>
    <w:p w14:paraId="1BC1354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Пухлик Б. М. Проблема аллергии в мире и Украине / Б. М. Пухлик //</w:t>
      </w:r>
      <w:r>
        <w:rPr>
          <w:rFonts w:ascii="Times New Roman" w:hAnsi="Times New Roman" w:cs="Times New Roman"/>
          <w:sz w:val="28"/>
          <w:szCs w:val="28"/>
          <w:lang w:val="uk-UA"/>
        </w:rPr>
        <w:t xml:space="preserve"> </w:t>
      </w:r>
      <w:r w:rsidRPr="006D6A1E">
        <w:rPr>
          <w:rFonts w:ascii="Times New Roman" w:hAnsi="Times New Roman" w:cs="Times New Roman"/>
          <w:sz w:val="28"/>
          <w:szCs w:val="28"/>
          <w:lang w:val="uk-UA"/>
        </w:rPr>
        <w:t>Нов. медицины и фармации. — 2005. — № 14 (174). — С. 23.</w:t>
      </w:r>
    </w:p>
    <w:p w14:paraId="5E2564A4" w14:textId="1CC25583"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Регеда М.С. Пневмонія: монографія / </w:t>
      </w:r>
      <w:r w:rsidRPr="006D6A1E">
        <w:rPr>
          <w:rFonts w:ascii="Times New Roman" w:hAnsi="Times New Roman" w:cs="Times New Roman"/>
          <w:sz w:val="28"/>
          <w:szCs w:val="28"/>
          <w:lang w:val="uk-UA"/>
        </w:rPr>
        <w:t>Регеда М.С., Регеда М.М., Фурдичко Л.О. Вид. шосте, доп.та перероб. – Львів, 2012. – С 162</w:t>
      </w:r>
      <w:r w:rsidR="00877D22">
        <w:rPr>
          <w:rFonts w:ascii="Times New Roman" w:hAnsi="Times New Roman" w:cs="Times New Roman"/>
          <w:sz w:val="28"/>
          <w:szCs w:val="28"/>
          <w:lang w:val="uk-UA"/>
        </w:rPr>
        <w:t>.</w:t>
      </w:r>
    </w:p>
    <w:p w14:paraId="5B92D9D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D6A1E">
        <w:rPr>
          <w:rFonts w:ascii="Times New Roman" w:hAnsi="Times New Roman" w:cs="Times New Roman"/>
          <w:sz w:val="28"/>
          <w:szCs w:val="28"/>
          <w:lang w:val="uk-UA"/>
        </w:rPr>
        <w:t>Ткачишин В. С. Професійна бронхіальна астма / В. С. Ткачишин //</w:t>
      </w:r>
      <w:r w:rsidRPr="006D6A1E">
        <w:rPr>
          <w:rFonts w:ascii="Times New Roman" w:hAnsi="Times New Roman" w:cs="Times New Roman"/>
          <w:sz w:val="28"/>
          <w:szCs w:val="28"/>
          <w:lang w:val="ru-RU"/>
        </w:rPr>
        <w:t xml:space="preserve"> </w:t>
      </w:r>
      <w:r w:rsidRPr="006D6A1E">
        <w:rPr>
          <w:rFonts w:ascii="Times New Roman" w:hAnsi="Times New Roman" w:cs="Times New Roman"/>
          <w:sz w:val="28"/>
          <w:szCs w:val="28"/>
          <w:lang w:val="uk-UA"/>
        </w:rPr>
        <w:t>Здоров</w:t>
      </w:r>
      <w:r>
        <w:rPr>
          <w:rFonts w:ascii="Times New Roman" w:hAnsi="Times New Roman" w:cs="Times New Roman"/>
          <w:sz w:val="28"/>
          <w:szCs w:val="28"/>
          <w:lang w:val="uk-UA"/>
        </w:rPr>
        <w:t>'я України. — 2007. — № 5-6 (10-</w:t>
      </w:r>
      <w:r w:rsidRPr="006D6A1E">
        <w:rPr>
          <w:rFonts w:ascii="Times New Roman" w:hAnsi="Times New Roman" w:cs="Times New Roman"/>
          <w:sz w:val="28"/>
          <w:szCs w:val="28"/>
          <w:lang w:val="uk-UA"/>
        </w:rPr>
        <w:t>11).</w:t>
      </w:r>
      <w:r w:rsidRPr="006D6A1E">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6D6A1E">
        <w:rPr>
          <w:rFonts w:ascii="Times New Roman" w:hAnsi="Times New Roman" w:cs="Times New Roman"/>
          <w:sz w:val="28"/>
          <w:szCs w:val="28"/>
          <w:lang w:val="ru-RU"/>
        </w:rPr>
        <w:t xml:space="preserve"> </w:t>
      </w:r>
      <w:r>
        <w:rPr>
          <w:rFonts w:ascii="Times New Roman" w:hAnsi="Times New Roman" w:cs="Times New Roman"/>
          <w:sz w:val="28"/>
          <w:szCs w:val="28"/>
        </w:rPr>
        <w:t>C</w:t>
      </w:r>
      <w:r w:rsidRPr="006D6A1E">
        <w:rPr>
          <w:rFonts w:ascii="Times New Roman" w:hAnsi="Times New Roman" w:cs="Times New Roman"/>
          <w:sz w:val="28"/>
          <w:szCs w:val="28"/>
          <w:lang w:val="ru-RU"/>
        </w:rPr>
        <w:t>.33-36</w:t>
      </w:r>
    </w:p>
    <w:p w14:paraId="2BBC0D62"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Лапшин В. Ф.</w:t>
      </w:r>
      <w:r w:rsidRPr="006D6A1E">
        <w:rPr>
          <w:rFonts w:ascii="Times New Roman" w:hAnsi="Times New Roman" w:cs="Times New Roman"/>
          <w:sz w:val="28"/>
          <w:szCs w:val="28"/>
          <w:lang w:val="uk-UA"/>
        </w:rPr>
        <w:t xml:space="preserve"> Астма-фен</w:t>
      </w:r>
      <w:r>
        <w:rPr>
          <w:rFonts w:ascii="Times New Roman" w:hAnsi="Times New Roman" w:cs="Times New Roman"/>
          <w:sz w:val="28"/>
          <w:szCs w:val="28"/>
          <w:lang w:val="uk-UA"/>
        </w:rPr>
        <w:t xml:space="preserve">отипы в детском возрасте </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В.Ф. Лапшин</w:t>
      </w:r>
      <w:r w:rsidRPr="006D6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 Уманец </w:t>
      </w:r>
      <w:r w:rsidRPr="006D6A1E">
        <w:rPr>
          <w:rFonts w:ascii="Times New Roman" w:hAnsi="Times New Roman" w:cs="Times New Roman"/>
          <w:sz w:val="28"/>
          <w:szCs w:val="28"/>
          <w:lang w:val="uk-UA"/>
        </w:rPr>
        <w:t>// Здоров’я України. – 2009. – № 4. – С. 12–14.</w:t>
      </w:r>
    </w:p>
    <w:p w14:paraId="685A413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F4E55">
        <w:rPr>
          <w:rFonts w:ascii="Times New Roman" w:hAnsi="Times New Roman" w:cs="Times New Roman"/>
          <w:sz w:val="28"/>
          <w:szCs w:val="28"/>
          <w:lang w:val="uk-UA"/>
        </w:rPr>
        <w:t>Зайков С.В. Аллергический ринит и бронхиальная астма : единый подход к диагностике и лечению</w:t>
      </w:r>
      <w:r>
        <w:rPr>
          <w:rFonts w:ascii="Times New Roman" w:hAnsi="Times New Roman" w:cs="Times New Roman"/>
          <w:sz w:val="28"/>
          <w:szCs w:val="28"/>
          <w:lang w:val="uk-UA"/>
        </w:rPr>
        <w:t xml:space="preserve"> / С.В. Зайков</w:t>
      </w:r>
      <w:r w:rsidRPr="003F4E55">
        <w:rPr>
          <w:rFonts w:ascii="Times New Roman" w:hAnsi="Times New Roman" w:cs="Times New Roman"/>
          <w:sz w:val="28"/>
          <w:szCs w:val="28"/>
          <w:lang w:val="uk-UA"/>
        </w:rPr>
        <w:t xml:space="preserve"> /</w:t>
      </w:r>
      <w:r>
        <w:rPr>
          <w:rFonts w:ascii="Times New Roman" w:hAnsi="Times New Roman" w:cs="Times New Roman"/>
          <w:sz w:val="28"/>
          <w:szCs w:val="28"/>
          <w:lang w:val="uk-UA"/>
        </w:rPr>
        <w:t>/ Клініч. імунол. – 2014. – № 6-</w:t>
      </w:r>
      <w:r w:rsidRPr="003F4E55">
        <w:rPr>
          <w:rFonts w:ascii="Times New Roman" w:hAnsi="Times New Roman" w:cs="Times New Roman"/>
          <w:sz w:val="28"/>
          <w:szCs w:val="28"/>
          <w:lang w:val="uk-UA"/>
        </w:rPr>
        <w:t>7. – С. 52.</w:t>
      </w:r>
    </w:p>
    <w:p w14:paraId="6985BCC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F4E55">
        <w:rPr>
          <w:rFonts w:ascii="Times New Roman" w:hAnsi="Times New Roman" w:cs="Times New Roman"/>
          <w:sz w:val="28"/>
          <w:szCs w:val="28"/>
          <w:lang w:val="uk-UA"/>
        </w:rPr>
        <w:t>Геппе Н. А. Актуальность проблемы бронхиальной астмы у детей / Н. А. Геппе // Педиатрия. – 2012. – Т. 91, № 3. – С. 76-82.</w:t>
      </w:r>
    </w:p>
    <w:p w14:paraId="2F8AC87D" w14:textId="77777777" w:rsidR="00877D22" w:rsidRDefault="002767DC" w:rsidP="00877D22">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009C7">
        <w:rPr>
          <w:rFonts w:ascii="Times New Roman" w:hAnsi="Times New Roman" w:cs="Times New Roman"/>
          <w:sz w:val="28"/>
          <w:szCs w:val="28"/>
          <w:lang w:val="uk-UA"/>
        </w:rPr>
        <w:t>Регеда М.С. Бронхіальна астма. – Львів: В-во “Сполом” – 2005.– С 145</w:t>
      </w:r>
    </w:p>
    <w:p w14:paraId="3E36CC90" w14:textId="23A1FD51" w:rsidR="002767DC" w:rsidRPr="00877D22" w:rsidRDefault="00877D22" w:rsidP="00877D22">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Дардинська А.І. </w:t>
      </w:r>
      <w:r w:rsidRPr="00877D22">
        <w:rPr>
          <w:rFonts w:ascii="Times New Roman" w:hAnsi="Times New Roman" w:cs="Times New Roman"/>
          <w:sz w:val="28"/>
          <w:szCs w:val="28"/>
          <w:lang w:val="uk-UA"/>
        </w:rPr>
        <w:t xml:space="preserve">Поширеність астма-асоційованих синдромів серед дітей трьох українських міст з екологічними проблемами (попередні </w:t>
      </w:r>
      <w:r>
        <w:rPr>
          <w:rFonts w:ascii="Times New Roman" w:hAnsi="Times New Roman" w:cs="Times New Roman"/>
          <w:sz w:val="28"/>
          <w:szCs w:val="28"/>
          <w:lang w:val="uk-UA"/>
        </w:rPr>
        <w:t xml:space="preserve">результати) / </w:t>
      </w:r>
      <w:r w:rsidRPr="00877D22">
        <w:rPr>
          <w:rFonts w:ascii="Times New Roman" w:hAnsi="Times New Roman" w:cs="Times New Roman"/>
          <w:sz w:val="28"/>
          <w:szCs w:val="28"/>
          <w:lang w:val="uk-UA"/>
        </w:rPr>
        <w:t>І. Дардинська, О</w:t>
      </w:r>
      <w:r>
        <w:rPr>
          <w:rFonts w:ascii="Times New Roman" w:hAnsi="Times New Roman" w:cs="Times New Roman"/>
          <w:sz w:val="28"/>
          <w:szCs w:val="28"/>
          <w:lang w:val="uk-UA"/>
        </w:rPr>
        <w:t>. Лук′янова, Ю. Антипкін та ін.</w:t>
      </w:r>
      <w:r w:rsidRPr="00877D22">
        <w:rPr>
          <w:rFonts w:ascii="Times New Roman" w:hAnsi="Times New Roman" w:cs="Times New Roman"/>
          <w:sz w:val="28"/>
          <w:szCs w:val="28"/>
          <w:lang w:val="uk-UA"/>
        </w:rPr>
        <w:t xml:space="preserve"> // Лікарська справа. – 2007. – № 3. – С. 13-18.</w:t>
      </w:r>
    </w:p>
    <w:p w14:paraId="57528E0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E30E68">
        <w:rPr>
          <w:rFonts w:ascii="Times New Roman" w:hAnsi="Times New Roman" w:cs="Times New Roman"/>
          <w:sz w:val="28"/>
          <w:szCs w:val="28"/>
          <w:lang w:val="uk-UA"/>
        </w:rPr>
        <w:t>Ласица О. И. Бронхиальная астма в практике семейного врача / О. И. Ласица, Т. С. Ласица. – К. : ЗАО “Атлант UMS”. – 2001. – 264 с.</w:t>
      </w:r>
    </w:p>
    <w:p w14:paraId="1520451E"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E30E68">
        <w:rPr>
          <w:rFonts w:ascii="Times New Roman" w:hAnsi="Times New Roman" w:cs="Times New Roman"/>
          <w:sz w:val="28"/>
          <w:szCs w:val="28"/>
          <w:lang w:val="uk-UA"/>
        </w:rPr>
        <w:t>Мачарадзе Д. Ш. Эпидемиология бронхиальной астмы у детей по данным литературы и программы ISAAC / Д. Ш. Мачарадзе, Р. И. Сепиашвили // Астма. – 2000. – Т. 1, № 1. – С. 44–51.</w:t>
      </w:r>
    </w:p>
    <w:p w14:paraId="120852D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Ласиця О.І.</w:t>
      </w:r>
      <w:r w:rsidRPr="00D009C7">
        <w:rPr>
          <w:rFonts w:ascii="Times New Roman" w:hAnsi="Times New Roman" w:cs="Times New Roman"/>
          <w:sz w:val="28"/>
          <w:szCs w:val="28"/>
          <w:lang w:val="uk-UA"/>
        </w:rPr>
        <w:t xml:space="preserve"> Бронхіальна астма у дітей: проблеми і перспективи діагностики та лікування</w:t>
      </w:r>
      <w:r>
        <w:rPr>
          <w:rFonts w:ascii="Times New Roman" w:hAnsi="Times New Roman" w:cs="Times New Roman"/>
          <w:sz w:val="28"/>
          <w:szCs w:val="28"/>
          <w:lang w:val="uk-UA"/>
        </w:rPr>
        <w:t xml:space="preserve"> / О.І. Ласиця, О.М. Охотнікова </w:t>
      </w:r>
      <w:r w:rsidRPr="00D009C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009C7">
        <w:rPr>
          <w:rFonts w:ascii="Times New Roman" w:hAnsi="Times New Roman" w:cs="Times New Roman"/>
          <w:sz w:val="28"/>
          <w:szCs w:val="28"/>
          <w:lang w:val="uk-UA"/>
        </w:rPr>
        <w:t xml:space="preserve">Нова медицина. </w:t>
      </w:r>
      <w:r>
        <w:rPr>
          <w:rFonts w:ascii="Times New Roman" w:hAnsi="Times New Roman" w:cs="Times New Roman"/>
          <w:sz w:val="28"/>
          <w:szCs w:val="28"/>
          <w:lang w:val="uk-UA"/>
        </w:rPr>
        <w:t>–</w:t>
      </w:r>
      <w:r w:rsidRPr="00D009C7">
        <w:rPr>
          <w:rFonts w:ascii="Times New Roman" w:hAnsi="Times New Roman" w:cs="Times New Roman"/>
          <w:sz w:val="28"/>
          <w:szCs w:val="28"/>
          <w:lang w:val="uk-UA"/>
        </w:rPr>
        <w:t xml:space="preserve"> 2003.</w:t>
      </w:r>
      <w:r>
        <w:rPr>
          <w:rFonts w:ascii="Times New Roman" w:hAnsi="Times New Roman" w:cs="Times New Roman"/>
          <w:sz w:val="28"/>
          <w:szCs w:val="28"/>
          <w:lang w:val="uk-UA"/>
        </w:rPr>
        <w:t xml:space="preserve"> – </w:t>
      </w:r>
      <w:r w:rsidRPr="00D009C7">
        <w:rPr>
          <w:rFonts w:ascii="Times New Roman" w:hAnsi="Times New Roman" w:cs="Times New Roman"/>
          <w:sz w:val="28"/>
          <w:szCs w:val="28"/>
          <w:lang w:val="uk-UA"/>
        </w:rPr>
        <w:t>№1.</w:t>
      </w:r>
      <w:r>
        <w:rPr>
          <w:rFonts w:ascii="Times New Roman" w:hAnsi="Times New Roman" w:cs="Times New Roman"/>
          <w:sz w:val="28"/>
          <w:szCs w:val="28"/>
          <w:lang w:val="uk-UA"/>
        </w:rPr>
        <w:t xml:space="preserve"> – </w:t>
      </w:r>
      <w:r w:rsidRPr="00D009C7">
        <w:rPr>
          <w:rFonts w:ascii="Times New Roman" w:hAnsi="Times New Roman" w:cs="Times New Roman"/>
          <w:sz w:val="28"/>
          <w:szCs w:val="28"/>
          <w:lang w:val="uk-UA"/>
        </w:rPr>
        <w:t>С.44-49.</w:t>
      </w:r>
    </w:p>
    <w:p w14:paraId="3663C4B6" w14:textId="77777777" w:rsidR="00877D22" w:rsidRDefault="002767DC" w:rsidP="00877D22">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009C7">
        <w:rPr>
          <w:rFonts w:ascii="Times New Roman" w:hAnsi="Times New Roman" w:cs="Times New Roman"/>
          <w:sz w:val="28"/>
          <w:szCs w:val="28"/>
          <w:lang w:val="uk-UA"/>
        </w:rPr>
        <w:t>Караулов А.В. Клинич</w:t>
      </w:r>
      <w:r>
        <w:rPr>
          <w:rFonts w:ascii="Times New Roman" w:hAnsi="Times New Roman" w:cs="Times New Roman"/>
          <w:sz w:val="28"/>
          <w:szCs w:val="28"/>
          <w:lang w:val="uk-UA"/>
        </w:rPr>
        <w:t>е</w:t>
      </w:r>
      <w:r w:rsidRPr="00D009C7">
        <w:rPr>
          <w:rFonts w:ascii="Times New Roman" w:hAnsi="Times New Roman" w:cs="Times New Roman"/>
          <w:sz w:val="28"/>
          <w:szCs w:val="28"/>
          <w:lang w:val="uk-UA"/>
        </w:rPr>
        <w:t>ская иммунология и аллергология. М.: Мед.информац. агенство. — 2002. — 651с.</w:t>
      </w:r>
    </w:p>
    <w:p w14:paraId="795888B9" w14:textId="2C7E4BDE" w:rsidR="002767DC" w:rsidRPr="00877D22" w:rsidRDefault="00877D22" w:rsidP="00877D22">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77D22">
        <w:rPr>
          <w:rFonts w:ascii="Times New Roman" w:hAnsi="Times New Roman" w:cs="Times New Roman"/>
          <w:sz w:val="28"/>
          <w:szCs w:val="28"/>
          <w:lang w:val="uk-UA"/>
        </w:rPr>
        <w:t>Прунчак С.І. Чинники ризику розвитку бронхіальної астми в дітей залежно від типу ацетилування / С.І. Прунчак, Т.В. Донська, Л.М. Голумбовська // Буковинський медичний вісник. – 2008. – Т. 12, № 2. – С. 17-20.</w:t>
      </w:r>
      <w:r w:rsidR="002767DC" w:rsidRPr="00877D22">
        <w:rPr>
          <w:rFonts w:ascii="Times New Roman" w:hAnsi="Times New Roman" w:cs="Times New Roman"/>
          <w:sz w:val="28"/>
          <w:szCs w:val="28"/>
          <w:lang w:val="uk-UA"/>
        </w:rPr>
        <w:t xml:space="preserve"> </w:t>
      </w:r>
    </w:p>
    <w:p w14:paraId="5482163E"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65CA3">
        <w:rPr>
          <w:rFonts w:ascii="Times New Roman" w:hAnsi="Times New Roman" w:cs="Times New Roman"/>
          <w:sz w:val="28"/>
          <w:szCs w:val="28"/>
          <w:lang w:val="uk-UA"/>
        </w:rPr>
        <w:t>Бо</w:t>
      </w:r>
      <w:r>
        <w:rPr>
          <w:rFonts w:ascii="Times New Roman" w:hAnsi="Times New Roman" w:cs="Times New Roman"/>
          <w:sz w:val="28"/>
          <w:szCs w:val="28"/>
          <w:lang w:val="uk-UA"/>
        </w:rPr>
        <w:t xml:space="preserve">бырев В.Н., Муляр Л.А. и др. </w:t>
      </w:r>
      <w:r w:rsidRPr="00365CA3">
        <w:rPr>
          <w:rFonts w:ascii="Times New Roman" w:hAnsi="Times New Roman" w:cs="Times New Roman"/>
          <w:sz w:val="28"/>
          <w:szCs w:val="28"/>
          <w:lang w:val="uk-UA"/>
        </w:rPr>
        <w:t>Особенности показателей иммунитета больных бронхиальной астмой в сочетании с ал</w:t>
      </w:r>
      <w:r>
        <w:rPr>
          <w:rFonts w:ascii="Times New Roman" w:hAnsi="Times New Roman" w:cs="Times New Roman"/>
          <w:sz w:val="28"/>
          <w:szCs w:val="28"/>
          <w:lang w:val="uk-UA"/>
        </w:rPr>
        <w:t>лергическими риносинусопатиями / В.Н. Боб</w:t>
      </w:r>
      <w:r>
        <w:rPr>
          <w:rFonts w:ascii="Times New Roman" w:hAnsi="Times New Roman" w:cs="Times New Roman"/>
          <w:sz w:val="28"/>
          <w:szCs w:val="28"/>
          <w:lang w:val="ru-RU"/>
        </w:rPr>
        <w:t>ырев, Л.А. Муляр //</w:t>
      </w:r>
      <w:r>
        <w:rPr>
          <w:rFonts w:ascii="Times New Roman" w:hAnsi="Times New Roman" w:cs="Times New Roman"/>
          <w:sz w:val="28"/>
          <w:szCs w:val="28"/>
          <w:lang w:val="uk-UA"/>
        </w:rPr>
        <w:t xml:space="preserve"> Імунологія та алергологія. – 2005. - №</w:t>
      </w:r>
      <w:r w:rsidRPr="00365CA3">
        <w:rPr>
          <w:rFonts w:ascii="Times New Roman" w:hAnsi="Times New Roman" w:cs="Times New Roman"/>
          <w:sz w:val="28"/>
          <w:szCs w:val="28"/>
          <w:lang w:val="uk-UA"/>
        </w:rPr>
        <w:t xml:space="preserve"> 3</w:t>
      </w:r>
      <w:r>
        <w:rPr>
          <w:rFonts w:ascii="Times New Roman" w:hAnsi="Times New Roman" w:cs="Times New Roman"/>
          <w:sz w:val="28"/>
          <w:szCs w:val="28"/>
          <w:lang w:val="uk-UA"/>
        </w:rPr>
        <w:t>. – С. 68-72</w:t>
      </w:r>
      <w:r w:rsidRPr="00365CA3">
        <w:rPr>
          <w:rFonts w:ascii="Times New Roman" w:hAnsi="Times New Roman" w:cs="Times New Roman"/>
          <w:sz w:val="28"/>
          <w:szCs w:val="28"/>
          <w:lang w:val="uk-UA"/>
        </w:rPr>
        <w:t>.</w:t>
      </w:r>
    </w:p>
    <w:p w14:paraId="1D9C3E3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Трунова О.А. </w:t>
      </w:r>
      <w:r w:rsidRPr="00365CA3">
        <w:rPr>
          <w:rFonts w:ascii="Times New Roman" w:hAnsi="Times New Roman" w:cs="Times New Roman"/>
          <w:sz w:val="28"/>
          <w:szCs w:val="28"/>
          <w:lang w:val="uk-UA"/>
        </w:rPr>
        <w:t>Клинико-лабораторные параллели п</w:t>
      </w:r>
      <w:r>
        <w:rPr>
          <w:rFonts w:ascii="Times New Roman" w:hAnsi="Times New Roman" w:cs="Times New Roman"/>
          <w:sz w:val="28"/>
          <w:szCs w:val="28"/>
          <w:lang w:val="uk-UA"/>
        </w:rPr>
        <w:t xml:space="preserve">ри бронхиальной астме у детей / О.А Трунова, С.В. Андрухей, В.М. Куляс и др. // </w:t>
      </w:r>
      <w:r w:rsidRPr="00365CA3">
        <w:rPr>
          <w:rFonts w:ascii="Times New Roman" w:hAnsi="Times New Roman" w:cs="Times New Roman"/>
          <w:sz w:val="28"/>
          <w:szCs w:val="28"/>
          <w:lang w:val="uk-UA"/>
        </w:rPr>
        <w:t>Імунологія та ал</w:t>
      </w:r>
      <w:r>
        <w:rPr>
          <w:rFonts w:ascii="Times New Roman" w:hAnsi="Times New Roman" w:cs="Times New Roman"/>
          <w:sz w:val="28"/>
          <w:szCs w:val="28"/>
          <w:lang w:val="uk-UA"/>
        </w:rPr>
        <w:t>ергологія. – 2006. – № 1. – С. 70-72</w:t>
      </w:r>
      <w:r w:rsidRPr="00365CA3">
        <w:rPr>
          <w:rFonts w:ascii="Times New Roman" w:hAnsi="Times New Roman" w:cs="Times New Roman"/>
          <w:sz w:val="28"/>
          <w:szCs w:val="28"/>
          <w:lang w:val="uk-UA"/>
        </w:rPr>
        <w:t>.</w:t>
      </w:r>
    </w:p>
    <w:p w14:paraId="0E0C6B5A" w14:textId="18A55D3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Чернушенко Е.Ф. </w:t>
      </w:r>
      <w:r w:rsidRPr="00365CA3">
        <w:rPr>
          <w:rFonts w:ascii="Times New Roman" w:hAnsi="Times New Roman" w:cs="Times New Roman"/>
          <w:sz w:val="28"/>
          <w:szCs w:val="28"/>
          <w:lang w:val="uk-UA"/>
        </w:rPr>
        <w:t>И</w:t>
      </w:r>
      <w:r>
        <w:rPr>
          <w:rFonts w:ascii="Times New Roman" w:hAnsi="Times New Roman" w:cs="Times New Roman"/>
          <w:sz w:val="28"/>
          <w:szCs w:val="28"/>
          <w:lang w:val="uk-UA"/>
        </w:rPr>
        <w:t>ммунология бронхиальной астмы / Е.Ф.</w:t>
      </w:r>
      <w:r w:rsidR="00202F74">
        <w:rPr>
          <w:rFonts w:ascii="Times New Roman" w:hAnsi="Times New Roman" w:cs="Times New Roman"/>
          <w:sz w:val="28"/>
          <w:szCs w:val="28"/>
          <w:lang w:val="uk-UA"/>
        </w:rPr>
        <w:t xml:space="preserve"> Чернушенко // Укр. пульмонол. ж</w:t>
      </w:r>
      <w:r>
        <w:rPr>
          <w:rFonts w:ascii="Times New Roman" w:hAnsi="Times New Roman" w:cs="Times New Roman"/>
          <w:sz w:val="28"/>
          <w:szCs w:val="28"/>
          <w:lang w:val="uk-UA"/>
        </w:rPr>
        <w:t>урнал. – 2000. - №2. – С.18-22</w:t>
      </w:r>
      <w:r w:rsidRPr="00365CA3">
        <w:rPr>
          <w:rFonts w:ascii="Times New Roman" w:hAnsi="Times New Roman" w:cs="Times New Roman"/>
          <w:sz w:val="28"/>
          <w:szCs w:val="28"/>
          <w:lang w:val="uk-UA"/>
        </w:rPr>
        <w:t>.</w:t>
      </w:r>
    </w:p>
    <w:p w14:paraId="0D7F103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92A4F">
        <w:rPr>
          <w:rFonts w:ascii="Times New Roman" w:hAnsi="Times New Roman" w:cs="Times New Roman"/>
          <w:sz w:val="28"/>
          <w:szCs w:val="28"/>
          <w:lang w:val="uk-UA"/>
        </w:rPr>
        <w:t>Иммунология и алергология. Под ред. А.А.Воробьева, А.С.Быкова, А.В.Караулова. – М.: Практическая медицина, 2006. – С 288</w:t>
      </w:r>
    </w:p>
    <w:p w14:paraId="5E9E1AD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Казмірчук В.Є. </w:t>
      </w:r>
      <w:r w:rsidRPr="00C92A4F">
        <w:rPr>
          <w:rFonts w:ascii="Times New Roman" w:hAnsi="Times New Roman" w:cs="Times New Roman"/>
          <w:sz w:val="28"/>
          <w:szCs w:val="28"/>
          <w:lang w:val="uk-UA"/>
        </w:rPr>
        <w:t>Кл</w:t>
      </w:r>
      <w:r>
        <w:rPr>
          <w:rFonts w:ascii="Times New Roman" w:hAnsi="Times New Roman" w:cs="Times New Roman"/>
          <w:sz w:val="28"/>
          <w:szCs w:val="28"/>
          <w:lang w:val="uk-UA"/>
        </w:rPr>
        <w:t>інічна імунологія і алергологія / Казмірчук В.Є., Ковальчук Л.В.</w:t>
      </w:r>
      <w:r w:rsidRPr="00C92A4F">
        <w:rPr>
          <w:rFonts w:ascii="Times New Roman" w:hAnsi="Times New Roman" w:cs="Times New Roman"/>
          <w:sz w:val="28"/>
          <w:szCs w:val="28"/>
          <w:lang w:val="uk-UA"/>
        </w:rPr>
        <w:t xml:space="preserve"> – Вінниця: Нова книга, 2006. – С</w:t>
      </w:r>
      <w:r>
        <w:rPr>
          <w:rFonts w:ascii="Times New Roman" w:hAnsi="Times New Roman" w:cs="Times New Roman"/>
          <w:sz w:val="28"/>
          <w:szCs w:val="28"/>
          <w:lang w:val="uk-UA"/>
        </w:rPr>
        <w:t>.</w:t>
      </w:r>
      <w:r w:rsidRPr="00C92A4F">
        <w:rPr>
          <w:rFonts w:ascii="Times New Roman" w:hAnsi="Times New Roman" w:cs="Times New Roman"/>
          <w:sz w:val="28"/>
          <w:szCs w:val="28"/>
          <w:lang w:val="uk-UA"/>
        </w:rPr>
        <w:t xml:space="preserve"> 528</w:t>
      </w:r>
    </w:p>
    <w:p w14:paraId="7278BCE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92A4F">
        <w:rPr>
          <w:rFonts w:ascii="Times New Roman" w:hAnsi="Times New Roman" w:cs="Times New Roman"/>
          <w:sz w:val="28"/>
          <w:szCs w:val="28"/>
          <w:lang w:val="uk-UA"/>
        </w:rPr>
        <w:t>Innes J</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A</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 Reid P</w:t>
      </w:r>
      <w:r w:rsidRPr="003E186A">
        <w:rPr>
          <w:rFonts w:ascii="Times New Roman" w:hAnsi="Times New Roman" w:cs="Times New Roman"/>
          <w:sz w:val="28"/>
          <w:szCs w:val="28"/>
          <w:lang w:val="uk-UA"/>
        </w:rPr>
        <w:t>.</w:t>
      </w:r>
      <w:r w:rsidRPr="00C92A4F">
        <w:rPr>
          <w:rFonts w:ascii="Times New Roman" w:hAnsi="Times New Roman" w:cs="Times New Roman"/>
          <w:sz w:val="28"/>
          <w:szCs w:val="28"/>
          <w:lang w:val="uk-UA"/>
        </w:rPr>
        <w:t>T. Respiratory diseases. In: Boon NA, Colledge NR, Walker BR, Hunter JA, eds. Davidson’s Principles and Practice of Medicine. 20th edn. Church</w:t>
      </w:r>
      <w:r>
        <w:rPr>
          <w:rFonts w:ascii="Times New Roman" w:hAnsi="Times New Roman" w:cs="Times New Roman"/>
          <w:sz w:val="28"/>
          <w:szCs w:val="28"/>
          <w:lang w:val="uk-UA"/>
        </w:rPr>
        <w:t>ill Livingstone: Elsevier, 2006. – P.</w:t>
      </w:r>
      <w:r w:rsidRPr="00C92A4F">
        <w:rPr>
          <w:rFonts w:ascii="Times New Roman" w:hAnsi="Times New Roman" w:cs="Times New Roman"/>
          <w:sz w:val="28"/>
          <w:szCs w:val="28"/>
          <w:lang w:val="uk-UA"/>
        </w:rPr>
        <w:t>670–678.</w:t>
      </w:r>
    </w:p>
    <w:p w14:paraId="1CF34A4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D</w:t>
      </w:r>
      <w:r>
        <w:rPr>
          <w:rFonts w:ascii="Times New Roman" w:hAnsi="Times New Roman" w:cs="Times New Roman"/>
          <w:sz w:val="28"/>
          <w:szCs w:val="28"/>
          <w:lang w:val="uk-UA"/>
        </w:rPr>
        <w:t xml:space="preserve">e Almeida Pdel V. </w:t>
      </w:r>
      <w:r w:rsidRPr="003177C4">
        <w:rPr>
          <w:rFonts w:ascii="Times New Roman" w:hAnsi="Times New Roman" w:cs="Times New Roman"/>
          <w:sz w:val="28"/>
          <w:szCs w:val="28"/>
          <w:lang w:val="uk-UA"/>
        </w:rPr>
        <w:t>Saliva composition and functions: a comprehensive</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review / </w:t>
      </w:r>
      <w:r>
        <w:rPr>
          <w:rFonts w:ascii="Times New Roman" w:hAnsi="Times New Roman" w:cs="Times New Roman"/>
          <w:sz w:val="28"/>
          <w:szCs w:val="28"/>
        </w:rPr>
        <w:t>D</w:t>
      </w:r>
      <w:r>
        <w:rPr>
          <w:rFonts w:ascii="Times New Roman" w:hAnsi="Times New Roman" w:cs="Times New Roman"/>
          <w:sz w:val="28"/>
          <w:szCs w:val="28"/>
          <w:lang w:val="uk-UA"/>
        </w:rPr>
        <w:t>e Almeida Pdel V, Gre</w:t>
      </w:r>
      <w:r w:rsidRPr="003177C4">
        <w:rPr>
          <w:rFonts w:ascii="Times New Roman" w:hAnsi="Times New Roman" w:cs="Times New Roman"/>
          <w:sz w:val="28"/>
          <w:szCs w:val="28"/>
          <w:lang w:val="uk-UA"/>
        </w:rPr>
        <w:t>gio AM, Machado MA, de Lima AA,</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 xml:space="preserve">Azevedo LR. </w:t>
      </w:r>
      <w:r>
        <w:rPr>
          <w:rFonts w:ascii="Times New Roman" w:hAnsi="Times New Roman" w:cs="Times New Roman"/>
          <w:sz w:val="28"/>
          <w:szCs w:val="28"/>
        </w:rPr>
        <w:t>//</w:t>
      </w:r>
      <w:r w:rsidRPr="003177C4">
        <w:rPr>
          <w:rFonts w:ascii="Times New Roman" w:hAnsi="Times New Roman" w:cs="Times New Roman"/>
          <w:sz w:val="28"/>
          <w:szCs w:val="28"/>
          <w:lang w:val="uk-UA"/>
        </w:rPr>
        <w:t xml:space="preserve"> J Contemp Dent Pract</w:t>
      </w:r>
      <w:r>
        <w:rPr>
          <w:rFonts w:ascii="Times New Roman" w:hAnsi="Times New Roman" w:cs="Times New Roman"/>
          <w:sz w:val="28"/>
          <w:szCs w:val="28"/>
        </w:rPr>
        <w:t>. –</w:t>
      </w:r>
      <w:r w:rsidRPr="003177C4">
        <w:rPr>
          <w:rFonts w:ascii="Times New Roman" w:hAnsi="Times New Roman" w:cs="Times New Roman"/>
          <w:sz w:val="28"/>
          <w:szCs w:val="28"/>
          <w:lang w:val="uk-UA"/>
        </w:rPr>
        <w:t xml:space="preserve"> 2008</w:t>
      </w:r>
      <w:r>
        <w:rPr>
          <w:rFonts w:ascii="Times New Roman" w:hAnsi="Times New Roman" w:cs="Times New Roman"/>
          <w:sz w:val="28"/>
          <w:szCs w:val="28"/>
        </w:rPr>
        <w:t>. – Vol.</w:t>
      </w:r>
      <w:r>
        <w:rPr>
          <w:rFonts w:ascii="Times New Roman" w:hAnsi="Times New Roman" w:cs="Times New Roman"/>
          <w:sz w:val="28"/>
          <w:szCs w:val="28"/>
          <w:lang w:val="uk-UA"/>
        </w:rPr>
        <w:t xml:space="preserve">9. </w:t>
      </w:r>
      <w:r>
        <w:rPr>
          <w:rFonts w:ascii="Times New Roman" w:hAnsi="Times New Roman" w:cs="Times New Roman"/>
          <w:sz w:val="28"/>
          <w:szCs w:val="28"/>
        </w:rPr>
        <w:t>– P.</w:t>
      </w:r>
      <w:r w:rsidRPr="003177C4">
        <w:rPr>
          <w:rFonts w:ascii="Times New Roman" w:hAnsi="Times New Roman" w:cs="Times New Roman"/>
          <w:sz w:val="28"/>
          <w:szCs w:val="28"/>
          <w:lang w:val="uk-UA"/>
        </w:rPr>
        <w:t>72–80.</w:t>
      </w:r>
    </w:p>
    <w:p w14:paraId="3C762CF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Steinbacher D.M</w:t>
      </w:r>
      <w:r w:rsidRPr="003177C4">
        <w:rPr>
          <w:rFonts w:ascii="Times New Roman" w:hAnsi="Times New Roman" w:cs="Times New Roman"/>
          <w:sz w:val="28"/>
          <w:szCs w:val="28"/>
          <w:lang w:val="uk-UA"/>
        </w:rPr>
        <w:t>. The dental patient with asthma. An</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update</w:t>
      </w:r>
      <w:r>
        <w:rPr>
          <w:rFonts w:ascii="Times New Roman" w:hAnsi="Times New Roman" w:cs="Times New Roman"/>
          <w:sz w:val="28"/>
          <w:szCs w:val="28"/>
          <w:lang w:val="uk-UA"/>
        </w:rPr>
        <w:t xml:space="preserve"> and oral health considerations / </w:t>
      </w:r>
      <w:r w:rsidRPr="003177C4">
        <w:rPr>
          <w:rFonts w:ascii="Times New Roman" w:hAnsi="Times New Roman" w:cs="Times New Roman"/>
          <w:sz w:val="28"/>
          <w:szCs w:val="28"/>
          <w:lang w:val="uk-UA"/>
        </w:rPr>
        <w:t>Steinbacher DM, Glick M</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 xml:space="preserve"> J Am Dent Assoc</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132. </w:t>
      </w:r>
      <w:r>
        <w:rPr>
          <w:rFonts w:ascii="Times New Roman" w:hAnsi="Times New Roman" w:cs="Times New Roman"/>
          <w:sz w:val="28"/>
          <w:szCs w:val="28"/>
        </w:rPr>
        <w:t>– P.</w:t>
      </w:r>
      <w:r>
        <w:rPr>
          <w:rFonts w:ascii="Times New Roman" w:hAnsi="Times New Roman" w:cs="Times New Roman"/>
          <w:sz w:val="28"/>
          <w:szCs w:val="28"/>
          <w:lang w:val="uk-UA"/>
        </w:rPr>
        <w:t>1229-</w:t>
      </w:r>
      <w:r w:rsidRPr="003177C4">
        <w:rPr>
          <w:rFonts w:ascii="Times New Roman" w:hAnsi="Times New Roman" w:cs="Times New Roman"/>
          <w:sz w:val="28"/>
          <w:szCs w:val="28"/>
          <w:lang w:val="uk-UA"/>
        </w:rPr>
        <w:t>1239.</w:t>
      </w:r>
    </w:p>
    <w:p w14:paraId="1CA6B92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Ersin N</w:t>
      </w:r>
      <w:r>
        <w:rPr>
          <w:rFonts w:ascii="Times New Roman" w:hAnsi="Times New Roman" w:cs="Times New Roman"/>
          <w:sz w:val="28"/>
          <w:szCs w:val="28"/>
        </w:rPr>
        <w:t>.</w:t>
      </w:r>
      <w:r>
        <w:rPr>
          <w:rFonts w:ascii="Times New Roman" w:hAnsi="Times New Roman" w:cs="Times New Roman"/>
          <w:sz w:val="28"/>
          <w:szCs w:val="28"/>
          <w:lang w:val="uk-UA"/>
        </w:rPr>
        <w:t>K</w:t>
      </w:r>
      <w:r w:rsidRPr="003177C4">
        <w:rPr>
          <w:rFonts w:ascii="Times New Roman" w:hAnsi="Times New Roman" w:cs="Times New Roman"/>
          <w:sz w:val="28"/>
          <w:szCs w:val="28"/>
          <w:lang w:val="uk-UA"/>
        </w:rPr>
        <w:t>. Oral and dental manifestations</w:t>
      </w:r>
      <w:r>
        <w:rPr>
          <w:rFonts w:ascii="Times New Roman" w:hAnsi="Times New Roman" w:cs="Times New Roman"/>
          <w:sz w:val="28"/>
          <w:szCs w:val="28"/>
        </w:rPr>
        <w:t xml:space="preserve"> </w:t>
      </w:r>
      <w:r w:rsidRPr="003177C4">
        <w:rPr>
          <w:rFonts w:ascii="Times New Roman" w:hAnsi="Times New Roman" w:cs="Times New Roman"/>
          <w:sz w:val="28"/>
          <w:szCs w:val="28"/>
          <w:lang w:val="uk-UA"/>
        </w:rPr>
        <w:t>of young asthmatics related to medication, severity and</w:t>
      </w:r>
      <w:r>
        <w:rPr>
          <w:rFonts w:ascii="Times New Roman" w:hAnsi="Times New Roman" w:cs="Times New Roman"/>
          <w:sz w:val="28"/>
          <w:szCs w:val="28"/>
        </w:rPr>
        <w:t xml:space="preserve"> </w:t>
      </w:r>
      <w:r>
        <w:rPr>
          <w:rFonts w:ascii="Times New Roman" w:hAnsi="Times New Roman" w:cs="Times New Roman"/>
          <w:sz w:val="28"/>
          <w:szCs w:val="28"/>
          <w:lang w:val="uk-UA"/>
        </w:rPr>
        <w:t>duration of condition / Ersin NK, Gu</w:t>
      </w:r>
      <w:r w:rsidRPr="003177C4">
        <w:rPr>
          <w:rFonts w:ascii="Times New Roman" w:hAnsi="Times New Roman" w:cs="Times New Roman"/>
          <w:sz w:val="28"/>
          <w:szCs w:val="28"/>
          <w:lang w:val="uk-UA"/>
        </w:rPr>
        <w:t xml:space="preserve">len F, Eronat N, et al. </w:t>
      </w:r>
      <w:r>
        <w:rPr>
          <w:rFonts w:ascii="Times New Roman" w:hAnsi="Times New Roman" w:cs="Times New Roman"/>
          <w:sz w:val="28"/>
          <w:szCs w:val="28"/>
        </w:rPr>
        <w:t>//</w:t>
      </w:r>
      <w:r w:rsidRPr="003177C4">
        <w:rPr>
          <w:rFonts w:ascii="Times New Roman" w:hAnsi="Times New Roman" w:cs="Times New Roman"/>
          <w:sz w:val="28"/>
          <w:szCs w:val="28"/>
          <w:lang w:val="uk-UA"/>
        </w:rPr>
        <w:t xml:space="preserve"> Pediatr Int</w:t>
      </w:r>
      <w:r>
        <w:rPr>
          <w:rFonts w:ascii="Times New Roman" w:hAnsi="Times New Roman" w:cs="Times New Roman"/>
          <w:sz w:val="28"/>
          <w:szCs w:val="28"/>
        </w:rPr>
        <w:t>. –</w:t>
      </w:r>
      <w:r>
        <w:rPr>
          <w:rFonts w:ascii="Times New Roman" w:hAnsi="Times New Roman" w:cs="Times New Roman"/>
          <w:sz w:val="28"/>
          <w:szCs w:val="28"/>
          <w:lang w:val="uk-UA"/>
        </w:rPr>
        <w:t xml:space="preserve"> 2006.</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48. </w:t>
      </w:r>
      <w:r>
        <w:rPr>
          <w:rFonts w:ascii="Times New Roman" w:hAnsi="Times New Roman" w:cs="Times New Roman"/>
          <w:sz w:val="28"/>
          <w:szCs w:val="28"/>
        </w:rPr>
        <w:t>– P.</w:t>
      </w:r>
      <w:r w:rsidRPr="003177C4">
        <w:rPr>
          <w:rFonts w:ascii="Times New Roman" w:hAnsi="Times New Roman" w:cs="Times New Roman"/>
          <w:sz w:val="28"/>
          <w:szCs w:val="28"/>
          <w:lang w:val="uk-UA"/>
        </w:rPr>
        <w:t>549–554.</w:t>
      </w:r>
    </w:p>
    <w:p w14:paraId="431A997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Shashikiran N</w:t>
      </w:r>
      <w:r>
        <w:rPr>
          <w:rFonts w:ascii="Times New Roman" w:hAnsi="Times New Roman" w:cs="Times New Roman"/>
          <w:sz w:val="28"/>
          <w:szCs w:val="28"/>
        </w:rPr>
        <w:t>.</w:t>
      </w:r>
      <w:r>
        <w:rPr>
          <w:rFonts w:ascii="Times New Roman" w:hAnsi="Times New Roman" w:cs="Times New Roman"/>
          <w:sz w:val="28"/>
          <w:szCs w:val="28"/>
          <w:lang w:val="uk-UA"/>
        </w:rPr>
        <w:t>D</w:t>
      </w:r>
      <w:r w:rsidRPr="00BF02B9">
        <w:rPr>
          <w:rFonts w:ascii="Times New Roman" w:hAnsi="Times New Roman" w:cs="Times New Roman"/>
          <w:sz w:val="28"/>
          <w:szCs w:val="28"/>
          <w:lang w:val="uk-UA"/>
        </w:rPr>
        <w:t>. Effect of antiasthmatic</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medication on dental disease: dental caries and periodontal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disease / </w:t>
      </w:r>
      <w:r>
        <w:rPr>
          <w:rFonts w:ascii="Times New Roman" w:hAnsi="Times New Roman" w:cs="Times New Roman"/>
          <w:sz w:val="28"/>
          <w:szCs w:val="28"/>
        </w:rPr>
        <w:t xml:space="preserve">N.D. </w:t>
      </w:r>
      <w:r>
        <w:rPr>
          <w:rFonts w:ascii="Times New Roman" w:hAnsi="Times New Roman" w:cs="Times New Roman"/>
          <w:sz w:val="28"/>
          <w:szCs w:val="28"/>
          <w:lang w:val="uk-UA"/>
        </w:rPr>
        <w:t>Shashikiran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V.V. </w:t>
      </w:r>
      <w:r>
        <w:rPr>
          <w:rFonts w:ascii="Times New Roman" w:hAnsi="Times New Roman" w:cs="Times New Roman"/>
          <w:sz w:val="28"/>
          <w:szCs w:val="28"/>
          <w:lang w:val="uk-UA"/>
        </w:rPr>
        <w:t>Reddy,</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P.K. </w:t>
      </w:r>
      <w:r>
        <w:rPr>
          <w:rFonts w:ascii="Times New Roman" w:hAnsi="Times New Roman" w:cs="Times New Roman"/>
          <w:sz w:val="28"/>
          <w:szCs w:val="28"/>
          <w:lang w:val="uk-UA"/>
        </w:rPr>
        <w:t>Raju</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J Indian Soc Pedod Prev Dent</w:t>
      </w:r>
      <w:r>
        <w:rPr>
          <w:rFonts w:ascii="Times New Roman" w:hAnsi="Times New Roman" w:cs="Times New Roman"/>
          <w:sz w:val="28"/>
          <w:szCs w:val="28"/>
        </w:rPr>
        <w:t>. –</w:t>
      </w:r>
      <w:r>
        <w:rPr>
          <w:rFonts w:ascii="Times New Roman" w:hAnsi="Times New Roman" w:cs="Times New Roman"/>
          <w:sz w:val="28"/>
          <w:szCs w:val="28"/>
          <w:lang w:val="uk-UA"/>
        </w:rPr>
        <w:t xml:space="preserve"> 2007.</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25. </w:t>
      </w:r>
      <w:r>
        <w:rPr>
          <w:rFonts w:ascii="Times New Roman" w:hAnsi="Times New Roman" w:cs="Times New Roman"/>
          <w:sz w:val="28"/>
          <w:szCs w:val="28"/>
        </w:rPr>
        <w:t>– P.</w:t>
      </w:r>
      <w:r>
        <w:rPr>
          <w:rFonts w:ascii="Times New Roman" w:hAnsi="Times New Roman" w:cs="Times New Roman"/>
          <w:sz w:val="28"/>
          <w:szCs w:val="28"/>
          <w:lang w:val="uk-UA"/>
        </w:rPr>
        <w:t>65-</w:t>
      </w:r>
      <w:r w:rsidRPr="00BF02B9">
        <w:rPr>
          <w:rFonts w:ascii="Times New Roman" w:hAnsi="Times New Roman" w:cs="Times New Roman"/>
          <w:sz w:val="28"/>
          <w:szCs w:val="28"/>
          <w:lang w:val="uk-UA"/>
        </w:rPr>
        <w:t>68.</w:t>
      </w:r>
    </w:p>
    <w:p w14:paraId="6E7F155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Eloot A</w:t>
      </w:r>
      <w:r>
        <w:rPr>
          <w:rFonts w:ascii="Times New Roman" w:hAnsi="Times New Roman" w:cs="Times New Roman"/>
          <w:sz w:val="28"/>
          <w:szCs w:val="28"/>
        </w:rPr>
        <w:t>.</w:t>
      </w:r>
      <w:r>
        <w:rPr>
          <w:rFonts w:ascii="Times New Roman" w:hAnsi="Times New Roman" w:cs="Times New Roman"/>
          <w:sz w:val="28"/>
          <w:szCs w:val="28"/>
          <w:lang w:val="uk-UA"/>
        </w:rPr>
        <w:t>K</w:t>
      </w:r>
      <w:r w:rsidRPr="00BF02B9">
        <w:rPr>
          <w:rFonts w:ascii="Times New Roman" w:hAnsi="Times New Roman" w:cs="Times New Roman"/>
          <w:sz w:val="28"/>
          <w:szCs w:val="28"/>
          <w:lang w:val="uk-UA"/>
        </w:rPr>
        <w:t>. Oral health</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and habits in children with asthma related to severity and duration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of condition / </w:t>
      </w:r>
      <w:r>
        <w:rPr>
          <w:rFonts w:ascii="Times New Roman" w:hAnsi="Times New Roman" w:cs="Times New Roman"/>
          <w:sz w:val="28"/>
          <w:szCs w:val="28"/>
        </w:rPr>
        <w:t xml:space="preserve">A.K. </w:t>
      </w:r>
      <w:r>
        <w:rPr>
          <w:rFonts w:ascii="Times New Roman" w:hAnsi="Times New Roman" w:cs="Times New Roman"/>
          <w:sz w:val="28"/>
          <w:szCs w:val="28"/>
          <w:lang w:val="uk-UA"/>
        </w:rPr>
        <w:t>Eloot</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J.N. </w:t>
      </w:r>
      <w:r>
        <w:rPr>
          <w:rFonts w:ascii="Times New Roman" w:hAnsi="Times New Roman" w:cs="Times New Roman"/>
          <w:sz w:val="28"/>
          <w:szCs w:val="28"/>
          <w:lang w:val="uk-UA"/>
        </w:rPr>
        <w:t>Vanobbergen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F.</w:t>
      </w:r>
      <w:r>
        <w:rPr>
          <w:rFonts w:ascii="Times New Roman" w:hAnsi="Times New Roman" w:cs="Times New Roman"/>
          <w:sz w:val="28"/>
          <w:szCs w:val="28"/>
          <w:lang w:val="uk-UA"/>
        </w:rPr>
        <w:t>D. Baets</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Eur J Paediatr Dent</w:t>
      </w:r>
      <w:r>
        <w:rPr>
          <w:rFonts w:ascii="Times New Roman" w:hAnsi="Times New Roman" w:cs="Times New Roman"/>
          <w:sz w:val="28"/>
          <w:szCs w:val="28"/>
        </w:rPr>
        <w:t>. –</w:t>
      </w:r>
      <w:r>
        <w:rPr>
          <w:rFonts w:ascii="Times New Roman" w:hAnsi="Times New Roman" w:cs="Times New Roman"/>
          <w:sz w:val="28"/>
          <w:szCs w:val="28"/>
          <w:lang w:val="uk-UA"/>
        </w:rPr>
        <w:t xml:space="preserve"> 2004.</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5. </w:t>
      </w:r>
      <w:r>
        <w:rPr>
          <w:rFonts w:ascii="Times New Roman" w:hAnsi="Times New Roman" w:cs="Times New Roman"/>
          <w:sz w:val="28"/>
          <w:szCs w:val="28"/>
        </w:rPr>
        <w:t xml:space="preserve">– P. </w:t>
      </w:r>
      <w:r w:rsidRPr="00BF02B9">
        <w:rPr>
          <w:rFonts w:ascii="Times New Roman" w:hAnsi="Times New Roman" w:cs="Times New Roman"/>
          <w:sz w:val="28"/>
          <w:szCs w:val="28"/>
          <w:lang w:val="uk-UA"/>
        </w:rPr>
        <w:t>210–215.</w:t>
      </w:r>
    </w:p>
    <w:p w14:paraId="4DEAFF27" w14:textId="77777777" w:rsidR="00202F74" w:rsidRDefault="002767DC" w:rsidP="00202F74">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Irwin R</w:t>
      </w:r>
      <w:r>
        <w:rPr>
          <w:rFonts w:ascii="Times New Roman" w:hAnsi="Times New Roman" w:cs="Times New Roman"/>
          <w:sz w:val="28"/>
          <w:szCs w:val="28"/>
        </w:rPr>
        <w:t>.</w:t>
      </w:r>
      <w:r>
        <w:rPr>
          <w:rFonts w:ascii="Times New Roman" w:hAnsi="Times New Roman" w:cs="Times New Roman"/>
          <w:sz w:val="28"/>
          <w:szCs w:val="28"/>
          <w:lang w:val="uk-UA"/>
        </w:rPr>
        <w:t>S</w:t>
      </w:r>
      <w:r w:rsidRPr="00BF02B9">
        <w:rPr>
          <w:rFonts w:ascii="Times New Roman" w:hAnsi="Times New Roman" w:cs="Times New Roman"/>
          <w:sz w:val="28"/>
          <w:szCs w:val="28"/>
          <w:lang w:val="uk-UA"/>
        </w:rPr>
        <w:t>. Side effects with inhaled corticosteroids: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the physician’s perception / </w:t>
      </w:r>
      <w:r>
        <w:rPr>
          <w:rFonts w:ascii="Times New Roman" w:hAnsi="Times New Roman" w:cs="Times New Roman"/>
          <w:sz w:val="28"/>
          <w:szCs w:val="28"/>
        </w:rPr>
        <w:t xml:space="preserve">R.S. </w:t>
      </w:r>
      <w:r>
        <w:rPr>
          <w:rFonts w:ascii="Times New Roman" w:hAnsi="Times New Roman" w:cs="Times New Roman"/>
          <w:sz w:val="28"/>
          <w:szCs w:val="28"/>
          <w:lang w:val="uk-UA"/>
        </w:rPr>
        <w:t xml:space="preserve">Irwin, </w:t>
      </w:r>
      <w:r>
        <w:rPr>
          <w:rFonts w:ascii="Times New Roman" w:hAnsi="Times New Roman" w:cs="Times New Roman"/>
          <w:sz w:val="28"/>
          <w:szCs w:val="28"/>
        </w:rPr>
        <w:t xml:space="preserve">N.D. </w:t>
      </w:r>
      <w:r>
        <w:rPr>
          <w:rFonts w:ascii="Times New Roman" w:hAnsi="Times New Roman" w:cs="Times New Roman"/>
          <w:sz w:val="28"/>
          <w:szCs w:val="28"/>
          <w:lang w:val="uk-UA"/>
        </w:rPr>
        <w:t xml:space="preserve">Richardson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Chest</w:t>
      </w:r>
      <w:r>
        <w:rPr>
          <w:rFonts w:ascii="Times New Roman" w:hAnsi="Times New Roman" w:cs="Times New Roman"/>
          <w:sz w:val="28"/>
          <w:szCs w:val="28"/>
        </w:rPr>
        <w:t>. –</w:t>
      </w:r>
      <w:r>
        <w:rPr>
          <w:rFonts w:ascii="Times New Roman" w:hAnsi="Times New Roman" w:cs="Times New Roman"/>
          <w:sz w:val="28"/>
          <w:szCs w:val="28"/>
          <w:lang w:val="uk-UA"/>
        </w:rPr>
        <w:t xml:space="preserve"> 2006.</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130. </w:t>
      </w:r>
      <w:r>
        <w:rPr>
          <w:rFonts w:ascii="Times New Roman" w:hAnsi="Times New Roman" w:cs="Times New Roman"/>
          <w:sz w:val="28"/>
          <w:szCs w:val="28"/>
        </w:rPr>
        <w:t>– P.</w:t>
      </w:r>
      <w:r>
        <w:rPr>
          <w:rFonts w:ascii="Times New Roman" w:hAnsi="Times New Roman" w:cs="Times New Roman"/>
          <w:sz w:val="28"/>
          <w:szCs w:val="28"/>
          <w:lang w:val="uk-UA"/>
        </w:rPr>
        <w:t>41–53</w:t>
      </w:r>
      <w:r w:rsidRPr="00BF02B9">
        <w:rPr>
          <w:rFonts w:ascii="Times New Roman" w:hAnsi="Times New Roman" w:cs="Times New Roman"/>
          <w:sz w:val="28"/>
          <w:szCs w:val="28"/>
          <w:lang w:val="uk-UA"/>
        </w:rPr>
        <w:t>.</w:t>
      </w:r>
    </w:p>
    <w:p w14:paraId="10E091B5" w14:textId="2CDC972A" w:rsidR="002767DC" w:rsidRPr="00202F74" w:rsidRDefault="00202F74" w:rsidP="00202F74">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02F74">
        <w:rPr>
          <w:rFonts w:ascii="Times New Roman" w:hAnsi="Times New Roman" w:cs="Times New Roman"/>
          <w:sz w:val="28"/>
          <w:szCs w:val="28"/>
          <w:lang w:val="uk-UA"/>
        </w:rPr>
        <w:t>Dahl R</w:t>
      </w:r>
      <w:r>
        <w:rPr>
          <w:rFonts w:ascii="Times New Roman" w:hAnsi="Times New Roman" w:cs="Times New Roman"/>
          <w:sz w:val="28"/>
          <w:szCs w:val="28"/>
          <w:lang w:val="uk-UA"/>
        </w:rPr>
        <w:t>.</w:t>
      </w:r>
      <w:r w:rsidRPr="00202F74">
        <w:rPr>
          <w:rFonts w:ascii="Times New Roman" w:hAnsi="Times New Roman" w:cs="Times New Roman"/>
          <w:sz w:val="28"/>
          <w:szCs w:val="28"/>
          <w:lang w:val="uk-UA"/>
        </w:rPr>
        <w:t xml:space="preserve"> Systemic side effects of inhaled corticos</w:t>
      </w:r>
      <w:r>
        <w:rPr>
          <w:rFonts w:ascii="Times New Roman" w:hAnsi="Times New Roman" w:cs="Times New Roman"/>
          <w:sz w:val="28"/>
          <w:szCs w:val="28"/>
          <w:lang w:val="uk-UA"/>
        </w:rPr>
        <w:t xml:space="preserve">teroids in patients with asthma / </w:t>
      </w:r>
      <w:r>
        <w:rPr>
          <w:rFonts w:ascii="Times New Roman" w:hAnsi="Times New Roman" w:cs="Times New Roman"/>
          <w:sz w:val="28"/>
          <w:szCs w:val="28"/>
        </w:rPr>
        <w:t xml:space="preserve">R. Dahl // </w:t>
      </w:r>
      <w:r w:rsidRPr="00202F74">
        <w:rPr>
          <w:rFonts w:ascii="Times New Roman" w:hAnsi="Times New Roman" w:cs="Times New Roman"/>
          <w:sz w:val="28"/>
          <w:szCs w:val="28"/>
          <w:lang w:val="uk-UA"/>
        </w:rPr>
        <w:t>Respir Med</w:t>
      </w:r>
      <w:r>
        <w:rPr>
          <w:rFonts w:ascii="Times New Roman" w:hAnsi="Times New Roman" w:cs="Times New Roman"/>
          <w:sz w:val="28"/>
          <w:szCs w:val="28"/>
        </w:rPr>
        <w:t>. –</w:t>
      </w:r>
      <w:r w:rsidRPr="00202F74">
        <w:rPr>
          <w:rFonts w:ascii="Times New Roman" w:hAnsi="Times New Roman" w:cs="Times New Roman"/>
          <w:sz w:val="28"/>
          <w:szCs w:val="28"/>
          <w:lang w:val="uk-UA"/>
        </w:rPr>
        <w:t xml:space="preserve"> 2006</w:t>
      </w:r>
      <w:r>
        <w:rPr>
          <w:rFonts w:ascii="Times New Roman" w:hAnsi="Times New Roman" w:cs="Times New Roman"/>
          <w:sz w:val="28"/>
          <w:szCs w:val="28"/>
        </w:rPr>
        <w:t>. – Vol.</w:t>
      </w:r>
      <w:r>
        <w:rPr>
          <w:rFonts w:ascii="Times New Roman" w:hAnsi="Times New Roman" w:cs="Times New Roman"/>
          <w:sz w:val="28"/>
          <w:szCs w:val="28"/>
          <w:lang w:val="uk-UA"/>
        </w:rPr>
        <w:t xml:space="preserve"> 100</w:t>
      </w:r>
      <w:r>
        <w:rPr>
          <w:rFonts w:ascii="Times New Roman" w:hAnsi="Times New Roman" w:cs="Times New Roman"/>
          <w:sz w:val="28"/>
          <w:szCs w:val="28"/>
        </w:rPr>
        <w:t>. – P.</w:t>
      </w:r>
      <w:r w:rsidRPr="00202F74">
        <w:rPr>
          <w:rFonts w:ascii="Times New Roman" w:hAnsi="Times New Roman" w:cs="Times New Roman"/>
          <w:sz w:val="28"/>
          <w:szCs w:val="28"/>
          <w:lang w:val="uk-UA"/>
        </w:rPr>
        <w:t xml:space="preserve"> 1307–1317.</w:t>
      </w:r>
    </w:p>
    <w:p w14:paraId="12428627" w14:textId="77777777" w:rsidR="002767DC" w:rsidRPr="00BF02B9"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 xml:space="preserve"> Mortimer </w:t>
      </w:r>
      <w:r>
        <w:rPr>
          <w:rFonts w:ascii="Times New Roman" w:hAnsi="Times New Roman" w:cs="Times New Roman"/>
          <w:sz w:val="28"/>
          <w:szCs w:val="28"/>
          <w:lang w:val="uk-UA"/>
        </w:rPr>
        <w:t>K</w:t>
      </w:r>
      <w:r>
        <w:rPr>
          <w:rFonts w:ascii="Times New Roman" w:hAnsi="Times New Roman" w:cs="Times New Roman"/>
          <w:sz w:val="28"/>
          <w:szCs w:val="28"/>
        </w:rPr>
        <w:t>.</w:t>
      </w:r>
      <w:r>
        <w:rPr>
          <w:rFonts w:ascii="Times New Roman" w:hAnsi="Times New Roman" w:cs="Times New Roman"/>
          <w:sz w:val="28"/>
          <w:szCs w:val="28"/>
          <w:lang w:val="uk-UA"/>
        </w:rPr>
        <w:t>J</w:t>
      </w:r>
      <w:r w:rsidRPr="00BF02B9">
        <w:rPr>
          <w:rFonts w:ascii="Times New Roman" w:hAnsi="Times New Roman" w:cs="Times New Roman"/>
          <w:sz w:val="28"/>
          <w:szCs w:val="28"/>
          <w:lang w:val="uk-UA"/>
        </w:rPr>
        <w:t>. Effects of inhaled</w:t>
      </w:r>
      <w:r>
        <w:rPr>
          <w:rFonts w:ascii="Times New Roman" w:hAnsi="Times New Roman" w:cs="Times New Roman"/>
          <w:sz w:val="28"/>
          <w:szCs w:val="28"/>
        </w:rPr>
        <w:t xml:space="preserve"> </w:t>
      </w:r>
      <w:r w:rsidRPr="00BF02B9">
        <w:rPr>
          <w:rFonts w:ascii="Times New Roman" w:hAnsi="Times New Roman" w:cs="Times New Roman"/>
          <w:sz w:val="28"/>
          <w:szCs w:val="28"/>
          <w:lang w:val="uk-UA"/>
        </w:rPr>
        <w:t xml:space="preserve">corticosteroids on </w:t>
      </w:r>
      <w:r>
        <w:rPr>
          <w:rFonts w:ascii="Times New Roman" w:hAnsi="Times New Roman" w:cs="Times New Roman"/>
          <w:sz w:val="28"/>
          <w:szCs w:val="28"/>
          <w:lang w:val="uk-UA"/>
        </w:rPr>
        <w:t xml:space="preserve">bone / </w:t>
      </w:r>
      <w:r>
        <w:rPr>
          <w:rFonts w:ascii="Times New Roman" w:hAnsi="Times New Roman" w:cs="Times New Roman"/>
          <w:sz w:val="28"/>
          <w:szCs w:val="28"/>
        </w:rPr>
        <w:t xml:space="preserve">K.J. </w:t>
      </w:r>
      <w:r>
        <w:rPr>
          <w:rFonts w:ascii="Times New Roman" w:hAnsi="Times New Roman" w:cs="Times New Roman"/>
          <w:sz w:val="28"/>
          <w:szCs w:val="28"/>
          <w:lang w:val="uk-UA"/>
        </w:rPr>
        <w:t>Mortimer</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T.W. </w:t>
      </w:r>
      <w:r>
        <w:rPr>
          <w:rFonts w:ascii="Times New Roman" w:hAnsi="Times New Roman" w:cs="Times New Roman"/>
          <w:sz w:val="28"/>
          <w:szCs w:val="28"/>
          <w:lang w:val="uk-UA"/>
        </w:rPr>
        <w:t>Harrison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A.E. </w:t>
      </w:r>
      <w:r>
        <w:rPr>
          <w:rFonts w:ascii="Times New Roman" w:hAnsi="Times New Roman" w:cs="Times New Roman"/>
          <w:sz w:val="28"/>
          <w:szCs w:val="28"/>
          <w:lang w:val="uk-UA"/>
        </w:rPr>
        <w:t xml:space="preserve">Tattersfield </w:t>
      </w:r>
      <w:r>
        <w:rPr>
          <w:rFonts w:ascii="Times New Roman" w:hAnsi="Times New Roman" w:cs="Times New Roman"/>
          <w:sz w:val="28"/>
          <w:szCs w:val="28"/>
        </w:rPr>
        <w:t>//</w:t>
      </w:r>
      <w:r>
        <w:rPr>
          <w:rFonts w:ascii="Times New Roman" w:hAnsi="Times New Roman" w:cs="Times New Roman"/>
          <w:sz w:val="28"/>
          <w:szCs w:val="28"/>
          <w:lang w:val="uk-UA"/>
        </w:rPr>
        <w:t xml:space="preserve"> Ann Allergy Asthma Immunol</w:t>
      </w:r>
      <w:r>
        <w:rPr>
          <w:rFonts w:ascii="Times New Roman" w:hAnsi="Times New Roman" w:cs="Times New Roman"/>
          <w:sz w:val="28"/>
          <w:szCs w:val="28"/>
        </w:rPr>
        <w:t>. –</w:t>
      </w:r>
      <w:r>
        <w:rPr>
          <w:rFonts w:ascii="Times New Roman" w:hAnsi="Times New Roman" w:cs="Times New Roman"/>
          <w:sz w:val="28"/>
          <w:szCs w:val="28"/>
          <w:lang w:val="uk-UA"/>
        </w:rPr>
        <w:t xml:space="preserve">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94. </w:t>
      </w:r>
      <w:r>
        <w:rPr>
          <w:rFonts w:ascii="Times New Roman" w:hAnsi="Times New Roman" w:cs="Times New Roman"/>
          <w:sz w:val="28"/>
          <w:szCs w:val="28"/>
        </w:rPr>
        <w:t>– P.</w:t>
      </w:r>
      <w:r w:rsidRPr="00BF02B9">
        <w:rPr>
          <w:rFonts w:ascii="Times New Roman" w:hAnsi="Times New Roman" w:cs="Times New Roman"/>
          <w:sz w:val="28"/>
          <w:szCs w:val="28"/>
          <w:lang w:val="uk-UA"/>
        </w:rPr>
        <w:t>15–21.</w:t>
      </w:r>
    </w:p>
    <w:p w14:paraId="1D213EE4" w14:textId="77777777" w:rsidR="002767DC" w:rsidRPr="00BF02B9"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Wactawski-Wende J. Periodontal diseases and osteoporosis: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association and mechanisms / </w:t>
      </w:r>
      <w:r>
        <w:rPr>
          <w:rFonts w:ascii="Times New Roman" w:hAnsi="Times New Roman" w:cs="Times New Roman"/>
          <w:sz w:val="28"/>
          <w:szCs w:val="28"/>
        </w:rPr>
        <w:t xml:space="preserve">J. </w:t>
      </w:r>
      <w:r>
        <w:rPr>
          <w:rFonts w:ascii="Times New Roman" w:hAnsi="Times New Roman" w:cs="Times New Roman"/>
          <w:sz w:val="28"/>
          <w:szCs w:val="28"/>
          <w:lang w:val="uk-UA"/>
        </w:rPr>
        <w:t>Wactawski-Wende //</w:t>
      </w:r>
      <w:r w:rsidRPr="00BF02B9">
        <w:rPr>
          <w:rFonts w:ascii="Times New Roman" w:hAnsi="Times New Roman" w:cs="Times New Roman"/>
          <w:sz w:val="28"/>
          <w:szCs w:val="28"/>
          <w:lang w:val="uk-UA"/>
        </w:rPr>
        <w:t xml:space="preserve"> Ann Periodontol</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6. </w:t>
      </w:r>
      <w:r>
        <w:rPr>
          <w:rFonts w:ascii="Times New Roman" w:hAnsi="Times New Roman" w:cs="Times New Roman"/>
          <w:sz w:val="28"/>
          <w:szCs w:val="28"/>
        </w:rPr>
        <w:t>– P.</w:t>
      </w:r>
      <w:r w:rsidRPr="00BF02B9">
        <w:rPr>
          <w:rFonts w:ascii="Times New Roman" w:hAnsi="Times New Roman" w:cs="Times New Roman"/>
          <w:sz w:val="28"/>
          <w:szCs w:val="28"/>
          <w:lang w:val="uk-UA"/>
        </w:rPr>
        <w:t>197–208.</w:t>
      </w:r>
    </w:p>
    <w:p w14:paraId="1F76779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Han E</w:t>
      </w:r>
      <w:r>
        <w:rPr>
          <w:rFonts w:ascii="Times New Roman" w:hAnsi="Times New Roman" w:cs="Times New Roman"/>
          <w:sz w:val="28"/>
          <w:szCs w:val="28"/>
        </w:rPr>
        <w:t>.</w:t>
      </w:r>
      <w:r w:rsidRPr="00BF02B9">
        <w:rPr>
          <w:rFonts w:ascii="Times New Roman" w:hAnsi="Times New Roman" w:cs="Times New Roman"/>
          <w:sz w:val="28"/>
          <w:szCs w:val="28"/>
          <w:lang w:val="uk-UA"/>
        </w:rPr>
        <w:t>R</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BF02B9">
        <w:rPr>
          <w:rFonts w:ascii="Times New Roman" w:hAnsi="Times New Roman" w:cs="Times New Roman"/>
          <w:sz w:val="28"/>
          <w:szCs w:val="28"/>
          <w:lang w:val="uk-UA"/>
        </w:rPr>
        <w:t>Inhaled corticosteroid-related</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tooth problems in asthmatics / </w:t>
      </w:r>
      <w:r>
        <w:rPr>
          <w:rFonts w:ascii="Times New Roman" w:hAnsi="Times New Roman" w:cs="Times New Roman"/>
          <w:sz w:val="28"/>
          <w:szCs w:val="28"/>
        </w:rPr>
        <w:t xml:space="preserve">E.R. </w:t>
      </w:r>
      <w:r>
        <w:rPr>
          <w:rFonts w:ascii="Times New Roman" w:hAnsi="Times New Roman" w:cs="Times New Roman"/>
          <w:sz w:val="28"/>
          <w:szCs w:val="28"/>
          <w:lang w:val="uk-UA"/>
        </w:rPr>
        <w:t>Han</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I.S. </w:t>
      </w:r>
      <w:r>
        <w:rPr>
          <w:rFonts w:ascii="Times New Roman" w:hAnsi="Times New Roman" w:cs="Times New Roman"/>
          <w:sz w:val="28"/>
          <w:szCs w:val="28"/>
          <w:lang w:val="uk-UA"/>
        </w:rPr>
        <w:t>Choi</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 xml:space="preserve">H.K. </w:t>
      </w:r>
      <w:r>
        <w:rPr>
          <w:rFonts w:ascii="Times New Roman" w:hAnsi="Times New Roman" w:cs="Times New Roman"/>
          <w:sz w:val="28"/>
          <w:szCs w:val="28"/>
          <w:lang w:val="uk-UA"/>
        </w:rPr>
        <w:t>Kim</w:t>
      </w:r>
      <w:r w:rsidRPr="00BF02B9">
        <w:rPr>
          <w:rFonts w:ascii="Times New Roman" w:hAnsi="Times New Roman" w:cs="Times New Roman"/>
          <w:sz w:val="28"/>
          <w:szCs w:val="28"/>
          <w:lang w:val="uk-UA"/>
        </w:rPr>
        <w:t xml:space="preserve">, et al. </w:t>
      </w:r>
      <w:r>
        <w:rPr>
          <w:rFonts w:ascii="Times New Roman" w:hAnsi="Times New Roman" w:cs="Times New Roman"/>
          <w:sz w:val="28"/>
          <w:szCs w:val="28"/>
        </w:rPr>
        <w:t>//</w:t>
      </w:r>
      <w:r w:rsidRPr="00BF02B9">
        <w:rPr>
          <w:rFonts w:ascii="Times New Roman" w:hAnsi="Times New Roman" w:cs="Times New Roman"/>
          <w:sz w:val="28"/>
          <w:szCs w:val="28"/>
          <w:lang w:val="uk-UA"/>
        </w:rPr>
        <w:t xml:space="preserve"> J Asthma</w:t>
      </w:r>
      <w:r>
        <w:rPr>
          <w:rFonts w:ascii="Times New Roman" w:hAnsi="Times New Roman" w:cs="Times New Roman"/>
          <w:sz w:val="28"/>
          <w:szCs w:val="28"/>
        </w:rPr>
        <w:t>. –</w:t>
      </w:r>
      <w:r>
        <w:rPr>
          <w:rFonts w:ascii="Times New Roman" w:hAnsi="Times New Roman" w:cs="Times New Roman"/>
          <w:sz w:val="28"/>
          <w:szCs w:val="28"/>
          <w:lang w:val="uk-UA"/>
        </w:rPr>
        <w:t xml:space="preserve"> 2009.</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46. </w:t>
      </w:r>
      <w:r>
        <w:rPr>
          <w:rFonts w:ascii="Times New Roman" w:hAnsi="Times New Roman" w:cs="Times New Roman"/>
          <w:sz w:val="28"/>
          <w:szCs w:val="28"/>
        </w:rPr>
        <w:t>– P.</w:t>
      </w:r>
      <w:r w:rsidRPr="00BF02B9">
        <w:rPr>
          <w:rFonts w:ascii="Times New Roman" w:hAnsi="Times New Roman" w:cs="Times New Roman"/>
          <w:sz w:val="28"/>
          <w:szCs w:val="28"/>
          <w:lang w:val="uk-UA"/>
        </w:rPr>
        <w:t>160–164.</w:t>
      </w:r>
    </w:p>
    <w:p w14:paraId="1ED594C6"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F02B9">
        <w:rPr>
          <w:rFonts w:ascii="Times New Roman" w:hAnsi="Times New Roman" w:cs="Times New Roman"/>
          <w:sz w:val="28"/>
          <w:szCs w:val="28"/>
          <w:lang w:val="uk-UA"/>
        </w:rPr>
        <w:t>Fukushima C. Salivary IgA and oral</w:t>
      </w:r>
      <w:r w:rsidRPr="0008493A">
        <w:rPr>
          <w:rFonts w:ascii="Times New Roman" w:hAnsi="Times New Roman" w:cs="Times New Roman"/>
          <w:sz w:val="28"/>
          <w:szCs w:val="28"/>
          <w:lang w:val="uk-UA"/>
        </w:rPr>
        <w:t xml:space="preserve"> </w:t>
      </w:r>
      <w:r w:rsidRPr="00BF02B9">
        <w:rPr>
          <w:rFonts w:ascii="Times New Roman" w:hAnsi="Times New Roman" w:cs="Times New Roman"/>
          <w:sz w:val="28"/>
          <w:szCs w:val="28"/>
          <w:lang w:val="uk-UA"/>
        </w:rPr>
        <w:t>candidiasis in asthmatic patients trea</w:t>
      </w:r>
      <w:r>
        <w:rPr>
          <w:rFonts w:ascii="Times New Roman" w:hAnsi="Times New Roman" w:cs="Times New Roman"/>
          <w:sz w:val="28"/>
          <w:szCs w:val="28"/>
          <w:lang w:val="uk-UA"/>
        </w:rPr>
        <w:t xml:space="preserve">ted with inhaled corticosteroid / </w:t>
      </w:r>
      <w:r>
        <w:rPr>
          <w:rFonts w:ascii="Times New Roman" w:hAnsi="Times New Roman" w:cs="Times New Roman"/>
          <w:sz w:val="28"/>
          <w:szCs w:val="28"/>
        </w:rPr>
        <w:t>C</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Fukushima</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H</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Matsuse</w:t>
      </w:r>
      <w:r w:rsidRPr="00BF02B9">
        <w:rPr>
          <w:rFonts w:ascii="Times New Roman" w:hAnsi="Times New Roman" w:cs="Times New Roman"/>
          <w:sz w:val="28"/>
          <w:szCs w:val="28"/>
          <w:lang w:val="uk-UA"/>
        </w:rPr>
        <w:t xml:space="preserve">, </w:t>
      </w:r>
      <w:r>
        <w:rPr>
          <w:rFonts w:ascii="Times New Roman" w:hAnsi="Times New Roman" w:cs="Times New Roman"/>
          <w:sz w:val="28"/>
          <w:szCs w:val="28"/>
        </w:rPr>
        <w:t>S</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Saeki</w:t>
      </w:r>
      <w:r w:rsidRPr="00BF02B9">
        <w:rPr>
          <w:rFonts w:ascii="Times New Roman" w:hAnsi="Times New Roman" w:cs="Times New Roman"/>
          <w:sz w:val="28"/>
          <w:szCs w:val="28"/>
          <w:lang w:val="uk-UA"/>
        </w:rPr>
        <w:t>, et al.</w:t>
      </w:r>
      <w:r w:rsidRPr="0008493A">
        <w:rPr>
          <w:rFonts w:ascii="Times New Roman" w:hAnsi="Times New Roman" w:cs="Times New Roman"/>
          <w:sz w:val="28"/>
          <w:szCs w:val="28"/>
          <w:lang w:val="uk-UA"/>
        </w:rPr>
        <w:t xml:space="preserve"> // </w:t>
      </w:r>
      <w:r w:rsidRPr="00BF02B9">
        <w:rPr>
          <w:rFonts w:ascii="Times New Roman" w:hAnsi="Times New Roman" w:cs="Times New Roman"/>
          <w:sz w:val="28"/>
          <w:szCs w:val="28"/>
          <w:lang w:val="uk-UA"/>
        </w:rPr>
        <w:t>J Asthma</w:t>
      </w:r>
      <w:r w:rsidRPr="0008493A">
        <w:rPr>
          <w:rFonts w:ascii="Times New Roman" w:hAnsi="Times New Roman" w:cs="Times New Roman"/>
          <w:sz w:val="28"/>
          <w:szCs w:val="28"/>
          <w:lang w:val="uk-UA"/>
        </w:rPr>
        <w:t xml:space="preserve">. </w:t>
      </w:r>
      <w:r>
        <w:rPr>
          <w:rFonts w:ascii="Times New Roman" w:hAnsi="Times New Roman" w:cs="Times New Roman"/>
          <w:sz w:val="28"/>
          <w:szCs w:val="28"/>
          <w:lang w:val="uk-UA"/>
        </w:rPr>
        <w:t>–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42. </w:t>
      </w:r>
      <w:r>
        <w:rPr>
          <w:rFonts w:ascii="Times New Roman" w:hAnsi="Times New Roman" w:cs="Times New Roman"/>
          <w:sz w:val="28"/>
          <w:szCs w:val="28"/>
        </w:rPr>
        <w:t>– P.</w:t>
      </w:r>
      <w:r w:rsidRPr="00BF02B9">
        <w:rPr>
          <w:rFonts w:ascii="Times New Roman" w:hAnsi="Times New Roman" w:cs="Times New Roman"/>
          <w:sz w:val="28"/>
          <w:szCs w:val="28"/>
          <w:lang w:val="uk-UA"/>
        </w:rPr>
        <w:t>601–604.</w:t>
      </w:r>
    </w:p>
    <w:p w14:paraId="02B93205" w14:textId="54676C9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Кузнєцова Л.В. </w:t>
      </w:r>
      <w:r w:rsidRPr="00BF02B9">
        <w:rPr>
          <w:rFonts w:ascii="Times New Roman" w:hAnsi="Times New Roman" w:cs="Times New Roman"/>
          <w:sz w:val="28"/>
          <w:szCs w:val="28"/>
          <w:lang w:val="uk-UA"/>
        </w:rPr>
        <w:t>Жирнокислотний спектр ліпідів сироватки крові у хворих на бронхіальну астму під впливом комплексного лікуванн</w:t>
      </w:r>
      <w:r>
        <w:rPr>
          <w:rFonts w:ascii="Times New Roman" w:hAnsi="Times New Roman" w:cs="Times New Roman"/>
          <w:sz w:val="28"/>
          <w:szCs w:val="28"/>
          <w:lang w:val="uk-UA"/>
        </w:rPr>
        <w:t xml:space="preserve">я імуотопним препаратом пропес / Л.В. Кузнєцова, П.В. Грішило, Л.С. Осипова, В.І. Літус // Імунологія та алергологія. – 2004. </w:t>
      </w:r>
      <w:r w:rsidR="00202F74">
        <w:rPr>
          <w:rFonts w:ascii="Times New Roman" w:hAnsi="Times New Roman" w:cs="Times New Roman"/>
          <w:sz w:val="28"/>
          <w:szCs w:val="28"/>
          <w:lang w:val="uk-UA"/>
        </w:rPr>
        <w:t>–</w:t>
      </w:r>
      <w:r>
        <w:rPr>
          <w:rFonts w:ascii="Times New Roman" w:hAnsi="Times New Roman" w:cs="Times New Roman"/>
          <w:sz w:val="28"/>
          <w:szCs w:val="28"/>
          <w:lang w:val="uk-UA"/>
        </w:rPr>
        <w:t xml:space="preserve"> №1. – С.43-45</w:t>
      </w:r>
      <w:r w:rsidRPr="00BF02B9">
        <w:rPr>
          <w:rFonts w:ascii="Times New Roman" w:hAnsi="Times New Roman" w:cs="Times New Roman"/>
          <w:sz w:val="28"/>
          <w:szCs w:val="28"/>
          <w:lang w:val="uk-UA"/>
        </w:rPr>
        <w:t>.</w:t>
      </w:r>
    </w:p>
    <w:p w14:paraId="15C0A53D" w14:textId="259FF768"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47972">
        <w:rPr>
          <w:rFonts w:ascii="Times New Roman" w:eastAsia="Times New Roman" w:hAnsi="Times New Roman" w:cs="Times New Roman"/>
          <w:sz w:val="28"/>
          <w:szCs w:val="28"/>
          <w:lang w:val="uk-UA" w:eastAsia="ar-SA"/>
        </w:rPr>
        <w:t xml:space="preserve">Кривенко Л. С. </w:t>
      </w:r>
      <w:r w:rsidRPr="00647972">
        <w:rPr>
          <w:rFonts w:ascii="Times New Roman" w:eastAsia="Times New Roman" w:hAnsi="Times New Roman" w:cs="Times New Roman"/>
          <w:sz w:val="28"/>
          <w:szCs w:val="28"/>
          <w:lang w:val="ru-RU" w:eastAsia="ar-SA"/>
        </w:rPr>
        <w:t>Особенности стоматологического статуса детей, рожденных преждевременно (обзор литературы)</w:t>
      </w:r>
      <w:r w:rsidRPr="00647972">
        <w:rPr>
          <w:rFonts w:ascii="Times New Roman" w:eastAsia="Times New Roman" w:hAnsi="Times New Roman" w:cs="Times New Roman"/>
          <w:sz w:val="28"/>
          <w:szCs w:val="28"/>
          <w:lang w:val="uk-UA" w:eastAsia="ar-SA"/>
        </w:rPr>
        <w:t xml:space="preserve"> </w:t>
      </w:r>
      <w:r w:rsidRPr="00647972">
        <w:rPr>
          <w:rFonts w:ascii="Times New Roman" w:eastAsia="Times New Roman" w:hAnsi="Times New Roman" w:cs="Times New Roman"/>
          <w:sz w:val="28"/>
          <w:szCs w:val="28"/>
          <w:lang w:val="ru-RU" w:eastAsia="ar-SA"/>
        </w:rPr>
        <w:t>/ Л.</w:t>
      </w:r>
      <w:r w:rsidRPr="00647972">
        <w:rPr>
          <w:rFonts w:ascii="Times New Roman" w:eastAsia="Times New Roman" w:hAnsi="Times New Roman" w:cs="Times New Roman"/>
          <w:sz w:val="28"/>
          <w:szCs w:val="28"/>
          <w:lang w:val="uk-UA" w:eastAsia="ar-SA"/>
        </w:rPr>
        <w:t xml:space="preserve"> С. Кривенко // </w:t>
      </w:r>
      <w:r w:rsidRPr="00647972">
        <w:rPr>
          <w:rFonts w:ascii="Times New Roman" w:eastAsia="Times New Roman" w:hAnsi="Times New Roman" w:cs="Times New Roman"/>
          <w:sz w:val="28"/>
          <w:szCs w:val="28"/>
          <w:lang w:val="ru-RU" w:eastAsia="ar-SA"/>
        </w:rPr>
        <w:t>Вісник проблем медицини та біології</w:t>
      </w:r>
      <w:r w:rsidRPr="00647972">
        <w:rPr>
          <w:rFonts w:ascii="Times New Roman" w:eastAsia="Times New Roman" w:hAnsi="Times New Roman" w:cs="Times New Roman"/>
          <w:sz w:val="28"/>
          <w:szCs w:val="28"/>
          <w:lang w:val="uk-UA" w:eastAsia="ar-SA"/>
        </w:rPr>
        <w:t>.</w:t>
      </w:r>
      <w:r w:rsidRPr="00647972">
        <w:rPr>
          <w:rFonts w:ascii="Times New Roman" w:eastAsia="Times New Roman" w:hAnsi="Times New Roman" w:cs="Times New Roman"/>
          <w:sz w:val="28"/>
          <w:szCs w:val="28"/>
          <w:lang w:val="ru-RU" w:eastAsia="ar-SA"/>
        </w:rPr>
        <w:t xml:space="preserve"> </w:t>
      </w:r>
      <w:r w:rsidRPr="00647972">
        <w:rPr>
          <w:rFonts w:ascii="Times New Roman" w:eastAsia="Times New Roman" w:hAnsi="Times New Roman" w:cs="Times New Roman"/>
          <w:sz w:val="28"/>
          <w:szCs w:val="28"/>
          <w:lang w:val="uk-UA" w:eastAsia="ar-SA"/>
        </w:rPr>
        <w:t xml:space="preserve">– </w:t>
      </w:r>
      <w:r w:rsidRPr="00647972">
        <w:rPr>
          <w:rFonts w:ascii="Times New Roman" w:eastAsia="Times New Roman" w:hAnsi="Times New Roman" w:cs="Times New Roman"/>
          <w:sz w:val="28"/>
          <w:szCs w:val="28"/>
          <w:lang w:val="ru-RU" w:eastAsia="ar-SA"/>
        </w:rPr>
        <w:t>2014</w:t>
      </w:r>
      <w:r w:rsidRPr="00647972">
        <w:rPr>
          <w:rFonts w:ascii="Times New Roman" w:eastAsia="Times New Roman" w:hAnsi="Times New Roman" w:cs="Times New Roman"/>
          <w:sz w:val="28"/>
          <w:szCs w:val="28"/>
          <w:lang w:val="uk-UA" w:eastAsia="ar-SA"/>
        </w:rPr>
        <w:t>. – №</w:t>
      </w:r>
      <w:r w:rsidRPr="00647972">
        <w:rPr>
          <w:rFonts w:ascii="Times New Roman" w:eastAsia="Times New Roman" w:hAnsi="Times New Roman" w:cs="Times New Roman"/>
          <w:sz w:val="28"/>
          <w:szCs w:val="28"/>
          <w:lang w:val="ru-RU" w:eastAsia="ar-SA"/>
        </w:rPr>
        <w:t xml:space="preserve"> 4, </w:t>
      </w:r>
      <w:r w:rsidRPr="00647972">
        <w:rPr>
          <w:rFonts w:ascii="Times New Roman" w:eastAsia="Times New Roman" w:hAnsi="Times New Roman" w:cs="Times New Roman"/>
          <w:sz w:val="28"/>
          <w:szCs w:val="28"/>
          <w:lang w:val="uk-UA" w:eastAsia="ar-SA"/>
        </w:rPr>
        <w:t xml:space="preserve">Том 3 (115). – С. </w:t>
      </w:r>
      <w:r w:rsidRPr="00647972">
        <w:rPr>
          <w:rFonts w:ascii="Times New Roman" w:eastAsia="Times New Roman" w:hAnsi="Times New Roman" w:cs="Times New Roman"/>
          <w:sz w:val="28"/>
          <w:szCs w:val="28"/>
          <w:lang w:val="ru-RU" w:eastAsia="ar-SA"/>
        </w:rPr>
        <w:t>20-24</w:t>
      </w:r>
      <w:r w:rsidRPr="00647972">
        <w:rPr>
          <w:rFonts w:ascii="Times New Roman" w:eastAsia="Times New Roman" w:hAnsi="Times New Roman" w:cs="Times New Roman"/>
          <w:sz w:val="28"/>
          <w:szCs w:val="28"/>
          <w:lang w:val="uk-UA" w:eastAsia="ar-SA"/>
        </w:rPr>
        <w:t>.</w:t>
      </w:r>
    </w:p>
    <w:p w14:paraId="1A8FCA37" w14:textId="77777777" w:rsidR="002767DC" w:rsidRPr="007455B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47972">
        <w:rPr>
          <w:rFonts w:ascii="Times New Roman" w:eastAsia="Times New Roman" w:hAnsi="Times New Roman" w:cs="Times New Roman"/>
          <w:sz w:val="28"/>
          <w:szCs w:val="28"/>
          <w:lang w:eastAsia="ar-SA"/>
        </w:rPr>
        <w:t xml:space="preserve">Kryvenko L. S. Orthodontic aspects of dental status in prematurely born children / L. S. Kryvenko // </w:t>
      </w:r>
      <w:r w:rsidRPr="00647972">
        <w:rPr>
          <w:rFonts w:ascii="Times New Roman" w:eastAsia="Times New Roman" w:hAnsi="Times New Roman" w:cs="Times New Roman"/>
          <w:sz w:val="28"/>
          <w:szCs w:val="28"/>
          <w:lang w:val="ru-RU" w:eastAsia="ar-SA"/>
        </w:rPr>
        <w:t>Наука</w:t>
      </w:r>
      <w:r w:rsidRPr="00647972">
        <w:rPr>
          <w:rFonts w:ascii="Times New Roman" w:eastAsia="Times New Roman" w:hAnsi="Times New Roman" w:cs="Times New Roman"/>
          <w:sz w:val="28"/>
          <w:szCs w:val="28"/>
          <w:lang w:eastAsia="ar-SA"/>
        </w:rPr>
        <w:t xml:space="preserve"> </w:t>
      </w:r>
      <w:r w:rsidRPr="00647972">
        <w:rPr>
          <w:rFonts w:ascii="Times New Roman" w:eastAsia="Times New Roman" w:hAnsi="Times New Roman" w:cs="Times New Roman"/>
          <w:sz w:val="28"/>
          <w:szCs w:val="28"/>
          <w:lang w:val="ru-RU" w:eastAsia="ar-SA"/>
        </w:rPr>
        <w:t>и</w:t>
      </w:r>
      <w:r w:rsidRPr="00647972">
        <w:rPr>
          <w:rFonts w:ascii="Times New Roman" w:eastAsia="Times New Roman" w:hAnsi="Times New Roman" w:cs="Times New Roman"/>
          <w:sz w:val="28"/>
          <w:szCs w:val="28"/>
          <w:lang w:eastAsia="ar-SA"/>
        </w:rPr>
        <w:t xml:space="preserve"> </w:t>
      </w:r>
      <w:r w:rsidRPr="00647972">
        <w:rPr>
          <w:rFonts w:ascii="Times New Roman" w:eastAsia="Times New Roman" w:hAnsi="Times New Roman" w:cs="Times New Roman"/>
          <w:sz w:val="28"/>
          <w:szCs w:val="28"/>
          <w:lang w:val="ru-RU" w:eastAsia="ar-SA"/>
        </w:rPr>
        <w:t>здравоохранение</w:t>
      </w:r>
      <w:r w:rsidRPr="00647972">
        <w:rPr>
          <w:rFonts w:ascii="Times New Roman" w:eastAsia="Times New Roman" w:hAnsi="Times New Roman" w:cs="Times New Roman"/>
          <w:sz w:val="28"/>
          <w:szCs w:val="28"/>
          <w:lang w:eastAsia="ar-SA"/>
        </w:rPr>
        <w:t xml:space="preserve">. – 2014. – №6. – </w:t>
      </w:r>
      <w:r w:rsidRPr="00647972">
        <w:rPr>
          <w:rFonts w:ascii="Times New Roman" w:eastAsia="Times New Roman" w:hAnsi="Times New Roman" w:cs="Times New Roman"/>
          <w:sz w:val="28"/>
          <w:szCs w:val="28"/>
          <w:lang w:val="ru-RU" w:eastAsia="ar-SA"/>
        </w:rPr>
        <w:t>С</w:t>
      </w:r>
      <w:r w:rsidRPr="00647972">
        <w:rPr>
          <w:rFonts w:ascii="Times New Roman" w:eastAsia="Times New Roman" w:hAnsi="Times New Roman" w:cs="Times New Roman"/>
          <w:sz w:val="28"/>
          <w:szCs w:val="28"/>
          <w:lang w:eastAsia="ar-SA"/>
        </w:rPr>
        <w:t>.13-15</w:t>
      </w:r>
      <w:r w:rsidRPr="00647972">
        <w:rPr>
          <w:rFonts w:ascii="Times New Roman" w:eastAsia="Times New Roman" w:hAnsi="Times New Roman" w:cs="Times New Roman"/>
          <w:sz w:val="28"/>
          <w:szCs w:val="28"/>
          <w:lang w:val="uk-UA" w:eastAsia="ar-SA"/>
        </w:rPr>
        <w:t>.</w:t>
      </w:r>
    </w:p>
    <w:p w14:paraId="194D5B2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7455B5">
        <w:rPr>
          <w:rFonts w:ascii="Times New Roman" w:hAnsi="Times New Roman" w:cs="Times New Roman"/>
          <w:sz w:val="28"/>
          <w:szCs w:val="28"/>
          <w:lang w:val="uk-UA"/>
        </w:rPr>
        <w:t>Лолор Г. Клиническая иммунология и аллергология / Г. Лолор, П. Фишер, Д. Адельман. – М., Практика, 2000.–784 с.</w:t>
      </w:r>
    </w:p>
    <w:p w14:paraId="47AF93DB"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7455B5">
        <w:rPr>
          <w:rFonts w:ascii="Times New Roman" w:hAnsi="Times New Roman" w:cs="Times New Roman"/>
          <w:sz w:val="28"/>
          <w:szCs w:val="28"/>
          <w:lang w:val="uk-UA"/>
        </w:rPr>
        <w:t>Многоликая бронхиальная астма, диагностика, лечение и профилактика / Под ред. Г. Б. Федосеева, В. И. Трофимова, М. А. Петровой. – СПб. : Нордмедиздат, 2011. – 344 с.</w:t>
      </w:r>
    </w:p>
    <w:p w14:paraId="35C80F7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D2A11">
        <w:rPr>
          <w:rFonts w:ascii="Times New Roman" w:hAnsi="Times New Roman" w:cs="Times New Roman"/>
          <w:sz w:val="28"/>
          <w:szCs w:val="28"/>
          <w:lang w:val="uk-UA"/>
        </w:rPr>
        <w:t>Наказ МОЗ України № 868 від 08.10.2013 «Уніфікований клінічний протокол первинної, вторинної (спеціалізованої) медичної допомоги: бронхіальна астма у дітей». – Київ, 2005. – С. 19.</w:t>
      </w:r>
    </w:p>
    <w:p w14:paraId="570689C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Дудіна О.О. </w:t>
      </w:r>
      <w:r w:rsidRPr="009D2A11">
        <w:rPr>
          <w:rFonts w:ascii="Times New Roman" w:hAnsi="Times New Roman" w:cs="Times New Roman"/>
          <w:sz w:val="28"/>
          <w:szCs w:val="28"/>
          <w:lang w:val="uk-UA"/>
        </w:rPr>
        <w:t>Ситуаційний аналіз стану охорони здоров’я дітей та підлітків в Україні / О. О. Дудіна, Г. О. Слабкий, Р. О. Моісеєнко // Вісник соціальної гігієни та охорони здоров’я. – 2007. – № 4. – С. 32–38.</w:t>
      </w:r>
    </w:p>
    <w:p w14:paraId="30E02B3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D2A11">
        <w:rPr>
          <w:rFonts w:ascii="Times New Roman" w:hAnsi="Times New Roman" w:cs="Times New Roman"/>
          <w:sz w:val="28"/>
          <w:szCs w:val="28"/>
          <w:lang w:val="uk-UA"/>
        </w:rPr>
        <w:t>Беш Л. В. Контрольованість бронхіальної астми у дітей : наскільки можливою вона є сьогодні / Л. В. Беш, В. О. Бондарчук // Клінічна імунологія, алергія, інсектологія. – 2007. – № 4. – С. 4–6.</w:t>
      </w:r>
    </w:p>
    <w:p w14:paraId="22E70FB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Кравченко</w:t>
      </w:r>
      <w:r w:rsidRPr="009D2A11">
        <w:rPr>
          <w:rFonts w:ascii="Times New Roman" w:hAnsi="Times New Roman" w:cs="Times New Roman"/>
          <w:sz w:val="28"/>
          <w:szCs w:val="28"/>
          <w:lang w:val="uk-UA"/>
        </w:rPr>
        <w:t xml:space="preserve"> Л. І. Аналіз стоматологічного статусу в діте</w:t>
      </w:r>
      <w:r>
        <w:rPr>
          <w:rFonts w:ascii="Times New Roman" w:hAnsi="Times New Roman" w:cs="Times New Roman"/>
          <w:sz w:val="28"/>
          <w:szCs w:val="28"/>
          <w:lang w:val="uk-UA"/>
        </w:rPr>
        <w:t>й з алергіями в анамнезі</w:t>
      </w:r>
      <w:r w:rsidRPr="009D2A11">
        <w:rPr>
          <w:rFonts w:ascii="Times New Roman" w:hAnsi="Times New Roman" w:cs="Times New Roman"/>
          <w:sz w:val="28"/>
          <w:szCs w:val="28"/>
          <w:lang w:val="uk-UA"/>
        </w:rPr>
        <w:t xml:space="preserve"> / Л. І. Кравченко // Современная стоматология. — 2016. — № 5. — С.24-27.</w:t>
      </w:r>
    </w:p>
    <w:p w14:paraId="15518E95" w14:textId="55EEBB6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Ковач І.В.</w:t>
      </w:r>
      <w:r w:rsidRPr="009D2A11">
        <w:rPr>
          <w:rFonts w:ascii="Times New Roman" w:hAnsi="Times New Roman" w:cs="Times New Roman"/>
          <w:sz w:val="28"/>
          <w:szCs w:val="28"/>
          <w:lang w:val="uk-UA"/>
        </w:rPr>
        <w:t xml:space="preserve"> Динаміка показників неспецифічної резистентності порожнини рота у дітей при лікуванні хронічного рецидивуючого афтозного стоматиту/ І.В. Ковач, Л.І. Кравченко // Современная стоматология.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2015.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№5(79).</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Pr="009D2A11">
        <w:rPr>
          <w:rFonts w:ascii="Times New Roman" w:hAnsi="Times New Roman" w:cs="Times New Roman"/>
          <w:sz w:val="28"/>
          <w:szCs w:val="28"/>
          <w:lang w:val="uk-UA"/>
        </w:rPr>
        <w:t xml:space="preserve"> С.31-34.</w:t>
      </w:r>
    </w:p>
    <w:p w14:paraId="74D7B415" w14:textId="17362FEB"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Ковач І.В.</w:t>
      </w:r>
      <w:r w:rsidRPr="001C4449">
        <w:rPr>
          <w:rFonts w:ascii="Times New Roman" w:hAnsi="Times New Roman" w:cs="Times New Roman"/>
          <w:sz w:val="28"/>
          <w:szCs w:val="28"/>
          <w:lang w:val="uk-UA"/>
        </w:rPr>
        <w:t xml:space="preserve"> Стан антиоксидантної системи порожнини рота у дітей з хронічним рецидивуючим афтозним стоматитом в динаміці лікування / І.В. Ковач, Л.І. Кравченко // Інновації в стоматології. </w:t>
      </w:r>
      <w:r w:rsidR="00202F74">
        <w:rPr>
          <w:rFonts w:ascii="Times New Roman" w:hAnsi="Times New Roman" w:cs="Times New Roman"/>
          <w:sz w:val="28"/>
          <w:szCs w:val="28"/>
          <w:lang w:val="uk-UA"/>
        </w:rPr>
        <w:t>–</w:t>
      </w:r>
      <w:r w:rsidR="00202F74" w:rsidRPr="00202F74">
        <w:rPr>
          <w:rFonts w:ascii="Times New Roman" w:hAnsi="Times New Roman" w:cs="Times New Roman"/>
          <w:sz w:val="28"/>
          <w:szCs w:val="28"/>
          <w:lang w:val="uk-UA"/>
        </w:rPr>
        <w:t xml:space="preserve"> </w:t>
      </w:r>
      <w:r w:rsidRPr="001C4449">
        <w:rPr>
          <w:rFonts w:ascii="Times New Roman" w:hAnsi="Times New Roman" w:cs="Times New Roman"/>
          <w:sz w:val="28"/>
          <w:szCs w:val="28"/>
          <w:lang w:val="uk-UA"/>
        </w:rPr>
        <w:t>2016.</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00202F74" w:rsidRPr="00202F74">
        <w:rPr>
          <w:rFonts w:ascii="Times New Roman" w:hAnsi="Times New Roman" w:cs="Times New Roman"/>
          <w:sz w:val="28"/>
          <w:szCs w:val="28"/>
          <w:lang w:val="uk-UA"/>
        </w:rPr>
        <w:t xml:space="preserve"> </w:t>
      </w:r>
      <w:r w:rsidRPr="001C4449">
        <w:rPr>
          <w:rFonts w:ascii="Times New Roman" w:hAnsi="Times New Roman" w:cs="Times New Roman"/>
          <w:sz w:val="28"/>
          <w:szCs w:val="28"/>
          <w:lang w:val="uk-UA"/>
        </w:rPr>
        <w:t>№ 3(13).</w:t>
      </w:r>
      <w:r w:rsidR="00202F74" w:rsidRPr="00202F74">
        <w:rPr>
          <w:rFonts w:ascii="Times New Roman" w:hAnsi="Times New Roman" w:cs="Times New Roman"/>
          <w:sz w:val="28"/>
          <w:szCs w:val="28"/>
          <w:lang w:val="uk-UA"/>
        </w:rPr>
        <w:t xml:space="preserve"> </w:t>
      </w:r>
      <w:r w:rsidR="00202F74">
        <w:rPr>
          <w:rFonts w:ascii="Times New Roman" w:hAnsi="Times New Roman" w:cs="Times New Roman"/>
          <w:sz w:val="28"/>
          <w:szCs w:val="28"/>
          <w:lang w:val="uk-UA"/>
        </w:rPr>
        <w:t>–</w:t>
      </w:r>
      <w:r w:rsidRPr="001C4449">
        <w:rPr>
          <w:rFonts w:ascii="Times New Roman" w:hAnsi="Times New Roman" w:cs="Times New Roman"/>
          <w:sz w:val="28"/>
          <w:szCs w:val="28"/>
          <w:lang w:val="uk-UA"/>
        </w:rPr>
        <w:t xml:space="preserve"> С.29-33.</w:t>
      </w:r>
    </w:p>
    <w:p w14:paraId="12246E3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Steinbacher D</w:t>
      </w:r>
      <w:r>
        <w:rPr>
          <w:rFonts w:ascii="Times New Roman" w:hAnsi="Times New Roman" w:cs="Times New Roman"/>
          <w:sz w:val="28"/>
          <w:szCs w:val="28"/>
        </w:rPr>
        <w:t>.</w:t>
      </w:r>
      <w:r>
        <w:rPr>
          <w:rFonts w:ascii="Times New Roman" w:hAnsi="Times New Roman" w:cs="Times New Roman"/>
          <w:sz w:val="28"/>
          <w:szCs w:val="28"/>
          <w:lang w:val="uk-UA"/>
        </w:rPr>
        <w:t>M</w:t>
      </w:r>
      <w:r w:rsidRPr="001C4449">
        <w:rPr>
          <w:rFonts w:ascii="Times New Roman" w:hAnsi="Times New Roman" w:cs="Times New Roman"/>
          <w:sz w:val="28"/>
          <w:szCs w:val="28"/>
          <w:lang w:val="uk-UA"/>
        </w:rPr>
        <w:t>. The dental patient with asthma – an update and oral health</w:t>
      </w:r>
      <w:r>
        <w:rPr>
          <w:rFonts w:ascii="Times New Roman" w:hAnsi="Times New Roman" w:cs="Times New Roman"/>
          <w:sz w:val="28"/>
          <w:szCs w:val="28"/>
          <w:lang w:val="uk-UA"/>
        </w:rPr>
        <w:t xml:space="preserve"> considerations /</w:t>
      </w:r>
      <w:r>
        <w:rPr>
          <w:rFonts w:ascii="Times New Roman" w:hAnsi="Times New Roman" w:cs="Times New Roman"/>
          <w:sz w:val="28"/>
          <w:szCs w:val="28"/>
        </w:rPr>
        <w:t>D.M.</w:t>
      </w:r>
      <w:r>
        <w:rPr>
          <w:rFonts w:ascii="Times New Roman" w:hAnsi="Times New Roman" w:cs="Times New Roman"/>
          <w:sz w:val="28"/>
          <w:szCs w:val="28"/>
          <w:lang w:val="uk-UA"/>
        </w:rPr>
        <w:t xml:space="preserve"> Steinbacher, </w:t>
      </w:r>
      <w:r>
        <w:rPr>
          <w:rFonts w:ascii="Times New Roman" w:hAnsi="Times New Roman" w:cs="Times New Roman"/>
          <w:sz w:val="28"/>
          <w:szCs w:val="28"/>
        </w:rPr>
        <w:t xml:space="preserve">M. </w:t>
      </w:r>
      <w:r>
        <w:rPr>
          <w:rFonts w:ascii="Times New Roman" w:hAnsi="Times New Roman" w:cs="Times New Roman"/>
          <w:sz w:val="28"/>
          <w:szCs w:val="28"/>
          <w:lang w:val="uk-UA"/>
        </w:rPr>
        <w:t>Glick //</w:t>
      </w:r>
      <w:r w:rsidRPr="001C4449">
        <w:rPr>
          <w:rFonts w:ascii="Times New Roman" w:hAnsi="Times New Roman" w:cs="Times New Roman"/>
          <w:sz w:val="28"/>
          <w:szCs w:val="28"/>
          <w:lang w:val="uk-UA"/>
        </w:rPr>
        <w:t xml:space="preserve"> JADA</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132. </w:t>
      </w:r>
      <w:r>
        <w:rPr>
          <w:rFonts w:ascii="Times New Roman" w:hAnsi="Times New Roman" w:cs="Times New Roman"/>
          <w:sz w:val="28"/>
          <w:szCs w:val="28"/>
        </w:rPr>
        <w:t>– P.</w:t>
      </w:r>
      <w:r w:rsidRPr="001C4449">
        <w:rPr>
          <w:rFonts w:ascii="Times New Roman" w:hAnsi="Times New Roman" w:cs="Times New Roman"/>
          <w:sz w:val="28"/>
          <w:szCs w:val="28"/>
          <w:lang w:val="uk-UA"/>
        </w:rPr>
        <w:t>1229- 1239.</w:t>
      </w:r>
    </w:p>
    <w:p w14:paraId="1AA3D1ED" w14:textId="77777777" w:rsidR="002767DC" w:rsidRPr="00DD162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sidRPr="00DD1626">
        <w:rPr>
          <w:rFonts w:ascii="Times New Roman" w:hAnsi="Times New Roman" w:cs="Times New Roman"/>
          <w:sz w:val="28"/>
          <w:szCs w:val="28"/>
        </w:rPr>
        <w:t>H</w:t>
      </w:r>
      <w:r>
        <w:rPr>
          <w:rFonts w:ascii="Times New Roman" w:hAnsi="Times New Roman" w:cs="Times New Roman"/>
          <w:sz w:val="28"/>
          <w:szCs w:val="28"/>
        </w:rPr>
        <w:t>yppa T.</w:t>
      </w:r>
      <w:r w:rsidRPr="00DD1626">
        <w:rPr>
          <w:rFonts w:ascii="Times New Roman" w:hAnsi="Times New Roman" w:cs="Times New Roman"/>
          <w:sz w:val="28"/>
          <w:szCs w:val="28"/>
        </w:rPr>
        <w:t xml:space="preserve"> Gingival IgE and histamine concentrations in patients with asthma and in patients with perio</w:t>
      </w:r>
      <w:r>
        <w:rPr>
          <w:rFonts w:ascii="Times New Roman" w:hAnsi="Times New Roman" w:cs="Times New Roman"/>
          <w:sz w:val="28"/>
          <w:szCs w:val="28"/>
        </w:rPr>
        <w:t>dontitis / T. Hyppa // J Clin Periodontol. – 1984. – Vol.11 – P.132-137</w:t>
      </w:r>
      <w:r w:rsidRPr="00DD1626">
        <w:rPr>
          <w:rFonts w:ascii="Times New Roman" w:hAnsi="Times New Roman" w:cs="Times New Roman"/>
          <w:sz w:val="28"/>
          <w:szCs w:val="28"/>
        </w:rPr>
        <w:t xml:space="preserve">. </w:t>
      </w:r>
    </w:p>
    <w:p w14:paraId="7C3F1B5C" w14:textId="77777777" w:rsidR="00CF6D53" w:rsidRDefault="002767DC" w:rsidP="00CF6D53">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Karl L. </w:t>
      </w:r>
      <w:r w:rsidRPr="00DD1626">
        <w:rPr>
          <w:rFonts w:ascii="Times New Roman" w:hAnsi="Times New Roman" w:cs="Times New Roman"/>
          <w:sz w:val="28"/>
          <w:szCs w:val="28"/>
        </w:rPr>
        <w:t>Asthma and oral health. A clini</w:t>
      </w:r>
      <w:r>
        <w:rPr>
          <w:rFonts w:ascii="Times New Roman" w:hAnsi="Times New Roman" w:cs="Times New Roman"/>
          <w:sz w:val="28"/>
          <w:szCs w:val="28"/>
        </w:rPr>
        <w:t>cal and epidemiological study / L. Karl, Hakamina //</w:t>
      </w:r>
      <w:r w:rsidRPr="00DD1626">
        <w:rPr>
          <w:rFonts w:ascii="Times New Roman" w:hAnsi="Times New Roman" w:cs="Times New Roman"/>
          <w:sz w:val="28"/>
          <w:szCs w:val="28"/>
        </w:rPr>
        <w:t xml:space="preserve"> Acta Electro</w:t>
      </w:r>
      <w:r>
        <w:rPr>
          <w:rFonts w:ascii="Times New Roman" w:hAnsi="Times New Roman" w:cs="Times New Roman"/>
          <w:sz w:val="28"/>
          <w:szCs w:val="28"/>
        </w:rPr>
        <w:t>nica Universitatis Tamperensis. – 2002. – № 4. – P. 193-196</w:t>
      </w:r>
      <w:r w:rsidRPr="00DD1626">
        <w:rPr>
          <w:rFonts w:ascii="Times New Roman" w:hAnsi="Times New Roman" w:cs="Times New Roman"/>
          <w:sz w:val="28"/>
          <w:szCs w:val="28"/>
        </w:rPr>
        <w:t>.</w:t>
      </w:r>
    </w:p>
    <w:p w14:paraId="15E8E859" w14:textId="385BF66C" w:rsidR="00CF6D53" w:rsidRPr="00CF6D53" w:rsidRDefault="00CF6D53" w:rsidP="00CF6D53">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Shen T.C. </w:t>
      </w:r>
      <w:r w:rsidRPr="00CF6D53">
        <w:rPr>
          <w:rFonts w:ascii="Times New Roman" w:hAnsi="Times New Roman" w:cs="Times New Roman"/>
          <w:sz w:val="28"/>
          <w:szCs w:val="28"/>
        </w:rPr>
        <w:t>Risk of Periodontal Disease in Patients With Asthma: A Nationwide Population-Based Retrospective Cohort Study / Te-Chun Shen, Pei-Ying Chang, Cheng-Li Lin // Journal of Periodontology. – 2017. – Vol. 88, Issue 8. – P. 723–730.</w:t>
      </w:r>
    </w:p>
    <w:p w14:paraId="76D79470" w14:textId="4F6EB1B6" w:rsidR="003B5213" w:rsidRPr="003B5213" w:rsidRDefault="003B5213" w:rsidP="003B5213">
      <w:pPr>
        <w:pStyle w:val="ListParagraph"/>
        <w:numPr>
          <w:ilvl w:val="0"/>
          <w:numId w:val="9"/>
        </w:numPr>
        <w:tabs>
          <w:tab w:val="left" w:pos="0"/>
        </w:tabs>
        <w:spacing w:after="0" w:line="360" w:lineRule="auto"/>
        <w:ind w:left="0" w:hanging="426"/>
        <w:jc w:val="both"/>
        <w:rPr>
          <w:rFonts w:ascii="Times New Roman" w:hAnsi="Times New Roman" w:cs="Times New Roman"/>
          <w:sz w:val="28"/>
          <w:szCs w:val="28"/>
          <w:lang w:val="ru-RU"/>
        </w:rPr>
      </w:pPr>
      <w:r>
        <w:rPr>
          <w:rFonts w:ascii="Times New Roman" w:hAnsi="Times New Roman" w:cs="Times New Roman"/>
          <w:sz w:val="28"/>
          <w:szCs w:val="28"/>
          <w:lang w:val="ru-RU"/>
        </w:rPr>
        <w:t>Абаджиди М.А.</w:t>
      </w:r>
      <w:r w:rsidRPr="003B5213">
        <w:rPr>
          <w:rFonts w:ascii="Times New Roman" w:hAnsi="Times New Roman" w:cs="Times New Roman"/>
          <w:sz w:val="28"/>
          <w:szCs w:val="28"/>
          <w:lang w:val="ru-RU"/>
        </w:rPr>
        <w:t xml:space="preserve"> Уровень цитокинов в секрете ротовой полости у детей с бронхиальной астмой</w:t>
      </w:r>
      <w:r>
        <w:rPr>
          <w:rFonts w:ascii="Times New Roman" w:hAnsi="Times New Roman" w:cs="Times New Roman"/>
          <w:sz w:val="28"/>
          <w:szCs w:val="28"/>
          <w:lang w:val="ru-RU"/>
        </w:rPr>
        <w:t xml:space="preserve"> / М.А. Абаджиди</w:t>
      </w:r>
      <w:r w:rsidRPr="003B5213">
        <w:rPr>
          <w:rFonts w:ascii="Times New Roman" w:hAnsi="Times New Roman" w:cs="Times New Roman"/>
          <w:sz w:val="28"/>
          <w:szCs w:val="28"/>
          <w:lang w:val="ru-RU"/>
        </w:rPr>
        <w:t xml:space="preserve">, </w:t>
      </w:r>
      <w:r>
        <w:rPr>
          <w:rFonts w:ascii="Times New Roman" w:hAnsi="Times New Roman" w:cs="Times New Roman"/>
          <w:sz w:val="28"/>
          <w:szCs w:val="28"/>
          <w:lang w:val="ru-RU"/>
        </w:rPr>
        <w:t>Е.Ф. Лукушкина и соавт.</w:t>
      </w:r>
      <w:r w:rsidRPr="003B5213">
        <w:rPr>
          <w:rFonts w:ascii="Times New Roman" w:hAnsi="Times New Roman" w:cs="Times New Roman"/>
          <w:sz w:val="28"/>
          <w:szCs w:val="28"/>
          <w:lang w:val="ru-RU"/>
        </w:rPr>
        <w:t xml:space="preserve"> // Цитокины и воспаление.</w:t>
      </w:r>
      <w:r>
        <w:rPr>
          <w:rFonts w:ascii="Times New Roman" w:hAnsi="Times New Roman" w:cs="Times New Roman"/>
          <w:sz w:val="28"/>
          <w:szCs w:val="28"/>
          <w:lang w:val="ru-RU"/>
        </w:rPr>
        <w:t xml:space="preserve"> </w:t>
      </w:r>
      <w:r w:rsidRPr="003B5213">
        <w:rPr>
          <w:rFonts w:ascii="Times New Roman" w:hAnsi="Times New Roman" w:cs="Times New Roman"/>
          <w:sz w:val="28"/>
          <w:szCs w:val="28"/>
          <w:lang w:val="ru-RU"/>
        </w:rPr>
        <w:t xml:space="preserve">– 2002. – № 3. – С. 10-13. </w:t>
      </w:r>
    </w:p>
    <w:p w14:paraId="74093974" w14:textId="44832BF5" w:rsidR="002767DC" w:rsidRPr="00DD1626" w:rsidRDefault="00C8274F" w:rsidP="00C8274F">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Wang Z</w:t>
      </w:r>
      <w:r w:rsidR="002767DC">
        <w:rPr>
          <w:rFonts w:ascii="Times New Roman" w:hAnsi="Times New Roman" w:cs="Times New Roman"/>
          <w:sz w:val="28"/>
          <w:szCs w:val="28"/>
        </w:rPr>
        <w:t xml:space="preserve">. </w:t>
      </w:r>
      <w:r w:rsidRPr="00C8274F">
        <w:rPr>
          <w:rFonts w:ascii="Times New Roman" w:hAnsi="Times New Roman" w:cs="Times New Roman"/>
          <w:sz w:val="28"/>
          <w:szCs w:val="28"/>
        </w:rPr>
        <w:t>Characteristics of the saliva flow rates of minor salivary glands in healthy people</w:t>
      </w:r>
      <w:r w:rsidR="002767DC" w:rsidRPr="00C8274F">
        <w:rPr>
          <w:rFonts w:ascii="Times New Roman" w:hAnsi="Times New Roman" w:cs="Times New Roman"/>
          <w:sz w:val="28"/>
          <w:szCs w:val="28"/>
        </w:rPr>
        <w:t xml:space="preserve"> / </w:t>
      </w:r>
      <w:bookmarkStart w:id="42" w:name="baut0005"/>
      <w:r w:rsidRPr="00C8274F">
        <w:rPr>
          <w:rFonts w:ascii="Times New Roman" w:hAnsi="Times New Roman" w:cs="Times New Roman"/>
          <w:sz w:val="28"/>
          <w:szCs w:val="28"/>
        </w:rPr>
        <w:fldChar w:fldCharType="begin"/>
      </w:r>
      <w:r w:rsidRPr="00C8274F">
        <w:rPr>
          <w:rFonts w:ascii="Times New Roman" w:hAnsi="Times New Roman" w:cs="Times New Roman"/>
          <w:sz w:val="28"/>
          <w:szCs w:val="28"/>
        </w:rPr>
        <w:instrText xml:space="preserve"> HYPERLINK "https://www.sciencedirect.com/science/article/pii/S0003996914003008" \l "!" </w:instrText>
      </w:r>
      <w:r w:rsidRPr="00C8274F">
        <w:rPr>
          <w:rFonts w:ascii="Times New Roman" w:hAnsi="Times New Roman" w:cs="Times New Roman"/>
          <w:sz w:val="28"/>
          <w:szCs w:val="28"/>
        </w:rPr>
        <w:fldChar w:fldCharType="separate"/>
      </w:r>
      <w:r w:rsidRPr="00C8274F">
        <w:rPr>
          <w:rStyle w:val="text"/>
          <w:rFonts w:ascii="Times New Roman" w:hAnsi="Times New Roman" w:cs="Times New Roman"/>
          <w:sz w:val="28"/>
          <w:szCs w:val="28"/>
        </w:rPr>
        <w:t>ZhenWang</w:t>
      </w:r>
      <w:r w:rsidRPr="00C8274F">
        <w:rPr>
          <w:rFonts w:ascii="Times New Roman" w:hAnsi="Times New Roman" w:cs="Times New Roman"/>
          <w:sz w:val="28"/>
          <w:szCs w:val="28"/>
        </w:rPr>
        <w:fldChar w:fldCharType="end"/>
      </w:r>
      <w:bookmarkStart w:id="43" w:name="baut0010"/>
      <w:bookmarkEnd w:id="42"/>
      <w:r>
        <w:rPr>
          <w:rFonts w:ascii="Times New Roman" w:hAnsi="Times New Roman" w:cs="Times New Roman"/>
          <w:sz w:val="28"/>
          <w:szCs w:val="28"/>
        </w:rPr>
        <w:t xml:space="preserve">, </w:t>
      </w:r>
      <w:hyperlink r:id="rId55" w:anchor="!" w:history="1">
        <w:r w:rsidRPr="00C8274F">
          <w:rPr>
            <w:rStyle w:val="text"/>
            <w:rFonts w:ascii="Times New Roman" w:hAnsi="Times New Roman" w:cs="Times New Roman"/>
            <w:sz w:val="28"/>
            <w:szCs w:val="28"/>
          </w:rPr>
          <w:t>Ming-MingShen</w:t>
        </w:r>
      </w:hyperlink>
      <w:bookmarkStart w:id="44" w:name="baut0015"/>
      <w:bookmarkEnd w:id="43"/>
      <w:r>
        <w:rPr>
          <w:rFonts w:ascii="Times New Roman" w:hAnsi="Times New Roman" w:cs="Times New Roman"/>
          <w:sz w:val="28"/>
          <w:szCs w:val="28"/>
        </w:rPr>
        <w:t xml:space="preserve">, </w:t>
      </w:r>
      <w:hyperlink r:id="rId56" w:anchor="!" w:history="1">
        <w:r w:rsidRPr="00C8274F">
          <w:rPr>
            <w:rStyle w:val="text"/>
            <w:rFonts w:ascii="Times New Roman" w:hAnsi="Times New Roman" w:cs="Times New Roman"/>
            <w:sz w:val="28"/>
            <w:szCs w:val="28"/>
          </w:rPr>
          <w:t>Xiao-JingLiu</w:t>
        </w:r>
      </w:hyperlink>
      <w:bookmarkEnd w:id="44"/>
      <w:r w:rsidRPr="00C8274F">
        <w:rPr>
          <w:rFonts w:ascii="Times New Roman" w:hAnsi="Times New Roman" w:cs="Times New Roman"/>
          <w:sz w:val="28"/>
          <w:szCs w:val="28"/>
        </w:rPr>
        <w:t xml:space="preserve"> </w:t>
      </w:r>
      <w:r w:rsidR="002767DC" w:rsidRPr="00C8274F">
        <w:rPr>
          <w:rFonts w:ascii="Times New Roman" w:hAnsi="Times New Roman" w:cs="Times New Roman"/>
          <w:sz w:val="28"/>
          <w:szCs w:val="28"/>
        </w:rPr>
        <w:t xml:space="preserve">// </w:t>
      </w:r>
      <w:r w:rsidRPr="00C8274F">
        <w:rPr>
          <w:rFonts w:ascii="Times New Roman" w:hAnsi="Times New Roman" w:cs="Times New Roman"/>
          <w:sz w:val="28"/>
          <w:szCs w:val="28"/>
        </w:rPr>
        <w:t>Archives of Oral Biology</w:t>
      </w:r>
      <w:r>
        <w:rPr>
          <w:rFonts w:ascii="Times New Roman" w:hAnsi="Times New Roman" w:cs="Times New Roman"/>
          <w:sz w:val="28"/>
          <w:szCs w:val="28"/>
        </w:rPr>
        <w:t>. – 2015. – Vol. 60. – P. 385-392</w:t>
      </w:r>
      <w:r w:rsidR="002767DC" w:rsidRPr="00DD1626">
        <w:rPr>
          <w:rFonts w:ascii="Times New Roman" w:hAnsi="Times New Roman" w:cs="Times New Roman"/>
          <w:sz w:val="28"/>
          <w:szCs w:val="28"/>
        </w:rPr>
        <w:t xml:space="preserve">. </w:t>
      </w:r>
    </w:p>
    <w:p w14:paraId="20EE1ADE" w14:textId="3B096700" w:rsidR="002767DC" w:rsidRPr="00DD162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Stensson M. </w:t>
      </w:r>
      <w:r w:rsidRPr="00DD1626">
        <w:rPr>
          <w:rFonts w:ascii="Times New Roman" w:hAnsi="Times New Roman" w:cs="Times New Roman"/>
          <w:sz w:val="28"/>
          <w:szCs w:val="28"/>
        </w:rPr>
        <w:t xml:space="preserve">Oral health in </w:t>
      </w:r>
      <w:r>
        <w:rPr>
          <w:rFonts w:ascii="Times New Roman" w:hAnsi="Times New Roman" w:cs="Times New Roman"/>
          <w:sz w:val="28"/>
          <w:szCs w:val="28"/>
        </w:rPr>
        <w:t xml:space="preserve">preschool children with asthma / </w:t>
      </w:r>
      <w:r w:rsidRPr="00DD1626">
        <w:rPr>
          <w:rFonts w:ascii="Times New Roman" w:hAnsi="Times New Roman" w:cs="Times New Roman"/>
          <w:sz w:val="28"/>
          <w:szCs w:val="28"/>
        </w:rPr>
        <w:t>M. Stensson, L.K. Wendt, G. Koch et al.</w:t>
      </w:r>
      <w:r>
        <w:rPr>
          <w:rFonts w:ascii="Times New Roman" w:hAnsi="Times New Roman" w:cs="Times New Roman"/>
          <w:sz w:val="28"/>
          <w:szCs w:val="28"/>
        </w:rPr>
        <w:t xml:space="preserve"> //</w:t>
      </w:r>
      <w:r w:rsidRPr="00DD1626">
        <w:rPr>
          <w:rFonts w:ascii="Times New Roman" w:hAnsi="Times New Roman" w:cs="Times New Roman"/>
          <w:sz w:val="28"/>
          <w:szCs w:val="28"/>
        </w:rPr>
        <w:t xml:space="preserve"> Int.J.Paediatr.Dent.</w:t>
      </w:r>
      <w:r>
        <w:rPr>
          <w:rFonts w:ascii="Times New Roman" w:hAnsi="Times New Roman" w:cs="Times New Roman"/>
          <w:sz w:val="28"/>
          <w:szCs w:val="28"/>
        </w:rPr>
        <w:t xml:space="preserve"> – 2008. – Vol. 18. - P. 243–250</w:t>
      </w:r>
      <w:r w:rsidRPr="00DD1626">
        <w:rPr>
          <w:rFonts w:ascii="Times New Roman" w:hAnsi="Times New Roman" w:cs="Times New Roman"/>
          <w:sz w:val="28"/>
          <w:szCs w:val="28"/>
        </w:rPr>
        <w:t xml:space="preserve">. </w:t>
      </w:r>
    </w:p>
    <w:p w14:paraId="698976B6" w14:textId="77777777" w:rsidR="002767DC" w:rsidRPr="00DD162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sidRPr="00DD1626">
        <w:rPr>
          <w:rFonts w:ascii="Times New Roman" w:hAnsi="Times New Roman" w:cs="Times New Roman"/>
          <w:sz w:val="28"/>
          <w:szCs w:val="28"/>
        </w:rPr>
        <w:t>Derek</w:t>
      </w:r>
      <w:r>
        <w:rPr>
          <w:rFonts w:ascii="Times New Roman" w:hAnsi="Times New Roman" w:cs="Times New Roman"/>
          <w:sz w:val="28"/>
          <w:szCs w:val="28"/>
        </w:rPr>
        <w:t xml:space="preserve"> M.S. </w:t>
      </w:r>
      <w:r w:rsidRPr="00DD1626">
        <w:rPr>
          <w:rFonts w:ascii="Times New Roman" w:hAnsi="Times New Roman" w:cs="Times New Roman"/>
          <w:sz w:val="28"/>
          <w:szCs w:val="28"/>
        </w:rPr>
        <w:t xml:space="preserve">The dental patient with asthma: An update </w:t>
      </w:r>
      <w:r>
        <w:rPr>
          <w:rFonts w:ascii="Times New Roman" w:hAnsi="Times New Roman" w:cs="Times New Roman"/>
          <w:sz w:val="28"/>
          <w:szCs w:val="28"/>
        </w:rPr>
        <w:t xml:space="preserve">and oral health considerations / </w:t>
      </w:r>
      <w:r w:rsidRPr="00DD1626">
        <w:rPr>
          <w:rFonts w:ascii="Times New Roman" w:hAnsi="Times New Roman" w:cs="Times New Roman"/>
          <w:sz w:val="28"/>
          <w:szCs w:val="28"/>
        </w:rPr>
        <w:t>M.S. Derek, G. Michael</w:t>
      </w:r>
      <w:r>
        <w:rPr>
          <w:rFonts w:ascii="Times New Roman" w:hAnsi="Times New Roman" w:cs="Times New Roman"/>
          <w:sz w:val="28"/>
          <w:szCs w:val="28"/>
        </w:rPr>
        <w:t xml:space="preserve"> // J.Am.Dent.Assoc. – 2001. – Vol. 132. – P. 1229-1239</w:t>
      </w:r>
      <w:r w:rsidRPr="00DD1626">
        <w:rPr>
          <w:rFonts w:ascii="Times New Roman" w:hAnsi="Times New Roman" w:cs="Times New Roman"/>
          <w:sz w:val="28"/>
          <w:szCs w:val="28"/>
        </w:rPr>
        <w:t xml:space="preserve">. </w:t>
      </w:r>
    </w:p>
    <w:p w14:paraId="599C0992" w14:textId="77777777" w:rsidR="002767DC" w:rsidRPr="00DD1626"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Fukushima C.</w:t>
      </w:r>
      <w:r w:rsidRPr="00DD1626">
        <w:rPr>
          <w:rFonts w:ascii="Times New Roman" w:hAnsi="Times New Roman" w:cs="Times New Roman"/>
          <w:sz w:val="28"/>
          <w:szCs w:val="28"/>
        </w:rPr>
        <w:t>alivary IgA and oral candidiasis in asthmatic patients treat</w:t>
      </w:r>
      <w:r>
        <w:rPr>
          <w:rFonts w:ascii="Times New Roman" w:hAnsi="Times New Roman" w:cs="Times New Roman"/>
          <w:sz w:val="28"/>
          <w:szCs w:val="28"/>
        </w:rPr>
        <w:t xml:space="preserve">ed with inhaled corticosteroid / </w:t>
      </w:r>
      <w:r w:rsidRPr="00DD1626">
        <w:rPr>
          <w:rFonts w:ascii="Times New Roman" w:hAnsi="Times New Roman" w:cs="Times New Roman"/>
          <w:sz w:val="28"/>
          <w:szCs w:val="28"/>
        </w:rPr>
        <w:t>C. Fukushima, H. Matsuse, S.J. Saeki</w:t>
      </w:r>
      <w:r>
        <w:rPr>
          <w:rFonts w:ascii="Times New Roman" w:hAnsi="Times New Roman" w:cs="Times New Roman"/>
          <w:sz w:val="28"/>
          <w:szCs w:val="28"/>
        </w:rPr>
        <w:t xml:space="preserve"> // Asthma. – 2005. – Vol. 42. – P. 601–604</w:t>
      </w:r>
      <w:r w:rsidRPr="00DD1626">
        <w:rPr>
          <w:rFonts w:ascii="Times New Roman" w:hAnsi="Times New Roman" w:cs="Times New Roman"/>
          <w:sz w:val="28"/>
          <w:szCs w:val="28"/>
        </w:rPr>
        <w:t xml:space="preserve">. </w:t>
      </w:r>
    </w:p>
    <w:p w14:paraId="5227FDA1" w14:textId="77777777" w:rsidR="002767DC" w:rsidRPr="009A1FE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rPr>
        <w:t>Schu</w:t>
      </w:r>
      <w:r>
        <w:rPr>
          <w:rFonts w:ascii="Times New Roman" w:hAnsi="Times New Roman" w:cs="Times New Roman"/>
          <w:sz w:val="28"/>
          <w:szCs w:val="28"/>
        </w:rPr>
        <w:t xml:space="preserve">lman J.D. </w:t>
      </w:r>
      <w:r w:rsidRPr="00DD1626">
        <w:rPr>
          <w:rFonts w:ascii="Times New Roman" w:hAnsi="Times New Roman" w:cs="Times New Roman"/>
          <w:sz w:val="28"/>
          <w:szCs w:val="28"/>
        </w:rPr>
        <w:t>The prevalence of periodontal related changes in adolescents with asthma: Results of third annual national health an</w:t>
      </w:r>
      <w:r>
        <w:rPr>
          <w:rFonts w:ascii="Times New Roman" w:hAnsi="Times New Roman" w:cs="Times New Roman"/>
          <w:sz w:val="28"/>
          <w:szCs w:val="28"/>
        </w:rPr>
        <w:t xml:space="preserve">d nutrition examination survey / </w:t>
      </w:r>
      <w:r w:rsidRPr="00DD1626">
        <w:rPr>
          <w:rFonts w:ascii="Times New Roman" w:hAnsi="Times New Roman" w:cs="Times New Roman"/>
          <w:sz w:val="28"/>
          <w:szCs w:val="28"/>
        </w:rPr>
        <w:t>J.D. Schulman, M.E. Nunn, S.E. Taylor</w:t>
      </w:r>
      <w:r>
        <w:rPr>
          <w:rFonts w:ascii="Times New Roman" w:hAnsi="Times New Roman" w:cs="Times New Roman"/>
          <w:sz w:val="28"/>
          <w:szCs w:val="28"/>
        </w:rPr>
        <w:t xml:space="preserve"> // Pediatr Dentist. – 2003. –Vol. 25. - P. 279-284</w:t>
      </w:r>
      <w:r w:rsidRPr="00DD1626">
        <w:rPr>
          <w:rFonts w:ascii="Times New Roman" w:hAnsi="Times New Roman" w:cs="Times New Roman"/>
          <w:sz w:val="28"/>
          <w:szCs w:val="28"/>
        </w:rPr>
        <w:t>.</w:t>
      </w:r>
    </w:p>
    <w:p w14:paraId="6339F04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Фяткулин Р. Р. Гингивит у детей и подростков / Р. Р. Фяткулин, С. А. Дмитриев, Н. Д. Керимов // Бюл. мед. интернет-конференций. – 2014. – № 12. – С. 1382–1383.  </w:t>
      </w:r>
    </w:p>
    <w:p w14:paraId="40C428D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A1FEF">
        <w:rPr>
          <w:rFonts w:ascii="Times New Roman" w:hAnsi="Times New Roman" w:cs="Times New Roman"/>
          <w:sz w:val="28"/>
          <w:szCs w:val="28"/>
          <w:lang w:val="uk-UA"/>
        </w:rPr>
        <w:t xml:space="preserve">Савичук Н. О. Современные подходы к изучению стоматологического здоровья / Н. О. Савичук // Дентальные технологии. </w:t>
      </w:r>
      <w:r>
        <w:rPr>
          <w:rFonts w:ascii="Times New Roman" w:hAnsi="Times New Roman" w:cs="Times New Roman"/>
          <w:sz w:val="28"/>
          <w:szCs w:val="28"/>
          <w:lang w:val="uk-UA"/>
        </w:rPr>
        <w:t xml:space="preserve">– 2010. – № 2. – С. 7– 10. </w:t>
      </w:r>
    </w:p>
    <w:p w14:paraId="405E9CE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A1FEF">
        <w:rPr>
          <w:rFonts w:ascii="Times New Roman" w:hAnsi="Times New Roman" w:cs="Times New Roman"/>
          <w:sz w:val="28"/>
          <w:szCs w:val="28"/>
          <w:lang w:val="uk-UA"/>
        </w:rPr>
        <w:t xml:space="preserve">Савичук Н. О. Современные подходы к первичной профилактике заболеваний тканей пародонта у детей / Н. О. Савичук // Современная стоматология. – 2008. – № 3. – С. 53–57.  </w:t>
      </w:r>
    </w:p>
    <w:p w14:paraId="08B67F5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Хвороби тканин пародонта (етіологія, патогенез, діагностика, лікування) : посібник / під ред. В. М. Зубачик. – Львів : Ліга-Прес, 2011. – 269 c.</w:t>
      </w:r>
    </w:p>
    <w:p w14:paraId="5C3F3D1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Смоляр Н. І. Особливості клінічного перебігу хронічного катарального гінгівіту в дітей, які проживають на екологічно несприятливих територіях / Н. І. Смоляр, Н. В. Малко // Укр. стоматол. альманах. </w:t>
      </w:r>
      <w:r>
        <w:rPr>
          <w:rFonts w:ascii="Times New Roman" w:hAnsi="Times New Roman" w:cs="Times New Roman"/>
          <w:sz w:val="28"/>
          <w:szCs w:val="28"/>
          <w:lang w:val="uk-UA"/>
        </w:rPr>
        <w:t xml:space="preserve">– 2013. – № 4. – С. 76–78. </w:t>
      </w:r>
    </w:p>
    <w:p w14:paraId="0118509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Смоляр Н. І. Поширеність хронічного катарального гінгівіту у дівчат в залежності від періоду статевого дозрівання / Н. І Смоляр, А. А. Машкаринець // Вісн. стоматології. – 2012. – № 3. – С. 105–108.  </w:t>
      </w:r>
    </w:p>
    <w:p w14:paraId="1CD8562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Політун А. М. Епідеміологія, особливості розвитку хвороб пародонту і їх профілактика в умовах біогеохімічного дефіциту фтору та йоду : автореф. дис. ... д-ра мед. наук : 14.01.21 / Політун Антоніна Михайлівна ; Національний медичний ун-т ім. О.О. Богомольця. – Київ, 1996. – 49 с.</w:t>
      </w:r>
    </w:p>
    <w:p w14:paraId="326E9AFF"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Павленко О. В. Сучасні проблеми стоматологічного здоров'я населення України / О. В. Павленко, І. О. Головня, І. П. Мазур // Журн. практ. лікаря.</w:t>
      </w:r>
      <w:r>
        <w:rPr>
          <w:rFonts w:ascii="Times New Roman" w:hAnsi="Times New Roman" w:cs="Times New Roman"/>
          <w:sz w:val="28"/>
          <w:szCs w:val="28"/>
          <w:lang w:val="uk-UA"/>
        </w:rPr>
        <w:t xml:space="preserve"> – 2005. – № 5. – С. 8–14. </w:t>
      </w:r>
    </w:p>
    <w:p w14:paraId="583CF2C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 xml:space="preserve">Павлов А. А. Изучение клинических и гистологических особенностей гингивита в детском возрасте / А. А. Павлов, В. М. Водолацкий // Стоматология для всех. </w:t>
      </w:r>
      <w:r>
        <w:rPr>
          <w:rFonts w:ascii="Times New Roman" w:hAnsi="Times New Roman" w:cs="Times New Roman"/>
          <w:sz w:val="28"/>
          <w:szCs w:val="28"/>
          <w:lang w:val="uk-UA"/>
        </w:rPr>
        <w:t xml:space="preserve">– 2015. – № 1. – С. 24–26. </w:t>
      </w:r>
    </w:p>
    <w:p w14:paraId="353A9F16"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Павлов А. А. Клинико-морфологическая картина гингивита у школьников / А. А. Павлов, В. С. Боташева, А. М. Угримова // Кубан. науч. мед. вестник. – 2012. – № 4. – С. 149–151.</w:t>
      </w:r>
    </w:p>
    <w:p w14:paraId="24F5E89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Мюллер Х.-П. Пародонтология / Х.-П. Мюллер ; пер. с нем. А. Яремко. – Львов : ГалДент, 2004. – 256 с.</w:t>
      </w:r>
    </w:p>
    <w:p w14:paraId="08E96571"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Сущенко А. В. Результаты исследования распространѐнности патологии пародонта у детей / А. В. Сущенко, О. А. Лепехина, Л. И. Лепехина // Междунар. журн. эксперим. образования. – 2015. – № 5. – С. 41</w:t>
      </w:r>
    </w:p>
    <w:p w14:paraId="7CE55F7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Попович З. Б. Поширеність захворювань пародонту у дітей, які проживають на екологічно забруднених територіях // З. Б. Попович, Г. В. Кіндрат, Г. О. Трушик // Вісн. стоматології.</w:t>
      </w:r>
      <w:r>
        <w:rPr>
          <w:rFonts w:ascii="Times New Roman" w:hAnsi="Times New Roman" w:cs="Times New Roman"/>
          <w:sz w:val="28"/>
          <w:szCs w:val="28"/>
          <w:lang w:val="uk-UA"/>
        </w:rPr>
        <w:t xml:space="preserve"> – 2010. – № 2. – C. 32–33. </w:t>
      </w:r>
      <w:r w:rsidRPr="008A26FF">
        <w:rPr>
          <w:rFonts w:ascii="Times New Roman" w:hAnsi="Times New Roman" w:cs="Times New Roman"/>
          <w:sz w:val="28"/>
          <w:szCs w:val="28"/>
          <w:lang w:val="uk-UA"/>
        </w:rPr>
        <w:t xml:space="preserve"> </w:t>
      </w:r>
    </w:p>
    <w:p w14:paraId="068B3F28" w14:textId="77777777" w:rsidR="002767DC" w:rsidRPr="00FD1C2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967EE">
        <w:rPr>
          <w:rFonts w:ascii="Times New Roman" w:hAnsi="Times New Roman" w:cs="Times New Roman"/>
          <w:sz w:val="28"/>
          <w:szCs w:val="28"/>
          <w:lang w:val="uk-UA"/>
        </w:rPr>
        <w:t>Хамитов</w:t>
      </w:r>
      <w:r>
        <w:rPr>
          <w:rFonts w:ascii="Times New Roman" w:hAnsi="Times New Roman" w:cs="Times New Roman"/>
          <w:sz w:val="28"/>
          <w:szCs w:val="28"/>
          <w:lang w:val="uk-UA"/>
        </w:rPr>
        <w:t>а</w:t>
      </w:r>
      <w:r w:rsidRPr="001967EE">
        <w:rPr>
          <w:rFonts w:ascii="Times New Roman" w:hAnsi="Times New Roman" w:cs="Times New Roman"/>
          <w:sz w:val="28"/>
          <w:szCs w:val="28"/>
          <w:lang w:val="uk-UA"/>
        </w:rPr>
        <w:t xml:space="preserve"> Н. Х. Клиника, диагностика и лечение заболеваний пародонта в детском возрасте / Н. Х. Хамитова, Е. В. Мамаева. – Казань: Медлит., 2009. – 191 с.</w:t>
      </w:r>
    </w:p>
    <w:p w14:paraId="27029190" w14:textId="77777777" w:rsidR="002767DC" w:rsidRPr="008A26F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26FF">
        <w:rPr>
          <w:rFonts w:ascii="Times New Roman" w:hAnsi="Times New Roman" w:cs="Times New Roman"/>
          <w:sz w:val="28"/>
          <w:szCs w:val="28"/>
          <w:lang w:val="uk-UA"/>
        </w:rPr>
        <w:t>L</w:t>
      </w:r>
      <w:r>
        <w:rPr>
          <w:rFonts w:ascii="Times New Roman" w:hAnsi="Times New Roman" w:cs="Times New Roman"/>
          <w:sz w:val="28"/>
          <w:szCs w:val="28"/>
          <w:lang w:val="uk-UA"/>
        </w:rPr>
        <w:t>oesche W</w:t>
      </w:r>
      <w:r>
        <w:rPr>
          <w:rFonts w:ascii="Times New Roman" w:hAnsi="Times New Roman" w:cs="Times New Roman"/>
          <w:sz w:val="28"/>
          <w:szCs w:val="28"/>
        </w:rPr>
        <w:t>.</w:t>
      </w:r>
      <w:r>
        <w:rPr>
          <w:rFonts w:ascii="Times New Roman" w:hAnsi="Times New Roman" w:cs="Times New Roman"/>
          <w:sz w:val="28"/>
          <w:szCs w:val="28"/>
          <w:lang w:val="uk-UA"/>
        </w:rPr>
        <w:t>J</w:t>
      </w:r>
      <w:r w:rsidRPr="008A26FF">
        <w:rPr>
          <w:rFonts w:ascii="Times New Roman" w:hAnsi="Times New Roman" w:cs="Times New Roman"/>
          <w:sz w:val="28"/>
          <w:szCs w:val="28"/>
          <w:lang w:val="uk-UA"/>
        </w:rPr>
        <w:t>. Periodontal disease as a specific, albeit chronic, infection: diagnosis and</w:t>
      </w:r>
      <w:r>
        <w:rPr>
          <w:rFonts w:ascii="Times New Roman" w:hAnsi="Times New Roman" w:cs="Times New Roman"/>
          <w:sz w:val="28"/>
          <w:szCs w:val="28"/>
          <w:lang w:val="uk-UA"/>
        </w:rPr>
        <w:t xml:space="preserve"> treatment / </w:t>
      </w:r>
      <w:r>
        <w:rPr>
          <w:rFonts w:ascii="Times New Roman" w:hAnsi="Times New Roman" w:cs="Times New Roman"/>
          <w:sz w:val="28"/>
          <w:szCs w:val="28"/>
        </w:rPr>
        <w:t xml:space="preserve">W.J. </w:t>
      </w:r>
      <w:r>
        <w:rPr>
          <w:rFonts w:ascii="Times New Roman" w:hAnsi="Times New Roman" w:cs="Times New Roman"/>
          <w:sz w:val="28"/>
          <w:szCs w:val="28"/>
          <w:lang w:val="uk-UA"/>
        </w:rPr>
        <w:t>Loesche</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N.S. </w:t>
      </w:r>
      <w:r>
        <w:rPr>
          <w:rFonts w:ascii="Times New Roman" w:hAnsi="Times New Roman" w:cs="Times New Roman"/>
          <w:sz w:val="28"/>
          <w:szCs w:val="28"/>
          <w:lang w:val="uk-UA"/>
        </w:rPr>
        <w:t>Grossman</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w:t>
      </w:r>
      <w:r w:rsidRPr="008A26FF">
        <w:rPr>
          <w:rFonts w:ascii="Times New Roman" w:hAnsi="Times New Roman" w:cs="Times New Roman"/>
          <w:sz w:val="28"/>
          <w:szCs w:val="28"/>
          <w:lang w:val="uk-UA"/>
        </w:rPr>
        <w:t xml:space="preserve"> Clin</w:t>
      </w:r>
      <w:r>
        <w:rPr>
          <w:rFonts w:ascii="Times New Roman" w:hAnsi="Times New Roman" w:cs="Times New Roman"/>
          <w:sz w:val="28"/>
          <w:szCs w:val="28"/>
          <w:lang w:val="uk-UA"/>
        </w:rPr>
        <w:t xml:space="preserve"> Microbiol Rev</w:t>
      </w:r>
      <w:r>
        <w:rPr>
          <w:rFonts w:ascii="Times New Roman" w:hAnsi="Times New Roman" w:cs="Times New Roman"/>
          <w:sz w:val="28"/>
          <w:szCs w:val="28"/>
        </w:rPr>
        <w:t>. –</w:t>
      </w:r>
      <w:r>
        <w:rPr>
          <w:rFonts w:ascii="Times New Roman" w:hAnsi="Times New Roman" w:cs="Times New Roman"/>
          <w:sz w:val="28"/>
          <w:szCs w:val="28"/>
          <w:lang w:val="uk-UA"/>
        </w:rPr>
        <w:t xml:space="preserve"> 2001.</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14. </w:t>
      </w:r>
      <w:r>
        <w:rPr>
          <w:rFonts w:ascii="Times New Roman" w:hAnsi="Times New Roman" w:cs="Times New Roman"/>
          <w:sz w:val="28"/>
          <w:szCs w:val="28"/>
        </w:rPr>
        <w:t>– P.</w:t>
      </w:r>
      <w:r>
        <w:rPr>
          <w:rFonts w:ascii="Times New Roman" w:hAnsi="Times New Roman" w:cs="Times New Roman"/>
          <w:sz w:val="28"/>
          <w:szCs w:val="28"/>
          <w:lang w:val="uk-UA"/>
        </w:rPr>
        <w:t>727–</w:t>
      </w:r>
      <w:r>
        <w:rPr>
          <w:rFonts w:ascii="Times New Roman" w:hAnsi="Times New Roman" w:cs="Times New Roman"/>
          <w:sz w:val="28"/>
          <w:szCs w:val="28"/>
        </w:rPr>
        <w:t>7</w:t>
      </w:r>
      <w:r>
        <w:rPr>
          <w:rFonts w:ascii="Times New Roman" w:hAnsi="Times New Roman" w:cs="Times New Roman"/>
          <w:sz w:val="28"/>
          <w:szCs w:val="28"/>
          <w:lang w:val="uk-UA"/>
        </w:rPr>
        <w:t xml:space="preserve">52. </w:t>
      </w:r>
    </w:p>
    <w:p w14:paraId="2897055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Amar S</w:t>
      </w:r>
      <w:r w:rsidRPr="008A26FF">
        <w:rPr>
          <w:rFonts w:ascii="Times New Roman" w:hAnsi="Times New Roman" w:cs="Times New Roman"/>
          <w:sz w:val="28"/>
          <w:szCs w:val="28"/>
          <w:lang w:val="uk-UA"/>
        </w:rPr>
        <w:t>. Periodontal disease is associated</w:t>
      </w:r>
      <w:r>
        <w:rPr>
          <w:rFonts w:ascii="Times New Roman" w:hAnsi="Times New Roman" w:cs="Times New Roman"/>
          <w:sz w:val="28"/>
          <w:szCs w:val="28"/>
          <w:lang w:val="uk-UA"/>
        </w:rPr>
        <w:t xml:space="preserve"> </w:t>
      </w:r>
      <w:r w:rsidRPr="008A26FF">
        <w:rPr>
          <w:rFonts w:ascii="Times New Roman" w:hAnsi="Times New Roman" w:cs="Times New Roman"/>
          <w:sz w:val="28"/>
          <w:szCs w:val="28"/>
          <w:lang w:val="uk-UA"/>
        </w:rPr>
        <w:t>with brachial artery endothelial dysfunc</w:t>
      </w:r>
      <w:r>
        <w:rPr>
          <w:rFonts w:ascii="Times New Roman" w:hAnsi="Times New Roman" w:cs="Times New Roman"/>
          <w:sz w:val="28"/>
          <w:szCs w:val="28"/>
          <w:lang w:val="uk-UA"/>
        </w:rPr>
        <w:t xml:space="preserve">tion and systemic inflammation / </w:t>
      </w:r>
      <w:r>
        <w:rPr>
          <w:rFonts w:ascii="Times New Roman" w:hAnsi="Times New Roman" w:cs="Times New Roman"/>
          <w:sz w:val="28"/>
          <w:szCs w:val="28"/>
        </w:rPr>
        <w:t xml:space="preserve">S. </w:t>
      </w:r>
      <w:r>
        <w:rPr>
          <w:rFonts w:ascii="Times New Roman" w:hAnsi="Times New Roman" w:cs="Times New Roman"/>
          <w:sz w:val="28"/>
          <w:szCs w:val="28"/>
          <w:lang w:val="uk-UA"/>
        </w:rPr>
        <w:t>Amar</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N. </w:t>
      </w:r>
      <w:r w:rsidRPr="008A26FF">
        <w:rPr>
          <w:rFonts w:ascii="Times New Roman" w:hAnsi="Times New Roman" w:cs="Times New Roman"/>
          <w:sz w:val="28"/>
          <w:szCs w:val="28"/>
          <w:lang w:val="uk-UA"/>
        </w:rPr>
        <w:t xml:space="preserve">Gokce N, </w:t>
      </w:r>
      <w:r>
        <w:rPr>
          <w:rFonts w:ascii="Times New Roman" w:hAnsi="Times New Roman" w:cs="Times New Roman"/>
          <w:sz w:val="28"/>
          <w:szCs w:val="28"/>
        </w:rPr>
        <w:t xml:space="preserve">S. </w:t>
      </w:r>
      <w:r>
        <w:rPr>
          <w:rFonts w:ascii="Times New Roman" w:hAnsi="Times New Roman" w:cs="Times New Roman"/>
          <w:sz w:val="28"/>
          <w:szCs w:val="28"/>
          <w:lang w:val="uk-UA"/>
        </w:rPr>
        <w:t>Morgan et al.</w:t>
      </w:r>
      <w:r w:rsidRPr="008A26FF">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8A26FF">
        <w:rPr>
          <w:rFonts w:ascii="Times New Roman" w:hAnsi="Times New Roman" w:cs="Times New Roman"/>
          <w:sz w:val="28"/>
          <w:szCs w:val="28"/>
          <w:lang w:val="uk-UA"/>
        </w:rPr>
        <w:t>Arterioscler Thromb Vasc</w:t>
      </w:r>
      <w:r>
        <w:rPr>
          <w:rFonts w:ascii="Times New Roman" w:hAnsi="Times New Roman" w:cs="Times New Roman"/>
          <w:sz w:val="28"/>
          <w:szCs w:val="28"/>
          <w:lang w:val="uk-UA"/>
        </w:rPr>
        <w:t xml:space="preserve"> </w:t>
      </w:r>
      <w:r w:rsidRPr="008A26FF">
        <w:rPr>
          <w:rFonts w:ascii="Times New Roman" w:hAnsi="Times New Roman" w:cs="Times New Roman"/>
          <w:sz w:val="28"/>
          <w:szCs w:val="28"/>
          <w:lang w:val="uk-UA"/>
        </w:rPr>
        <w:t>Biol</w:t>
      </w:r>
      <w:r>
        <w:rPr>
          <w:rFonts w:ascii="Times New Roman" w:hAnsi="Times New Roman" w:cs="Times New Roman"/>
          <w:sz w:val="28"/>
          <w:szCs w:val="28"/>
        </w:rPr>
        <w:t>. –</w:t>
      </w:r>
      <w:r w:rsidRPr="008A26FF">
        <w:rPr>
          <w:rFonts w:ascii="Times New Roman" w:hAnsi="Times New Roman" w:cs="Times New Roman"/>
          <w:sz w:val="28"/>
          <w:szCs w:val="28"/>
          <w:lang w:val="uk-UA"/>
        </w:rPr>
        <w:t xml:space="preserve"> 2003</w:t>
      </w:r>
      <w:r>
        <w:rPr>
          <w:rFonts w:ascii="Times New Roman" w:hAnsi="Times New Roman" w:cs="Times New Roman"/>
          <w:sz w:val="28"/>
          <w:szCs w:val="28"/>
        </w:rPr>
        <w:t>. – Vol.2</w:t>
      </w:r>
      <w:r>
        <w:rPr>
          <w:rFonts w:ascii="Times New Roman" w:hAnsi="Times New Roman" w:cs="Times New Roman"/>
          <w:sz w:val="28"/>
          <w:szCs w:val="28"/>
          <w:lang w:val="uk-UA"/>
        </w:rPr>
        <w:t xml:space="preserve">3. </w:t>
      </w:r>
      <w:r>
        <w:rPr>
          <w:rFonts w:ascii="Times New Roman" w:hAnsi="Times New Roman" w:cs="Times New Roman"/>
          <w:sz w:val="28"/>
          <w:szCs w:val="28"/>
        </w:rPr>
        <w:t>– P.</w:t>
      </w:r>
      <w:r w:rsidRPr="008A26FF">
        <w:rPr>
          <w:rFonts w:ascii="Times New Roman" w:hAnsi="Times New Roman" w:cs="Times New Roman"/>
          <w:sz w:val="28"/>
          <w:szCs w:val="28"/>
          <w:lang w:val="uk-UA"/>
        </w:rPr>
        <w:t>1245–</w:t>
      </w:r>
      <w:r>
        <w:rPr>
          <w:rFonts w:ascii="Times New Roman" w:hAnsi="Times New Roman" w:cs="Times New Roman"/>
          <w:sz w:val="28"/>
          <w:szCs w:val="28"/>
        </w:rPr>
        <w:t>124</w:t>
      </w:r>
      <w:r w:rsidRPr="008A26FF">
        <w:rPr>
          <w:rFonts w:ascii="Times New Roman" w:hAnsi="Times New Roman" w:cs="Times New Roman"/>
          <w:sz w:val="28"/>
          <w:szCs w:val="28"/>
          <w:lang w:val="uk-UA"/>
        </w:rPr>
        <w:t>9.</w:t>
      </w:r>
    </w:p>
    <w:p w14:paraId="44B4FE7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Марченко О.А. Обґрунтування вибору засобів гігієни на основі механізму їх дії / О.А. Марченко, Т.Є. Бойченко // Дентальные технологии. – 2007. – № 1 (32). – С. 16–19.</w:t>
      </w:r>
    </w:p>
    <w:p w14:paraId="6E934B4F"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Савичук Н.О. Сучасні погляди на етіологію та патогенез захворювань пародонта у дітей / Н.О. Савичук, О.А. Марченко //Дентальные технологии. – 2008. – № 3 (38). – С. 19–23</w:t>
      </w:r>
    </w:p>
    <w:p w14:paraId="23BD105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Ковач I. В. Комплексна первинна стоматологічна профілактика у дітей в умовах промислового регіону / І. В. Ковач // Наук. вісник Нац. мед. ун-ту ім. О. О. Богомольця. – 2007. – Спецвипуск. – С. 116–117</w:t>
      </w:r>
    </w:p>
    <w:p w14:paraId="27295A3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Касьяненко О. А. Забруднення довкілля важкими металами та стан здоров’я дитячого населення / О. А. Касьяненко, Г. Я. Касьяненко // Довкілля та здоров’я. – 2005. – № 1. – С. 23–27.</w:t>
      </w:r>
    </w:p>
    <w:p w14:paraId="78778E3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Деньга О. В. Мікроелементи та стоматологічне здоров’я дитячого населення / О. В. Деньга, О. М. Світлична, Ю. М. Ворохта // Довкілля та здоров’я.</w:t>
      </w:r>
      <w:r>
        <w:rPr>
          <w:rFonts w:ascii="Times New Roman" w:hAnsi="Times New Roman" w:cs="Times New Roman"/>
          <w:sz w:val="28"/>
          <w:szCs w:val="28"/>
          <w:lang w:val="uk-UA"/>
        </w:rPr>
        <w:t xml:space="preserve"> – 2008. – № 1. – С. 53–55. </w:t>
      </w:r>
    </w:p>
    <w:p w14:paraId="1D975C0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37071">
        <w:rPr>
          <w:rFonts w:ascii="Times New Roman" w:hAnsi="Times New Roman" w:cs="Times New Roman"/>
          <w:sz w:val="28"/>
          <w:szCs w:val="28"/>
          <w:lang w:val="uk-UA"/>
        </w:rPr>
        <w:t>Деньга О. В. Поражаемость кариесом зубов детей, проживающих в районах Одесской области с различной пестицидной нагрузкой / О. В. Деньга, А. В. Николаева, С. В. Шепак // Вісн. стоматології. – 2007. – № 3. – С. 38–44.</w:t>
      </w:r>
    </w:p>
    <w:p w14:paraId="52B13042" w14:textId="77777777" w:rsidR="002767DC" w:rsidRPr="00B21AFA"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B21AFA">
        <w:rPr>
          <w:rFonts w:ascii="Times New Roman" w:hAnsi="Times New Roman" w:cs="Times New Roman"/>
          <w:sz w:val="28"/>
          <w:szCs w:val="28"/>
          <w:lang w:val="uk-UA"/>
        </w:rPr>
        <w:t xml:space="preserve">Каськова Л. Ф. Підвищення резистенції твердих тканин зубів у дітей перших років життя / Л. Ф. Каськова, А. В. Шепеля, О. Е. Абрамова : тези ювілейної міжнародної наук-практ. конф. – </w:t>
      </w:r>
      <w:r>
        <w:rPr>
          <w:rFonts w:ascii="Times New Roman" w:hAnsi="Times New Roman" w:cs="Times New Roman"/>
          <w:sz w:val="28"/>
          <w:szCs w:val="28"/>
          <w:lang w:val="uk-UA"/>
        </w:rPr>
        <w:t>Івано-Франківськ, 2009. – С.</w:t>
      </w:r>
      <w:r w:rsidRPr="00B21AFA">
        <w:rPr>
          <w:rFonts w:ascii="Times New Roman" w:hAnsi="Times New Roman" w:cs="Times New Roman"/>
          <w:sz w:val="28"/>
          <w:szCs w:val="28"/>
          <w:lang w:val="uk-UA"/>
        </w:rPr>
        <w:t>92.</w:t>
      </w:r>
    </w:p>
    <w:p w14:paraId="72954005" w14:textId="77777777" w:rsidR="002767D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Гнатенко О.З. </w:t>
      </w:r>
      <w:r w:rsidRPr="00337071">
        <w:rPr>
          <w:rFonts w:ascii="Times New Roman" w:hAnsi="Times New Roman" w:cs="Times New Roman"/>
          <w:sz w:val="28"/>
          <w:szCs w:val="28"/>
          <w:lang w:val="uk-UA"/>
        </w:rPr>
        <w:t>Клінічна оцінка стану здоров’я дітей Івано-Франківської області, що проживають на промислово забрудненій території / О. З. Гнатенко, Н. С. Лук’яненко, М. А. Лучинський [та ін.] // Український морфологічний альманах. – 2007. – № 1. – С. 13–15.</w:t>
      </w:r>
    </w:p>
    <w:p w14:paraId="62C5FD2B" w14:textId="77777777" w:rsidR="002767D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Леус П. А. Роль зубного налета в этиологии и патогенезе кариеса зубов / П. А. Леус // Dental Forum. – 2007. – № 2. – С. 40–57.</w:t>
      </w:r>
    </w:p>
    <w:p w14:paraId="608E567A" w14:textId="77777777" w:rsidR="002767D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Борисенко А. В. Терапевтична стоматологія / А. В. Борисенко. – К. : Медицина, 2008. – 490 с.</w:t>
      </w:r>
    </w:p>
    <w:p w14:paraId="4F9869D3" w14:textId="77777777" w:rsidR="002767DC" w:rsidRPr="00914A2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Карпенко И. Н. Современные представления об этиологии и патогенезе быстропрогрессирующего пародонтита / И. Н. Карпенко, Н. В. Булкина, Е. В. Понукалина // Архив патологии. – 2009. – № 74(1). – С. 57–60.</w:t>
      </w:r>
    </w:p>
    <w:p w14:paraId="2520A5E3" w14:textId="77777777" w:rsidR="002767D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Грудя</w:t>
      </w:r>
      <w:r>
        <w:rPr>
          <w:rFonts w:ascii="Times New Roman" w:hAnsi="Times New Roman" w:cs="Times New Roman"/>
          <w:sz w:val="28"/>
          <w:szCs w:val="28"/>
          <w:lang w:val="uk-UA"/>
        </w:rPr>
        <w:t>нов А. И. Заболевания пародонта / А.И. Грудянов.</w:t>
      </w:r>
      <w:r w:rsidRPr="00914A2C">
        <w:rPr>
          <w:rFonts w:ascii="Times New Roman" w:hAnsi="Times New Roman" w:cs="Times New Roman"/>
          <w:sz w:val="28"/>
          <w:szCs w:val="28"/>
          <w:lang w:val="uk-UA"/>
        </w:rPr>
        <w:t xml:space="preserve"> – М. : МИА, агентство. – 2009. – 336 с.</w:t>
      </w:r>
    </w:p>
    <w:p w14:paraId="7088ADF5" w14:textId="77777777" w:rsidR="002767DC" w:rsidRDefault="002767DC" w:rsidP="002767DC">
      <w:pPr>
        <w:pStyle w:val="ListParagraph"/>
        <w:numPr>
          <w:ilvl w:val="0"/>
          <w:numId w:val="9"/>
        </w:numPr>
        <w:tabs>
          <w:tab w:val="left" w:pos="0"/>
        </w:tabs>
        <w:spacing w:after="0" w:line="360" w:lineRule="auto"/>
        <w:ind w:left="0" w:hanging="720"/>
        <w:jc w:val="both"/>
        <w:rPr>
          <w:rFonts w:ascii="Times New Roman" w:hAnsi="Times New Roman" w:cs="Times New Roman"/>
          <w:sz w:val="28"/>
          <w:szCs w:val="28"/>
          <w:lang w:val="uk-UA"/>
        </w:rPr>
      </w:pPr>
      <w:r w:rsidRPr="00914A2C">
        <w:rPr>
          <w:rFonts w:ascii="Times New Roman" w:hAnsi="Times New Roman" w:cs="Times New Roman"/>
          <w:sz w:val="28"/>
          <w:szCs w:val="28"/>
          <w:lang w:val="uk-UA"/>
        </w:rPr>
        <w:t>Кузняк Н. Б. Стоматологічний статус дітей, які мешкають на нітратно забруднених територіях / Н. Б. Кузняк, О. І. Годованець // Новини стоматології. – 2010. – № 2. – С. 83–85.</w:t>
      </w:r>
    </w:p>
    <w:p w14:paraId="46868E8F"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Цепов Л. М. Заболевания пародонта : взгляд на проблему / Л. М. Цепов. – М. : Медпр</w:t>
      </w:r>
      <w:r>
        <w:rPr>
          <w:rFonts w:ascii="Times New Roman" w:hAnsi="Times New Roman" w:cs="Times New Roman"/>
          <w:sz w:val="28"/>
          <w:szCs w:val="28"/>
          <w:lang w:val="uk-UA"/>
        </w:rPr>
        <w:t xml:space="preserve">есс-информ, 2006. – 192 с. </w:t>
      </w:r>
    </w:p>
    <w:p w14:paraId="3317D5D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Цепов Л. М. Хронический генерализованный пародонтит: ремарки к современным представлениям / Л. М. Цепов, Е. И. Нестерова, Е. А. Михеева // Пародонтология. – 2010. – № 1. – C. 3–7.</w:t>
      </w:r>
    </w:p>
    <w:p w14:paraId="3473ADC4" w14:textId="77777777" w:rsidR="002767DC" w:rsidRPr="004C72F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 xml:space="preserve">Дмитриева Л. Пародонтология / Л. Дмитриева. </w:t>
      </w:r>
      <w:r w:rsidRPr="00DD1626">
        <w:rPr>
          <w:rFonts w:ascii="Times New Roman" w:hAnsi="Times New Roman" w:cs="Times New Roman"/>
          <w:sz w:val="28"/>
          <w:szCs w:val="28"/>
        </w:rPr>
        <w:sym w:font="Symbol" w:char="F02D"/>
      </w:r>
      <w:r w:rsidRPr="00DD1626">
        <w:rPr>
          <w:rFonts w:ascii="Times New Roman" w:hAnsi="Times New Roman" w:cs="Times New Roman"/>
          <w:sz w:val="28"/>
          <w:szCs w:val="28"/>
          <w:lang w:val="uk-UA"/>
        </w:rPr>
        <w:t xml:space="preserve"> </w:t>
      </w:r>
      <w:r w:rsidRPr="00DD1626">
        <w:rPr>
          <w:rFonts w:ascii="Times New Roman" w:hAnsi="Times New Roman" w:cs="Times New Roman"/>
          <w:sz w:val="28"/>
          <w:szCs w:val="28"/>
        </w:rPr>
        <w:t>М.</w:t>
      </w:r>
      <w:r w:rsidRPr="00DD1626">
        <w:rPr>
          <w:rFonts w:ascii="Times New Roman" w:hAnsi="Times New Roman" w:cs="Times New Roman"/>
          <w:sz w:val="28"/>
          <w:szCs w:val="28"/>
          <w:lang w:val="uk-UA"/>
        </w:rPr>
        <w:t xml:space="preserve"> </w:t>
      </w:r>
      <w:r w:rsidRPr="00DD1626">
        <w:rPr>
          <w:rFonts w:ascii="Times New Roman" w:hAnsi="Times New Roman" w:cs="Times New Roman"/>
          <w:sz w:val="28"/>
          <w:szCs w:val="28"/>
        </w:rPr>
        <w:t>: ГЭОТАР–Медиа</w:t>
      </w:r>
      <w:r w:rsidRPr="00DD1626">
        <w:rPr>
          <w:rFonts w:ascii="Times New Roman" w:hAnsi="Times New Roman" w:cs="Times New Roman"/>
          <w:sz w:val="28"/>
          <w:szCs w:val="28"/>
          <w:lang w:val="uk-UA"/>
        </w:rPr>
        <w:t>,</w:t>
      </w:r>
      <w:r w:rsidRPr="00DD1626">
        <w:rPr>
          <w:rFonts w:ascii="Times New Roman" w:hAnsi="Times New Roman" w:cs="Times New Roman"/>
          <w:sz w:val="28"/>
          <w:szCs w:val="28"/>
        </w:rPr>
        <w:t xml:space="preserve"> 2012. </w:t>
      </w:r>
      <w:r w:rsidRPr="00DD1626">
        <w:rPr>
          <w:rFonts w:ascii="Times New Roman" w:hAnsi="Times New Roman" w:cs="Times New Roman"/>
          <w:sz w:val="28"/>
          <w:szCs w:val="28"/>
        </w:rPr>
        <w:sym w:font="Symbol" w:char="F02D"/>
      </w:r>
      <w:r w:rsidRPr="00DD1626">
        <w:rPr>
          <w:rFonts w:ascii="Times New Roman" w:hAnsi="Times New Roman" w:cs="Times New Roman"/>
          <w:sz w:val="28"/>
          <w:szCs w:val="28"/>
        </w:rPr>
        <w:t xml:space="preserve"> 768 с.</w:t>
      </w:r>
    </w:p>
    <w:p w14:paraId="54DDFA10" w14:textId="77777777" w:rsidR="002767DC" w:rsidRPr="004C72F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C72F2">
        <w:rPr>
          <w:rFonts w:ascii="Times New Roman" w:hAnsi="Times New Roman" w:cs="Times New Roman"/>
          <w:sz w:val="28"/>
          <w:szCs w:val="28"/>
          <w:lang w:val="uk-UA"/>
        </w:rPr>
        <w:t>Каськова Л. Ф. Динаміка показників активності лізоциму та уреази ротової рідини в дітей із хронічним катаральним гінгів</w:t>
      </w:r>
      <w:r>
        <w:rPr>
          <w:rFonts w:ascii="Times New Roman" w:hAnsi="Times New Roman" w:cs="Times New Roman"/>
          <w:sz w:val="28"/>
          <w:szCs w:val="28"/>
          <w:lang w:val="uk-UA"/>
        </w:rPr>
        <w:t xml:space="preserve">ітом у період змінного прикусу </w:t>
      </w:r>
      <w:r w:rsidRPr="004C72F2">
        <w:rPr>
          <w:rFonts w:ascii="Times New Roman" w:hAnsi="Times New Roman" w:cs="Times New Roman"/>
          <w:sz w:val="28"/>
          <w:szCs w:val="28"/>
          <w:lang w:val="uk-UA"/>
        </w:rPr>
        <w:t>/ Л. Ф. Каськова, Є. М. Новіков // Укр. стомат. альм. – 2013. – № 1. – С. 84–87.</w:t>
      </w:r>
    </w:p>
    <w:p w14:paraId="62CF2B0D" w14:textId="77777777" w:rsidR="002767DC" w:rsidRPr="004C72F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Клименко Н. А. Медиаторы патологии / Н. А. Клименко // Експериментальна і клінічна меди</w:t>
      </w:r>
      <w:r>
        <w:rPr>
          <w:rFonts w:ascii="Times New Roman" w:hAnsi="Times New Roman" w:cs="Times New Roman"/>
          <w:sz w:val="28"/>
          <w:szCs w:val="28"/>
          <w:lang w:val="ru-RU"/>
        </w:rPr>
        <w:t>цина. – 2001. – № 1. – С. 6–10.</w:t>
      </w:r>
    </w:p>
    <w:p w14:paraId="40B37980" w14:textId="77777777"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D1626">
        <w:rPr>
          <w:rFonts w:ascii="Times New Roman" w:hAnsi="Times New Roman" w:cs="Times New Roman"/>
          <w:sz w:val="28"/>
          <w:szCs w:val="28"/>
          <w:lang w:val="ru-RU"/>
        </w:rPr>
        <w:t xml:space="preserve">Ласкарис Дж. Атлас по пародонтологии. Проявления местных и системных поражений / Дж. </w:t>
      </w:r>
      <w:r w:rsidRPr="00DD1626">
        <w:rPr>
          <w:rFonts w:ascii="Times New Roman" w:hAnsi="Times New Roman" w:cs="Times New Roman"/>
          <w:sz w:val="28"/>
          <w:szCs w:val="28"/>
        </w:rPr>
        <w:t xml:space="preserve">Ласкарис, К. Скалли. </w:t>
      </w:r>
      <w:r w:rsidRPr="00DD1626">
        <w:rPr>
          <w:rFonts w:ascii="Times New Roman" w:hAnsi="Times New Roman" w:cs="Times New Roman"/>
          <w:iCs/>
          <w:sz w:val="28"/>
          <w:szCs w:val="28"/>
        </w:rPr>
        <w:t xml:space="preserve">– </w:t>
      </w:r>
      <w:r w:rsidRPr="00DD1626">
        <w:rPr>
          <w:rFonts w:ascii="Times New Roman" w:hAnsi="Times New Roman" w:cs="Times New Roman"/>
          <w:sz w:val="28"/>
          <w:szCs w:val="28"/>
        </w:rPr>
        <w:t xml:space="preserve">М. : МИА, 2005. </w:t>
      </w:r>
      <w:r w:rsidRPr="00DD1626">
        <w:rPr>
          <w:rFonts w:ascii="Times New Roman" w:hAnsi="Times New Roman" w:cs="Times New Roman"/>
          <w:iCs/>
          <w:sz w:val="28"/>
          <w:szCs w:val="28"/>
        </w:rPr>
        <w:t xml:space="preserve">– </w:t>
      </w:r>
      <w:r>
        <w:rPr>
          <w:rFonts w:ascii="Times New Roman" w:hAnsi="Times New Roman" w:cs="Times New Roman"/>
          <w:sz w:val="28"/>
          <w:szCs w:val="28"/>
        </w:rPr>
        <w:t>350</w:t>
      </w:r>
      <w:r w:rsidRPr="00DD1626">
        <w:rPr>
          <w:rFonts w:ascii="Times New Roman" w:hAnsi="Times New Roman" w:cs="Times New Roman"/>
          <w:sz w:val="28"/>
          <w:szCs w:val="28"/>
        </w:rPr>
        <w:t>с.</w:t>
      </w:r>
    </w:p>
    <w:p w14:paraId="4048ECEE" w14:textId="77777777"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Deo V</w:t>
      </w:r>
      <w:r w:rsidRPr="00B32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Pathogenesis of periodontitis: role of</w:t>
      </w:r>
      <w:r>
        <w:rPr>
          <w:rFonts w:ascii="Times New Roman" w:hAnsi="Times New Roman" w:cs="Times New Roman"/>
          <w:sz w:val="28"/>
          <w:szCs w:val="28"/>
          <w:lang w:val="uk-UA"/>
        </w:rPr>
        <w:t xml:space="preserve"> cytokines in host response / </w:t>
      </w:r>
      <w:r>
        <w:rPr>
          <w:rFonts w:ascii="Times New Roman" w:hAnsi="Times New Roman" w:cs="Times New Roman"/>
          <w:sz w:val="28"/>
          <w:szCs w:val="28"/>
        </w:rPr>
        <w:t xml:space="preserve">V. </w:t>
      </w:r>
      <w:r>
        <w:rPr>
          <w:rFonts w:ascii="Times New Roman" w:hAnsi="Times New Roman" w:cs="Times New Roman"/>
          <w:sz w:val="28"/>
          <w:szCs w:val="28"/>
          <w:lang w:val="uk-UA"/>
        </w:rPr>
        <w:t xml:space="preserve">Deo, </w:t>
      </w:r>
      <w:r>
        <w:rPr>
          <w:rFonts w:ascii="Times New Roman" w:hAnsi="Times New Roman" w:cs="Times New Roman"/>
          <w:sz w:val="28"/>
          <w:szCs w:val="28"/>
        </w:rPr>
        <w:t xml:space="preserve">M.L. </w:t>
      </w:r>
      <w:r>
        <w:rPr>
          <w:rFonts w:ascii="Times New Roman" w:hAnsi="Times New Roman" w:cs="Times New Roman"/>
          <w:sz w:val="28"/>
          <w:szCs w:val="28"/>
          <w:lang w:val="uk-UA"/>
        </w:rPr>
        <w:t>Bhongade // Dent. Today</w:t>
      </w:r>
      <w:r>
        <w:rPr>
          <w:rFonts w:ascii="Times New Roman" w:hAnsi="Times New Roman" w:cs="Times New Roman"/>
          <w:sz w:val="28"/>
          <w:szCs w:val="28"/>
        </w:rPr>
        <w:t>. – 2010. – Vol.</w:t>
      </w:r>
      <w:r>
        <w:rPr>
          <w:rFonts w:ascii="Times New Roman" w:hAnsi="Times New Roman" w:cs="Times New Roman"/>
          <w:sz w:val="28"/>
          <w:szCs w:val="28"/>
          <w:lang w:val="uk-UA"/>
        </w:rPr>
        <w:t xml:space="preserve"> 29(9).</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60-</w:t>
      </w:r>
      <w:r w:rsidRPr="00B32C75">
        <w:rPr>
          <w:rFonts w:ascii="Times New Roman" w:hAnsi="Times New Roman" w:cs="Times New Roman"/>
          <w:sz w:val="28"/>
          <w:szCs w:val="28"/>
          <w:lang w:val="uk-UA"/>
        </w:rPr>
        <w:t>66.</w:t>
      </w:r>
    </w:p>
    <w:p w14:paraId="48B64099" w14:textId="77777777"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Ebersole J</w:t>
      </w:r>
      <w:r>
        <w:rPr>
          <w:rFonts w:ascii="Times New Roman" w:hAnsi="Times New Roman" w:cs="Times New Roman"/>
          <w:sz w:val="28"/>
          <w:szCs w:val="28"/>
        </w:rPr>
        <w:t>.</w:t>
      </w:r>
      <w:r>
        <w:rPr>
          <w:rFonts w:ascii="Times New Roman" w:hAnsi="Times New Roman" w:cs="Times New Roman"/>
          <w:sz w:val="28"/>
          <w:szCs w:val="28"/>
          <w:lang w:val="uk-UA"/>
        </w:rPr>
        <w:t>L</w:t>
      </w:r>
      <w:r w:rsidRPr="00B32C75">
        <w:rPr>
          <w:rFonts w:ascii="Times New Roman" w:hAnsi="Times New Roman" w:cs="Times New Roman"/>
          <w:sz w:val="28"/>
          <w:szCs w:val="28"/>
          <w:lang w:val="uk-UA"/>
        </w:rPr>
        <w:t>. Systemic humoral immune responses in</w:t>
      </w:r>
      <w:r>
        <w:rPr>
          <w:rFonts w:ascii="Times New Roman" w:hAnsi="Times New Roman" w:cs="Times New Roman"/>
          <w:sz w:val="28"/>
          <w:szCs w:val="28"/>
          <w:lang w:val="uk-UA"/>
        </w:rPr>
        <w:t xml:space="preserve"> periodontal disease / </w:t>
      </w:r>
      <w:r>
        <w:rPr>
          <w:rFonts w:ascii="Times New Roman" w:hAnsi="Times New Roman" w:cs="Times New Roman"/>
          <w:sz w:val="28"/>
          <w:szCs w:val="28"/>
        </w:rPr>
        <w:t xml:space="preserve">J.L. </w:t>
      </w:r>
      <w:r>
        <w:rPr>
          <w:rFonts w:ascii="Times New Roman" w:hAnsi="Times New Roman" w:cs="Times New Roman"/>
          <w:sz w:val="28"/>
          <w:szCs w:val="28"/>
          <w:lang w:val="uk-UA"/>
        </w:rPr>
        <w:t>Ebersole</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Oral Biol.</w:t>
      </w:r>
      <w:r>
        <w:rPr>
          <w:rFonts w:ascii="Times New Roman" w:hAnsi="Times New Roman" w:cs="Times New Roman"/>
          <w:sz w:val="28"/>
          <w:szCs w:val="28"/>
        </w:rPr>
        <w:t xml:space="preserve"> – 2010. –</w:t>
      </w:r>
      <w:r>
        <w:rPr>
          <w:rFonts w:ascii="Times New Roman" w:hAnsi="Times New Roman" w:cs="Times New Roman"/>
          <w:sz w:val="28"/>
          <w:szCs w:val="28"/>
          <w:lang w:val="uk-UA"/>
        </w:rPr>
        <w:t xml:space="preserve"> Vol. 1, P.</w:t>
      </w:r>
      <w:r w:rsidRPr="00B32C75">
        <w:rPr>
          <w:rFonts w:ascii="Times New Roman" w:hAnsi="Times New Roman" w:cs="Times New Roman"/>
          <w:sz w:val="28"/>
          <w:szCs w:val="28"/>
          <w:lang w:val="uk-UA"/>
        </w:rPr>
        <w:t>283-331.</w:t>
      </w:r>
    </w:p>
    <w:p w14:paraId="12D91B21" w14:textId="18141BB6"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Gemmell E</w:t>
      </w:r>
      <w:r w:rsidRPr="00B32C75">
        <w:rPr>
          <w:rFonts w:ascii="Times New Roman" w:hAnsi="Times New Roman" w:cs="Times New Roman"/>
          <w:sz w:val="28"/>
          <w:szCs w:val="28"/>
          <w:lang w:val="uk-UA"/>
        </w:rPr>
        <w:t>. Modulation of the antibody response by Porphyromonas</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gingivalis and Fusobacter</w:t>
      </w:r>
      <w:r>
        <w:rPr>
          <w:rFonts w:ascii="Times New Roman" w:hAnsi="Times New Roman" w:cs="Times New Roman"/>
          <w:sz w:val="28"/>
          <w:szCs w:val="28"/>
          <w:lang w:val="uk-UA"/>
        </w:rPr>
        <w:t xml:space="preserve">ium nucleatum in a mouse model / </w:t>
      </w:r>
      <w:r>
        <w:rPr>
          <w:rFonts w:ascii="Times New Roman" w:hAnsi="Times New Roman" w:cs="Times New Roman"/>
          <w:sz w:val="28"/>
          <w:szCs w:val="28"/>
        </w:rPr>
        <w:t>E</w:t>
      </w:r>
      <w:r w:rsidRPr="00A86117">
        <w:rPr>
          <w:rFonts w:ascii="Times New Roman" w:hAnsi="Times New Roman" w:cs="Times New Roman"/>
          <w:sz w:val="28"/>
          <w:szCs w:val="28"/>
          <w:lang w:val="uk-UA"/>
        </w:rPr>
        <w:t xml:space="preserve">. </w:t>
      </w:r>
      <w:r>
        <w:rPr>
          <w:rFonts w:ascii="Times New Roman" w:hAnsi="Times New Roman" w:cs="Times New Roman"/>
          <w:sz w:val="28"/>
          <w:szCs w:val="28"/>
          <w:lang w:val="uk-UA"/>
        </w:rPr>
        <w:t>Gemmell</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P.S. </w:t>
      </w:r>
      <w:r>
        <w:rPr>
          <w:rFonts w:ascii="Times New Roman" w:hAnsi="Times New Roman" w:cs="Times New Roman"/>
          <w:sz w:val="28"/>
          <w:szCs w:val="28"/>
          <w:lang w:val="uk-UA"/>
        </w:rPr>
        <w:t>Bird</w:t>
      </w:r>
      <w:r w:rsidRPr="00B32C75">
        <w:rPr>
          <w:rFonts w:ascii="Times New Roman" w:hAnsi="Times New Roman" w:cs="Times New Roman"/>
          <w:sz w:val="28"/>
          <w:szCs w:val="28"/>
          <w:lang w:val="uk-UA"/>
        </w:rPr>
        <w:t>,</w:t>
      </w:r>
      <w:r>
        <w:rPr>
          <w:rFonts w:ascii="Times New Roman" w:hAnsi="Times New Roman" w:cs="Times New Roman"/>
          <w:sz w:val="28"/>
          <w:szCs w:val="28"/>
        </w:rPr>
        <w:t xml:space="preserve"> P.J.</w:t>
      </w:r>
      <w:r>
        <w:rPr>
          <w:rFonts w:ascii="Times New Roman" w:hAnsi="Times New Roman" w:cs="Times New Roman"/>
          <w:sz w:val="28"/>
          <w:szCs w:val="28"/>
          <w:lang w:val="uk-UA"/>
        </w:rPr>
        <w:t xml:space="preserve"> Ford</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et al.</w:t>
      </w:r>
      <w:r w:rsidRPr="00B32C75">
        <w:rPr>
          <w:rFonts w:ascii="Times New Roman" w:hAnsi="Times New Roman" w:cs="Times New Roman"/>
          <w:sz w:val="28"/>
          <w:szCs w:val="28"/>
          <w:lang w:val="uk-UA"/>
        </w:rPr>
        <w:t xml:space="preserve"> </w:t>
      </w:r>
      <w:r w:rsidRPr="00A86117">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sidRPr="00B32C75">
        <w:rPr>
          <w:rFonts w:ascii="Times New Roman" w:hAnsi="Times New Roman" w:cs="Times New Roman"/>
          <w:sz w:val="28"/>
          <w:szCs w:val="28"/>
          <w:lang w:val="uk-UA"/>
        </w:rPr>
        <w:t>Oral</w:t>
      </w:r>
      <w:r>
        <w:rPr>
          <w:rFonts w:ascii="Times New Roman" w:hAnsi="Times New Roman" w:cs="Times New Roman"/>
          <w:sz w:val="28"/>
          <w:szCs w:val="28"/>
          <w:lang w:val="uk-UA"/>
        </w:rPr>
        <w:t xml:space="preserve"> Microbiol. Immunol.</w:t>
      </w:r>
      <w:r w:rsidRPr="00A86117">
        <w:rPr>
          <w:rFonts w:ascii="Times New Roman" w:hAnsi="Times New Roman" w:cs="Times New Roman"/>
          <w:sz w:val="28"/>
          <w:szCs w:val="28"/>
          <w:lang w:val="uk-UA"/>
        </w:rPr>
        <w:t xml:space="preserve"> – 2004. – </w:t>
      </w:r>
      <w:r>
        <w:rPr>
          <w:rFonts w:ascii="Times New Roman" w:hAnsi="Times New Roman" w:cs="Times New Roman"/>
          <w:sz w:val="28"/>
          <w:szCs w:val="28"/>
        </w:rPr>
        <w:t>Vol</w:t>
      </w:r>
      <w:r w:rsidRPr="00A86117">
        <w:rPr>
          <w:rFonts w:ascii="Times New Roman" w:hAnsi="Times New Roman" w:cs="Times New Roman"/>
          <w:sz w:val="28"/>
          <w:szCs w:val="28"/>
          <w:lang w:val="uk-UA"/>
        </w:rPr>
        <w:t>.</w:t>
      </w:r>
      <w:r>
        <w:rPr>
          <w:rFonts w:ascii="Times New Roman" w:hAnsi="Times New Roman" w:cs="Times New Roman"/>
          <w:sz w:val="28"/>
          <w:szCs w:val="28"/>
          <w:lang w:val="uk-UA"/>
        </w:rPr>
        <w:t xml:space="preserve"> 19. – P.</w:t>
      </w:r>
      <w:r w:rsidRPr="00B32C75">
        <w:rPr>
          <w:rFonts w:ascii="Times New Roman" w:hAnsi="Times New Roman" w:cs="Times New Roman"/>
          <w:sz w:val="28"/>
          <w:szCs w:val="28"/>
          <w:lang w:val="uk-UA"/>
        </w:rPr>
        <w:t>247-251.</w:t>
      </w:r>
    </w:p>
    <w:p w14:paraId="2DF289E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Видойник</w:t>
      </w:r>
      <w:r>
        <w:rPr>
          <w:rFonts w:ascii="Times New Roman" w:hAnsi="Times New Roman" w:cs="Times New Roman"/>
          <w:sz w:val="28"/>
          <w:szCs w:val="28"/>
          <w:lang w:val="uk-UA"/>
        </w:rPr>
        <w:t xml:space="preserve"> О.Я. </w:t>
      </w:r>
      <w:r w:rsidRPr="00B32C75">
        <w:rPr>
          <w:rFonts w:ascii="Times New Roman" w:hAnsi="Times New Roman" w:cs="Times New Roman"/>
          <w:sz w:val="28"/>
          <w:szCs w:val="28"/>
          <w:lang w:val="uk-UA"/>
        </w:rPr>
        <w:t>Індексна оцінка гігієнічно</w:t>
      </w:r>
      <w:r>
        <w:rPr>
          <w:rFonts w:ascii="Times New Roman" w:hAnsi="Times New Roman" w:cs="Times New Roman"/>
          <w:sz w:val="28"/>
          <w:szCs w:val="28"/>
          <w:lang w:val="uk-UA"/>
        </w:rPr>
        <w:t xml:space="preserve">го стану порожнини рота у дітей, </w:t>
      </w:r>
      <w:r w:rsidRPr="00B32C75">
        <w:rPr>
          <w:rFonts w:ascii="Times New Roman" w:hAnsi="Times New Roman" w:cs="Times New Roman"/>
          <w:sz w:val="28"/>
          <w:szCs w:val="28"/>
          <w:lang w:val="uk-UA"/>
        </w:rPr>
        <w:t>хворих на бронхіальну астму</w:t>
      </w:r>
      <w:r>
        <w:rPr>
          <w:rFonts w:ascii="Times New Roman" w:hAnsi="Times New Roman" w:cs="Times New Roman"/>
          <w:sz w:val="28"/>
          <w:szCs w:val="28"/>
          <w:lang w:val="uk-UA"/>
        </w:rPr>
        <w:t xml:space="preserve"> / О.Я. Видойник // Український медичний альманах. – 2014. – Том 17, №3. – С. 7-8</w:t>
      </w:r>
    </w:p>
    <w:p w14:paraId="4CA0E5E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Гевкалюк Н.А. </w:t>
      </w:r>
      <w:r w:rsidRPr="00B32C75">
        <w:rPr>
          <w:rFonts w:ascii="Times New Roman" w:hAnsi="Times New Roman" w:cs="Times New Roman"/>
          <w:sz w:val="28"/>
          <w:szCs w:val="28"/>
          <w:lang w:val="uk-UA"/>
        </w:rPr>
        <w:t>Поражения слизистой полости рта при острых респираторных вирусных инфекциях у детей, больных бронхиальной астмой</w:t>
      </w:r>
      <w:r>
        <w:rPr>
          <w:rFonts w:ascii="Times New Roman" w:hAnsi="Times New Roman" w:cs="Times New Roman"/>
          <w:sz w:val="28"/>
          <w:szCs w:val="28"/>
          <w:lang w:val="uk-UA"/>
        </w:rPr>
        <w:t xml:space="preserve"> / Н. А. Гевкалюк, О.Я. Ви</w:t>
      </w:r>
      <w:r w:rsidRPr="00B32C75">
        <w:rPr>
          <w:rFonts w:ascii="Times New Roman" w:hAnsi="Times New Roman" w:cs="Times New Roman"/>
          <w:sz w:val="28"/>
          <w:szCs w:val="28"/>
          <w:lang w:val="uk-UA"/>
        </w:rPr>
        <w:t>дойник</w:t>
      </w:r>
      <w:r>
        <w:rPr>
          <w:rFonts w:ascii="Times New Roman" w:hAnsi="Times New Roman" w:cs="Times New Roman"/>
          <w:sz w:val="28"/>
          <w:szCs w:val="28"/>
          <w:lang w:val="uk-UA"/>
        </w:rPr>
        <w:t xml:space="preserve"> // Вісник стоматології. – 2013. - №3. – С. 76-79</w:t>
      </w:r>
    </w:p>
    <w:p w14:paraId="53A12609" w14:textId="2A1CB102"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Gibson F</w:t>
      </w:r>
      <w:r>
        <w:rPr>
          <w:rFonts w:ascii="Times New Roman" w:hAnsi="Times New Roman" w:cs="Times New Roman"/>
          <w:sz w:val="28"/>
          <w:szCs w:val="28"/>
          <w:lang w:val="uk-UA"/>
        </w:rPr>
        <w:t>.</w:t>
      </w:r>
      <w:r w:rsidRPr="00B32C75">
        <w:rPr>
          <w:rFonts w:ascii="Times New Roman" w:hAnsi="Times New Roman" w:cs="Times New Roman"/>
          <w:sz w:val="28"/>
          <w:szCs w:val="28"/>
          <w:lang w:val="uk-UA"/>
        </w:rPr>
        <w:t>C. Gingipainspecific</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IgG in the sera of patients with periodontal disease is</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necessary for opsonophagocyto</w:t>
      </w:r>
      <w:r>
        <w:rPr>
          <w:rFonts w:ascii="Times New Roman" w:hAnsi="Times New Roman" w:cs="Times New Roman"/>
          <w:sz w:val="28"/>
          <w:szCs w:val="28"/>
          <w:lang w:val="uk-UA"/>
        </w:rPr>
        <w:t xml:space="preserve">sis of Porphyromonas gingivalis / </w:t>
      </w:r>
      <w:r>
        <w:rPr>
          <w:rFonts w:ascii="Times New Roman" w:hAnsi="Times New Roman" w:cs="Times New Roman"/>
          <w:sz w:val="28"/>
          <w:szCs w:val="28"/>
        </w:rPr>
        <w:t xml:space="preserve">F.C. </w:t>
      </w:r>
      <w:r>
        <w:rPr>
          <w:rFonts w:ascii="Times New Roman" w:hAnsi="Times New Roman" w:cs="Times New Roman"/>
          <w:sz w:val="28"/>
          <w:szCs w:val="28"/>
          <w:lang w:val="uk-UA"/>
        </w:rPr>
        <w:t>Gibson</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Savelli</w:t>
      </w:r>
      <w:r w:rsidRPr="00B32C75">
        <w:rPr>
          <w:rFonts w:ascii="Times New Roman" w:hAnsi="Times New Roman" w:cs="Times New Roman"/>
          <w:sz w:val="28"/>
          <w:szCs w:val="28"/>
          <w:lang w:val="uk-UA"/>
        </w:rPr>
        <w:t xml:space="preserve">, </w:t>
      </w:r>
      <w:r>
        <w:rPr>
          <w:rFonts w:ascii="Times New Roman" w:hAnsi="Times New Roman" w:cs="Times New Roman"/>
          <w:sz w:val="28"/>
          <w:szCs w:val="28"/>
        </w:rPr>
        <w:t xml:space="preserve">T.E. </w:t>
      </w:r>
      <w:r>
        <w:rPr>
          <w:rFonts w:ascii="Times New Roman" w:hAnsi="Times New Roman" w:cs="Times New Roman"/>
          <w:sz w:val="28"/>
          <w:szCs w:val="28"/>
          <w:lang w:val="uk-UA"/>
        </w:rPr>
        <w:t xml:space="preserve">Van Dyke // </w:t>
      </w:r>
      <w:r w:rsidRPr="00B32C75">
        <w:rPr>
          <w:rFonts w:ascii="Times New Roman" w:hAnsi="Times New Roman" w:cs="Times New Roman"/>
          <w:sz w:val="28"/>
          <w:szCs w:val="28"/>
          <w:lang w:val="uk-UA"/>
        </w:rPr>
        <w:t>J.</w:t>
      </w:r>
      <w:r>
        <w:rPr>
          <w:rFonts w:ascii="Times New Roman" w:hAnsi="Times New Roman" w:cs="Times New Roman"/>
          <w:sz w:val="28"/>
          <w:szCs w:val="28"/>
          <w:lang w:val="uk-UA"/>
        </w:rPr>
        <w:t xml:space="preserve"> Periodontol.</w:t>
      </w:r>
      <w:r>
        <w:rPr>
          <w:rFonts w:ascii="Times New Roman" w:hAnsi="Times New Roman" w:cs="Times New Roman"/>
          <w:sz w:val="28"/>
          <w:szCs w:val="28"/>
        </w:rPr>
        <w:t xml:space="preserve"> - </w:t>
      </w:r>
      <w:r>
        <w:rPr>
          <w:rFonts w:ascii="Times New Roman" w:hAnsi="Times New Roman" w:cs="Times New Roman"/>
          <w:sz w:val="28"/>
          <w:szCs w:val="28"/>
          <w:lang w:val="uk-UA"/>
        </w:rPr>
        <w:t>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 76(10).</w:t>
      </w:r>
      <w:r>
        <w:rPr>
          <w:rFonts w:ascii="Times New Roman" w:hAnsi="Times New Roman" w:cs="Times New Roman"/>
          <w:sz w:val="28"/>
          <w:szCs w:val="28"/>
        </w:rPr>
        <w:t xml:space="preserve"> –P.</w:t>
      </w:r>
      <w:r w:rsidRPr="00B32C75">
        <w:rPr>
          <w:rFonts w:ascii="Times New Roman" w:hAnsi="Times New Roman" w:cs="Times New Roman"/>
          <w:sz w:val="28"/>
          <w:szCs w:val="28"/>
          <w:lang w:val="uk-UA"/>
        </w:rPr>
        <w:t xml:space="preserve"> 1629-</w:t>
      </w:r>
      <w:r>
        <w:rPr>
          <w:rFonts w:ascii="Times New Roman" w:hAnsi="Times New Roman" w:cs="Times New Roman"/>
          <w:sz w:val="28"/>
          <w:szCs w:val="28"/>
        </w:rPr>
        <w:t>16</w:t>
      </w:r>
      <w:r w:rsidRPr="00B32C75">
        <w:rPr>
          <w:rFonts w:ascii="Times New Roman" w:hAnsi="Times New Roman" w:cs="Times New Roman"/>
          <w:sz w:val="28"/>
          <w:szCs w:val="28"/>
          <w:lang w:val="uk-UA"/>
        </w:rPr>
        <w:t>36.</w:t>
      </w:r>
    </w:p>
    <w:p w14:paraId="683D13EA" w14:textId="77777777"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Haffajee A</w:t>
      </w:r>
      <w:r>
        <w:rPr>
          <w:rFonts w:ascii="Times New Roman" w:hAnsi="Times New Roman" w:cs="Times New Roman"/>
          <w:sz w:val="28"/>
          <w:szCs w:val="28"/>
        </w:rPr>
        <w:t>.</w:t>
      </w:r>
      <w:r w:rsidRPr="00B32C75">
        <w:rPr>
          <w:rFonts w:ascii="Times New Roman" w:hAnsi="Times New Roman" w:cs="Times New Roman"/>
          <w:sz w:val="28"/>
          <w:szCs w:val="28"/>
          <w:lang w:val="uk-UA"/>
        </w:rPr>
        <w:t>D. Microbial etiological agents of</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de</w:t>
      </w:r>
      <w:r>
        <w:rPr>
          <w:rFonts w:ascii="Times New Roman" w:hAnsi="Times New Roman" w:cs="Times New Roman"/>
          <w:sz w:val="28"/>
          <w:szCs w:val="28"/>
          <w:lang w:val="uk-UA"/>
        </w:rPr>
        <w:t xml:space="preserve">structive periodontal diseases / </w:t>
      </w:r>
      <w:r w:rsidRPr="00B32C75">
        <w:rPr>
          <w:rFonts w:ascii="Times New Roman" w:hAnsi="Times New Roman" w:cs="Times New Roman"/>
          <w:sz w:val="28"/>
          <w:szCs w:val="28"/>
          <w:lang w:val="uk-UA"/>
        </w:rPr>
        <w:t>A</w:t>
      </w:r>
      <w:r>
        <w:rPr>
          <w:rFonts w:ascii="Times New Roman" w:hAnsi="Times New Roman" w:cs="Times New Roman"/>
          <w:sz w:val="28"/>
          <w:szCs w:val="28"/>
        </w:rPr>
        <w:t>.</w:t>
      </w:r>
      <w:r w:rsidRPr="00B32C75">
        <w:rPr>
          <w:rFonts w:ascii="Times New Roman" w:hAnsi="Times New Roman" w:cs="Times New Roman"/>
          <w:sz w:val="28"/>
          <w:szCs w:val="28"/>
          <w:lang w:val="uk-UA"/>
        </w:rPr>
        <w:t>D</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Haffajee, S</w:t>
      </w:r>
      <w:r>
        <w:rPr>
          <w:rFonts w:ascii="Times New Roman" w:hAnsi="Times New Roman" w:cs="Times New Roman"/>
          <w:sz w:val="28"/>
          <w:szCs w:val="28"/>
        </w:rPr>
        <w:t>.</w:t>
      </w:r>
      <w:r w:rsidRPr="00B32C75">
        <w:rPr>
          <w:rFonts w:ascii="Times New Roman" w:hAnsi="Times New Roman" w:cs="Times New Roman"/>
          <w:sz w:val="28"/>
          <w:szCs w:val="28"/>
          <w:lang w:val="uk-UA"/>
        </w:rPr>
        <w:t>S</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Socransky </w:t>
      </w:r>
      <w:r>
        <w:rPr>
          <w:rFonts w:ascii="Times New Roman" w:hAnsi="Times New Roman" w:cs="Times New Roman"/>
          <w:sz w:val="28"/>
          <w:szCs w:val="28"/>
        </w:rPr>
        <w:t xml:space="preserve">// </w:t>
      </w:r>
      <w:r>
        <w:rPr>
          <w:rFonts w:ascii="Times New Roman" w:hAnsi="Times New Roman" w:cs="Times New Roman"/>
          <w:sz w:val="28"/>
          <w:szCs w:val="28"/>
          <w:lang w:val="uk-UA"/>
        </w:rPr>
        <w:t>Periodontology.</w:t>
      </w:r>
      <w:r>
        <w:rPr>
          <w:rFonts w:ascii="Times New Roman" w:hAnsi="Times New Roman" w:cs="Times New Roman"/>
          <w:sz w:val="28"/>
          <w:szCs w:val="28"/>
        </w:rPr>
        <w:t xml:space="preserve"> – 2005. – Vol.</w:t>
      </w:r>
      <w:r>
        <w:rPr>
          <w:rFonts w:ascii="Times New Roman" w:hAnsi="Times New Roman" w:cs="Times New Roman"/>
          <w:sz w:val="28"/>
          <w:szCs w:val="28"/>
          <w:lang w:val="uk-UA"/>
        </w:rPr>
        <w:t xml:space="preserve"> 5. </w:t>
      </w:r>
      <w:r>
        <w:rPr>
          <w:rFonts w:ascii="Times New Roman" w:hAnsi="Times New Roman" w:cs="Times New Roman"/>
          <w:sz w:val="28"/>
          <w:szCs w:val="28"/>
        </w:rPr>
        <w:t>– P.</w:t>
      </w:r>
      <w:r w:rsidRPr="00B32C75">
        <w:rPr>
          <w:rFonts w:ascii="Times New Roman" w:hAnsi="Times New Roman" w:cs="Times New Roman"/>
          <w:sz w:val="28"/>
          <w:szCs w:val="28"/>
          <w:lang w:val="uk-UA"/>
        </w:rPr>
        <w:t>78-111.</w:t>
      </w:r>
    </w:p>
    <w:p w14:paraId="0A31E063" w14:textId="3C193E1F"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Haffajee A</w:t>
      </w:r>
      <w:r>
        <w:rPr>
          <w:rFonts w:ascii="Times New Roman" w:hAnsi="Times New Roman" w:cs="Times New Roman"/>
          <w:sz w:val="28"/>
          <w:szCs w:val="28"/>
        </w:rPr>
        <w:t>.</w:t>
      </w:r>
      <w:r>
        <w:rPr>
          <w:rFonts w:ascii="Times New Roman" w:hAnsi="Times New Roman" w:cs="Times New Roman"/>
          <w:sz w:val="28"/>
          <w:szCs w:val="28"/>
          <w:lang w:val="uk-UA"/>
        </w:rPr>
        <w:t>D</w:t>
      </w:r>
      <w:r w:rsidRPr="00B32C75">
        <w:rPr>
          <w:rFonts w:ascii="Times New Roman" w:hAnsi="Times New Roman" w:cs="Times New Roman"/>
          <w:sz w:val="28"/>
          <w:szCs w:val="28"/>
          <w:lang w:val="uk-UA"/>
        </w:rPr>
        <w:t>. Microbiology of periodontal</w:t>
      </w:r>
      <w:r>
        <w:rPr>
          <w:rFonts w:ascii="Times New Roman" w:hAnsi="Times New Roman" w:cs="Times New Roman"/>
          <w:sz w:val="28"/>
          <w:szCs w:val="28"/>
          <w:lang w:val="uk-UA"/>
        </w:rPr>
        <w:t xml:space="preserve"> diseases: introduction / </w:t>
      </w:r>
      <w:r w:rsidRPr="00B32C75">
        <w:rPr>
          <w:rFonts w:ascii="Times New Roman" w:hAnsi="Times New Roman" w:cs="Times New Roman"/>
          <w:sz w:val="28"/>
          <w:szCs w:val="28"/>
          <w:lang w:val="uk-UA"/>
        </w:rPr>
        <w:t>A</w:t>
      </w:r>
      <w:r>
        <w:rPr>
          <w:rFonts w:ascii="Times New Roman" w:hAnsi="Times New Roman" w:cs="Times New Roman"/>
          <w:sz w:val="28"/>
          <w:szCs w:val="28"/>
        </w:rPr>
        <w:t>.</w:t>
      </w:r>
      <w:r w:rsidRPr="00B32C75">
        <w:rPr>
          <w:rFonts w:ascii="Times New Roman" w:hAnsi="Times New Roman" w:cs="Times New Roman"/>
          <w:sz w:val="28"/>
          <w:szCs w:val="28"/>
          <w:lang w:val="uk-UA"/>
        </w:rPr>
        <w:t>D</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Haffajee, S</w:t>
      </w:r>
      <w:r>
        <w:rPr>
          <w:rFonts w:ascii="Times New Roman" w:hAnsi="Times New Roman" w:cs="Times New Roman"/>
          <w:sz w:val="28"/>
          <w:szCs w:val="28"/>
        </w:rPr>
        <w:t>.</w:t>
      </w:r>
      <w:r w:rsidRPr="00B32C75">
        <w:rPr>
          <w:rFonts w:ascii="Times New Roman" w:hAnsi="Times New Roman" w:cs="Times New Roman"/>
          <w:sz w:val="28"/>
          <w:szCs w:val="28"/>
          <w:lang w:val="uk-UA"/>
        </w:rPr>
        <w:t>S</w:t>
      </w:r>
      <w:r>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Socransky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Periodontology. </w:t>
      </w:r>
      <w:r>
        <w:rPr>
          <w:rFonts w:ascii="Times New Roman" w:hAnsi="Times New Roman" w:cs="Times New Roman"/>
          <w:sz w:val="28"/>
          <w:szCs w:val="28"/>
        </w:rPr>
        <w:t xml:space="preserve">– </w:t>
      </w:r>
      <w:r w:rsidR="00887419">
        <w:rPr>
          <w:rFonts w:ascii="Times New Roman" w:hAnsi="Times New Roman" w:cs="Times New Roman"/>
          <w:sz w:val="28"/>
          <w:szCs w:val="28"/>
          <w:lang w:val="uk-UA"/>
        </w:rPr>
        <w:t xml:space="preserve">2005. – </w:t>
      </w:r>
      <w:r>
        <w:rPr>
          <w:rFonts w:ascii="Times New Roman" w:hAnsi="Times New Roman" w:cs="Times New Roman"/>
          <w:sz w:val="28"/>
          <w:szCs w:val="28"/>
        </w:rPr>
        <w:t>Vol.</w:t>
      </w:r>
      <w:r>
        <w:rPr>
          <w:rFonts w:ascii="Times New Roman" w:hAnsi="Times New Roman" w:cs="Times New Roman"/>
          <w:sz w:val="28"/>
          <w:szCs w:val="28"/>
          <w:lang w:val="uk-UA"/>
        </w:rPr>
        <w:t xml:space="preserve">38. </w:t>
      </w:r>
      <w:r>
        <w:rPr>
          <w:rFonts w:ascii="Times New Roman" w:hAnsi="Times New Roman" w:cs="Times New Roman"/>
          <w:sz w:val="28"/>
          <w:szCs w:val="28"/>
        </w:rPr>
        <w:t xml:space="preserve">– P. </w:t>
      </w:r>
      <w:r w:rsidRPr="00B32C75">
        <w:rPr>
          <w:rFonts w:ascii="Times New Roman" w:hAnsi="Times New Roman" w:cs="Times New Roman"/>
          <w:sz w:val="28"/>
          <w:szCs w:val="28"/>
          <w:lang w:val="uk-UA"/>
        </w:rPr>
        <w:t>9</w:t>
      </w:r>
      <w:r w:rsidR="00887419">
        <w:rPr>
          <w:rFonts w:ascii="Times New Roman" w:hAnsi="Times New Roman" w:cs="Times New Roman"/>
          <w:sz w:val="28"/>
          <w:szCs w:val="28"/>
        </w:rPr>
        <w:t>–</w:t>
      </w:r>
      <w:r w:rsidRPr="00B32C75">
        <w:rPr>
          <w:rFonts w:ascii="Times New Roman" w:hAnsi="Times New Roman" w:cs="Times New Roman"/>
          <w:sz w:val="28"/>
          <w:szCs w:val="28"/>
          <w:lang w:val="uk-UA"/>
        </w:rPr>
        <w:t>12.</w:t>
      </w:r>
    </w:p>
    <w:p w14:paraId="15C318FA" w14:textId="77777777" w:rsidR="00F14CD2" w:rsidRPr="00F14CD2" w:rsidRDefault="00F14CD2" w:rsidP="00F14CD2">
      <w:pPr>
        <w:pStyle w:val="ListParagraph"/>
        <w:numPr>
          <w:ilvl w:val="0"/>
          <w:numId w:val="9"/>
        </w:numPr>
        <w:tabs>
          <w:tab w:val="left" w:pos="0"/>
        </w:tabs>
        <w:spacing w:after="0" w:line="360" w:lineRule="auto"/>
        <w:ind w:left="0" w:hanging="284"/>
        <w:jc w:val="both"/>
        <w:rPr>
          <w:rFonts w:ascii="Times New Roman" w:hAnsi="Times New Roman" w:cs="Times New Roman"/>
          <w:sz w:val="28"/>
          <w:szCs w:val="28"/>
          <w:lang w:val="uk-UA"/>
        </w:rPr>
      </w:pPr>
      <w:r w:rsidRPr="00F14CD2">
        <w:rPr>
          <w:rFonts w:ascii="Times New Roman" w:hAnsi="Times New Roman" w:cs="Times New Roman"/>
          <w:sz w:val="28"/>
          <w:szCs w:val="28"/>
          <w:lang w:val="uk-UA"/>
        </w:rPr>
        <w:t xml:space="preserve">Безрукова И.В., Грудянов А.И. Агрессивные формы пародонтита. М.: Медицинское информационное агентство МИА, 2002. - 115 с. </w:t>
      </w:r>
    </w:p>
    <w:p w14:paraId="7E22C40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Kinane D</w:t>
      </w:r>
      <w:r>
        <w:rPr>
          <w:rFonts w:ascii="Times New Roman" w:hAnsi="Times New Roman" w:cs="Times New Roman"/>
          <w:sz w:val="28"/>
          <w:szCs w:val="28"/>
        </w:rPr>
        <w:t>.</w:t>
      </w:r>
      <w:r w:rsidRPr="00B32C75">
        <w:rPr>
          <w:rFonts w:ascii="Times New Roman" w:hAnsi="Times New Roman" w:cs="Times New Roman"/>
          <w:sz w:val="28"/>
          <w:szCs w:val="28"/>
          <w:lang w:val="uk-UA"/>
        </w:rPr>
        <w:t>F. Immune Processes in Periodontal</w:t>
      </w:r>
      <w:r>
        <w:rPr>
          <w:rFonts w:ascii="Times New Roman" w:hAnsi="Times New Roman" w:cs="Times New Roman"/>
          <w:sz w:val="28"/>
          <w:szCs w:val="28"/>
          <w:lang w:val="uk-UA"/>
        </w:rPr>
        <w:t xml:space="preserve"> Disease: A Review / D.</w:t>
      </w:r>
      <w:r>
        <w:rPr>
          <w:rFonts w:ascii="Times New Roman" w:hAnsi="Times New Roman" w:cs="Times New Roman"/>
          <w:sz w:val="28"/>
          <w:szCs w:val="28"/>
        </w:rPr>
        <w:t>F.</w:t>
      </w:r>
      <w:r>
        <w:rPr>
          <w:rFonts w:ascii="Times New Roman" w:hAnsi="Times New Roman" w:cs="Times New Roman"/>
          <w:sz w:val="28"/>
          <w:szCs w:val="28"/>
          <w:lang w:val="uk-UA"/>
        </w:rPr>
        <w:t xml:space="preserve"> Kinane, D.F. </w:t>
      </w:r>
      <w:r>
        <w:rPr>
          <w:rFonts w:ascii="Times New Roman" w:hAnsi="Times New Roman" w:cs="Times New Roman"/>
          <w:sz w:val="28"/>
          <w:szCs w:val="28"/>
        </w:rPr>
        <w:t>L</w:t>
      </w:r>
      <w:r>
        <w:rPr>
          <w:rFonts w:ascii="Times New Roman" w:hAnsi="Times New Roman" w:cs="Times New Roman"/>
          <w:sz w:val="28"/>
          <w:szCs w:val="28"/>
          <w:lang w:val="uk-UA"/>
        </w:rPr>
        <w:t>appin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J. Periodontol. </w:t>
      </w:r>
      <w:r>
        <w:rPr>
          <w:rFonts w:ascii="Times New Roman" w:hAnsi="Times New Roman" w:cs="Times New Roman"/>
          <w:sz w:val="28"/>
          <w:szCs w:val="28"/>
        </w:rPr>
        <w:t>– 2002. – Vol.</w:t>
      </w:r>
      <w:r>
        <w:rPr>
          <w:rFonts w:ascii="Times New Roman" w:hAnsi="Times New Roman" w:cs="Times New Roman"/>
          <w:sz w:val="28"/>
          <w:szCs w:val="28"/>
          <w:lang w:val="uk-UA"/>
        </w:rPr>
        <w:t xml:space="preserve">7. </w:t>
      </w:r>
      <w:r>
        <w:rPr>
          <w:rFonts w:ascii="Times New Roman" w:hAnsi="Times New Roman" w:cs="Times New Roman"/>
          <w:sz w:val="28"/>
          <w:szCs w:val="28"/>
        </w:rPr>
        <w:t>– P.</w:t>
      </w:r>
      <w:r w:rsidRPr="00B32C75">
        <w:rPr>
          <w:rFonts w:ascii="Times New Roman" w:hAnsi="Times New Roman" w:cs="Times New Roman"/>
          <w:sz w:val="28"/>
          <w:szCs w:val="28"/>
          <w:lang w:val="uk-UA"/>
        </w:rPr>
        <w:t>62-71.</w:t>
      </w:r>
    </w:p>
    <w:p w14:paraId="16C7A42E" w14:textId="326B06F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Leone C</w:t>
      </w:r>
      <w:r w:rsidR="008A465D">
        <w:rPr>
          <w:rFonts w:ascii="Times New Roman" w:hAnsi="Times New Roman" w:cs="Times New Roman"/>
          <w:sz w:val="28"/>
          <w:szCs w:val="28"/>
        </w:rPr>
        <w:t>.</w:t>
      </w:r>
      <w:r w:rsidRPr="00B32C75">
        <w:rPr>
          <w:rFonts w:ascii="Times New Roman" w:hAnsi="Times New Roman" w:cs="Times New Roman"/>
          <w:sz w:val="28"/>
          <w:szCs w:val="28"/>
          <w:lang w:val="uk-UA"/>
        </w:rPr>
        <w:t>W. Immunization enhances inflammation and</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tissue destruction in respo</w:t>
      </w:r>
      <w:r w:rsidR="00407C88">
        <w:rPr>
          <w:rFonts w:ascii="Times New Roman" w:hAnsi="Times New Roman" w:cs="Times New Roman"/>
          <w:sz w:val="28"/>
          <w:szCs w:val="28"/>
          <w:lang w:val="uk-UA"/>
        </w:rPr>
        <w:t xml:space="preserve">nse to Prophyromonas gingivalis / </w:t>
      </w:r>
      <w:r w:rsidR="008A465D" w:rsidRPr="00B32C75">
        <w:rPr>
          <w:rFonts w:ascii="Times New Roman" w:hAnsi="Times New Roman" w:cs="Times New Roman"/>
          <w:sz w:val="28"/>
          <w:szCs w:val="28"/>
          <w:lang w:val="uk-UA"/>
        </w:rPr>
        <w:t>C</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W</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Leone, H</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Bokhadhoor, </w:t>
      </w:r>
      <w:r w:rsidR="008A465D">
        <w:rPr>
          <w:rFonts w:ascii="Times New Roman" w:hAnsi="Times New Roman" w:cs="Times New Roman"/>
          <w:sz w:val="28"/>
          <w:szCs w:val="28"/>
        </w:rPr>
        <w:t xml:space="preserve">D. </w:t>
      </w:r>
      <w:r w:rsidR="008A465D">
        <w:rPr>
          <w:rFonts w:ascii="Times New Roman" w:hAnsi="Times New Roman" w:cs="Times New Roman"/>
          <w:sz w:val="28"/>
          <w:szCs w:val="28"/>
          <w:lang w:val="uk-UA"/>
        </w:rPr>
        <w:t>Kuo</w:t>
      </w:r>
      <w:r w:rsidR="008A465D">
        <w:rPr>
          <w:rFonts w:ascii="Times New Roman" w:hAnsi="Times New Roman" w:cs="Times New Roman"/>
          <w:sz w:val="28"/>
          <w:szCs w:val="28"/>
        </w:rPr>
        <w:t xml:space="preserve"> et al. //</w:t>
      </w:r>
      <w:r w:rsidRPr="00B32C75">
        <w:rPr>
          <w:rFonts w:ascii="Times New Roman" w:hAnsi="Times New Roman" w:cs="Times New Roman"/>
          <w:sz w:val="28"/>
          <w:szCs w:val="28"/>
          <w:lang w:val="uk-UA"/>
        </w:rPr>
        <w:t xml:space="preserve"> Infect</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Immun. </w:t>
      </w:r>
      <w:r w:rsidR="008A465D">
        <w:rPr>
          <w:rFonts w:ascii="Times New Roman" w:hAnsi="Times New Roman" w:cs="Times New Roman"/>
          <w:sz w:val="28"/>
          <w:szCs w:val="28"/>
        </w:rPr>
        <w:t>– 2006. – Vol.</w:t>
      </w:r>
      <w:r w:rsidR="008A465D">
        <w:rPr>
          <w:rFonts w:ascii="Times New Roman" w:hAnsi="Times New Roman" w:cs="Times New Roman"/>
          <w:sz w:val="28"/>
          <w:szCs w:val="28"/>
          <w:lang w:val="uk-UA"/>
        </w:rPr>
        <w:t>74(4).</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2286-2292.</w:t>
      </w:r>
    </w:p>
    <w:p w14:paraId="03F22599" w14:textId="3646DD05"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Bascones M</w:t>
      </w:r>
      <w:r w:rsidR="008A465D">
        <w:rPr>
          <w:rFonts w:ascii="Times New Roman" w:hAnsi="Times New Roman" w:cs="Times New Roman"/>
          <w:sz w:val="28"/>
          <w:szCs w:val="28"/>
          <w:lang w:val="uk-UA"/>
        </w:rPr>
        <w:t>artínez A</w:t>
      </w:r>
      <w:r w:rsidRPr="00B32C75">
        <w:rPr>
          <w:rFonts w:ascii="Times New Roman" w:hAnsi="Times New Roman" w:cs="Times New Roman"/>
          <w:sz w:val="28"/>
          <w:szCs w:val="28"/>
          <w:lang w:val="uk-UA"/>
        </w:rPr>
        <w:t>. Periodontal diseases as</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bacterial infection / </w:t>
      </w:r>
      <w:r w:rsidR="008A465D" w:rsidRPr="00B32C75">
        <w:rPr>
          <w:rFonts w:ascii="Times New Roman" w:hAnsi="Times New Roman" w:cs="Times New Roman"/>
          <w:sz w:val="28"/>
          <w:szCs w:val="28"/>
          <w:lang w:val="uk-UA"/>
        </w:rPr>
        <w:t>Bascones A</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Martínez, E</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Figuero Ruiz </w:t>
      </w:r>
      <w:r w:rsidR="008A465D">
        <w:rPr>
          <w:rFonts w:ascii="Times New Roman" w:hAnsi="Times New Roman" w:cs="Times New Roman"/>
          <w:sz w:val="28"/>
          <w:szCs w:val="28"/>
        </w:rPr>
        <w:t>//</w:t>
      </w:r>
      <w:r w:rsidR="008A465D">
        <w:rPr>
          <w:rFonts w:ascii="Times New Roman" w:hAnsi="Times New Roman" w:cs="Times New Roman"/>
          <w:sz w:val="28"/>
          <w:szCs w:val="28"/>
          <w:lang w:val="uk-UA"/>
        </w:rPr>
        <w:t xml:space="preserve"> Av. Periodon. Implantol.</w:t>
      </w:r>
      <w:r w:rsidR="008A465D">
        <w:rPr>
          <w:rFonts w:ascii="Times New Roman" w:hAnsi="Times New Roman" w:cs="Times New Roman"/>
          <w:sz w:val="28"/>
          <w:szCs w:val="28"/>
        </w:rPr>
        <w:t xml:space="preserve"> – </w:t>
      </w:r>
      <w:r w:rsidR="00887419">
        <w:rPr>
          <w:rFonts w:ascii="Times New Roman" w:hAnsi="Times New Roman" w:cs="Times New Roman"/>
          <w:sz w:val="28"/>
          <w:szCs w:val="28"/>
          <w:lang w:val="uk-UA"/>
        </w:rPr>
        <w:t xml:space="preserve">2005. – </w:t>
      </w:r>
      <w:r w:rsidR="008A465D">
        <w:rPr>
          <w:rFonts w:ascii="Times New Roman" w:hAnsi="Times New Roman" w:cs="Times New Roman"/>
          <w:sz w:val="28"/>
          <w:szCs w:val="28"/>
        </w:rPr>
        <w:t>Vol.</w:t>
      </w:r>
      <w:r w:rsidR="008A465D">
        <w:rPr>
          <w:rFonts w:ascii="Times New Roman" w:hAnsi="Times New Roman" w:cs="Times New Roman"/>
          <w:sz w:val="28"/>
          <w:szCs w:val="28"/>
          <w:lang w:val="uk-UA"/>
        </w:rPr>
        <w:t xml:space="preserve"> 3. – P.</w:t>
      </w:r>
      <w:r w:rsidRPr="00B32C75">
        <w:rPr>
          <w:rFonts w:ascii="Times New Roman" w:hAnsi="Times New Roman" w:cs="Times New Roman"/>
          <w:sz w:val="28"/>
          <w:szCs w:val="28"/>
          <w:lang w:val="uk-UA"/>
        </w:rPr>
        <w:t>111-118.</w:t>
      </w:r>
    </w:p>
    <w:p w14:paraId="7B990A7D" w14:textId="514AA6C7" w:rsidR="002767DC" w:rsidRPr="00B32C7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Califano</w:t>
      </w:r>
      <w:r w:rsidR="008A465D">
        <w:rPr>
          <w:rFonts w:ascii="Times New Roman" w:hAnsi="Times New Roman" w:cs="Times New Roman"/>
          <w:sz w:val="28"/>
          <w:szCs w:val="28"/>
          <w:lang w:val="uk-UA"/>
        </w:rPr>
        <w:t xml:space="preserve"> J</w:t>
      </w:r>
      <w:r w:rsidR="008A465D">
        <w:rPr>
          <w:rFonts w:ascii="Times New Roman" w:hAnsi="Times New Roman" w:cs="Times New Roman"/>
          <w:sz w:val="28"/>
          <w:szCs w:val="28"/>
        </w:rPr>
        <w:t>.</w:t>
      </w:r>
      <w:r w:rsidR="008A465D">
        <w:rPr>
          <w:rFonts w:ascii="Times New Roman" w:hAnsi="Times New Roman" w:cs="Times New Roman"/>
          <w:sz w:val="28"/>
          <w:szCs w:val="28"/>
          <w:lang w:val="uk-UA"/>
        </w:rPr>
        <w:t>V</w:t>
      </w:r>
      <w:r w:rsidRPr="00B32C75">
        <w:rPr>
          <w:rFonts w:ascii="Times New Roman" w:hAnsi="Times New Roman" w:cs="Times New Roman"/>
          <w:sz w:val="28"/>
          <w:szCs w:val="28"/>
          <w:lang w:val="uk-UA"/>
        </w:rPr>
        <w:t>. A</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comparison of IgG antibody reactive with Bacteroides forsythus and</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Porphyromonas gingivalis in adul</w:t>
      </w:r>
      <w:r w:rsidR="008A465D">
        <w:rPr>
          <w:rFonts w:ascii="Times New Roman" w:hAnsi="Times New Roman" w:cs="Times New Roman"/>
          <w:sz w:val="28"/>
          <w:szCs w:val="28"/>
          <w:lang w:val="uk-UA"/>
        </w:rPr>
        <w:t xml:space="preserve">t and early-onset periodontitis </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V</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Califano, 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C</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xml:space="preserve"> Gunsolley, </w:t>
      </w:r>
      <w:r w:rsidR="008A465D">
        <w:rPr>
          <w:rFonts w:ascii="Times New Roman" w:hAnsi="Times New Roman" w:cs="Times New Roman"/>
          <w:sz w:val="28"/>
          <w:szCs w:val="28"/>
        </w:rPr>
        <w:t xml:space="preserve">H.A. </w:t>
      </w:r>
      <w:r w:rsidR="008A465D">
        <w:rPr>
          <w:rFonts w:ascii="Times New Roman" w:hAnsi="Times New Roman" w:cs="Times New Roman"/>
          <w:sz w:val="28"/>
          <w:szCs w:val="28"/>
          <w:lang w:val="uk-UA"/>
        </w:rPr>
        <w:t>Schenkein</w:t>
      </w:r>
      <w:r w:rsidR="008A465D">
        <w:rPr>
          <w:rFonts w:ascii="Times New Roman" w:hAnsi="Times New Roman" w:cs="Times New Roman"/>
          <w:sz w:val="28"/>
          <w:szCs w:val="28"/>
        </w:rPr>
        <w:t xml:space="preserve"> //</w:t>
      </w:r>
      <w:r w:rsidRPr="00B32C75">
        <w:rPr>
          <w:rFonts w:ascii="Times New Roman" w:hAnsi="Times New Roman" w:cs="Times New Roman"/>
          <w:sz w:val="28"/>
          <w:szCs w:val="28"/>
          <w:lang w:val="uk-UA"/>
        </w:rPr>
        <w:t xml:space="preserve"> J</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Periodontol.</w:t>
      </w:r>
      <w:r w:rsidR="008A465D">
        <w:rPr>
          <w:rFonts w:ascii="Times New Roman" w:hAnsi="Times New Roman" w:cs="Times New Roman"/>
          <w:sz w:val="28"/>
          <w:szCs w:val="28"/>
        </w:rPr>
        <w:t xml:space="preserve"> – 1997.</w:t>
      </w:r>
      <w:r w:rsidR="008A465D">
        <w:rPr>
          <w:rFonts w:ascii="Times New Roman" w:hAnsi="Times New Roman" w:cs="Times New Roman"/>
          <w:sz w:val="28"/>
          <w:szCs w:val="28"/>
          <w:lang w:val="uk-UA"/>
        </w:rPr>
        <w:t xml:space="preserve"> </w:t>
      </w:r>
      <w:r w:rsidR="008A465D">
        <w:rPr>
          <w:rFonts w:ascii="Times New Roman" w:hAnsi="Times New Roman" w:cs="Times New Roman"/>
          <w:sz w:val="28"/>
          <w:szCs w:val="28"/>
        </w:rPr>
        <w:t>– Vol.</w:t>
      </w:r>
      <w:r w:rsidR="008A465D">
        <w:rPr>
          <w:rFonts w:ascii="Times New Roman" w:hAnsi="Times New Roman" w:cs="Times New Roman"/>
          <w:sz w:val="28"/>
          <w:szCs w:val="28"/>
          <w:lang w:val="uk-UA"/>
        </w:rPr>
        <w:t xml:space="preserve">68. </w:t>
      </w:r>
      <w:r w:rsidR="008A465D">
        <w:rPr>
          <w:rFonts w:ascii="Times New Roman" w:hAnsi="Times New Roman" w:cs="Times New Roman"/>
          <w:sz w:val="28"/>
          <w:szCs w:val="28"/>
        </w:rPr>
        <w:t>– P.</w:t>
      </w:r>
      <w:r w:rsidRPr="00B32C75">
        <w:rPr>
          <w:rFonts w:ascii="Times New Roman" w:hAnsi="Times New Roman" w:cs="Times New Roman"/>
          <w:sz w:val="28"/>
          <w:szCs w:val="28"/>
          <w:lang w:val="uk-UA"/>
        </w:rPr>
        <w:t>734-738.</w:t>
      </w:r>
    </w:p>
    <w:p w14:paraId="3934482F" w14:textId="7A049D38" w:rsidR="002767DC" w:rsidRPr="00F14CD2" w:rsidRDefault="00F14CD2"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14CD2">
        <w:rPr>
          <w:rStyle w:val="hl"/>
          <w:rFonts w:ascii="Times New Roman" w:hAnsi="Times New Roman"/>
          <w:sz w:val="28"/>
          <w:szCs w:val="28"/>
          <w:lang w:val="ru-RU"/>
        </w:rPr>
        <w:t>Гавриш</w:t>
      </w:r>
      <w:r w:rsidRPr="00F14CD2">
        <w:rPr>
          <w:rFonts w:ascii="Times New Roman" w:hAnsi="Times New Roman" w:cs="Times New Roman"/>
          <w:sz w:val="28"/>
          <w:szCs w:val="28"/>
          <w:shd w:val="clear" w:color="auto" w:fill="FFFFFF"/>
          <w:lang w:val="ru-RU"/>
        </w:rPr>
        <w:t xml:space="preserve"> Т.В. Дисбиозы полости рта и </w:t>
      </w:r>
      <w:r w:rsidRPr="00F14CD2">
        <w:rPr>
          <w:rStyle w:val="hl"/>
          <w:rFonts w:ascii="Times New Roman" w:hAnsi="Times New Roman"/>
          <w:sz w:val="28"/>
          <w:szCs w:val="28"/>
          <w:lang w:val="ru-RU"/>
        </w:rPr>
        <w:t>кишечника</w:t>
      </w:r>
      <w:r w:rsidRPr="00F14CD2">
        <w:rPr>
          <w:rFonts w:ascii="Times New Roman" w:hAnsi="Times New Roman" w:cs="Times New Roman"/>
          <w:sz w:val="28"/>
          <w:szCs w:val="28"/>
          <w:shd w:val="clear" w:color="auto" w:fill="FFFFFF"/>
          <w:lang w:val="ru-RU"/>
        </w:rPr>
        <w:t xml:space="preserve"> и иммунологическая реактивность у больных бронхиальной астмой подросткового возраста</w:t>
      </w:r>
      <w:r>
        <w:rPr>
          <w:rFonts w:ascii="Times New Roman" w:hAnsi="Times New Roman" w:cs="Times New Roman"/>
          <w:sz w:val="28"/>
          <w:szCs w:val="28"/>
          <w:shd w:val="clear" w:color="auto" w:fill="FFFFFF"/>
          <w:lang w:val="ru-RU"/>
        </w:rPr>
        <w:t xml:space="preserve"> / Т.В. Гавриш</w:t>
      </w:r>
      <w:r w:rsidRPr="00F14CD2">
        <w:rPr>
          <w:rFonts w:ascii="Times New Roman" w:hAnsi="Times New Roman" w:cs="Times New Roman"/>
          <w:sz w:val="28"/>
          <w:szCs w:val="28"/>
          <w:shd w:val="clear" w:color="auto" w:fill="FFFFFF"/>
          <w:lang w:val="ru-RU"/>
        </w:rPr>
        <w:t xml:space="preserve"> // </w:t>
      </w:r>
      <w:r w:rsidRPr="00F14CD2">
        <w:rPr>
          <w:rStyle w:val="hl"/>
          <w:rFonts w:ascii="Times New Roman" w:hAnsi="Times New Roman"/>
          <w:sz w:val="28"/>
          <w:szCs w:val="28"/>
          <w:lang w:val="ru-RU"/>
        </w:rPr>
        <w:t>Журн</w:t>
      </w:r>
      <w:r w:rsidRPr="00F14CD2">
        <w:rPr>
          <w:rFonts w:ascii="Times New Roman" w:hAnsi="Times New Roman" w:cs="Times New Roman"/>
          <w:sz w:val="28"/>
          <w:szCs w:val="28"/>
          <w:shd w:val="clear" w:color="auto" w:fill="FFFFFF"/>
          <w:lang w:val="ru-RU"/>
        </w:rPr>
        <w:t>. микробиол. эпидемиол. иммунобиол.</w:t>
      </w:r>
      <w:r>
        <w:rPr>
          <w:rFonts w:ascii="Times New Roman" w:hAnsi="Times New Roman" w:cs="Times New Roman"/>
          <w:sz w:val="28"/>
          <w:szCs w:val="28"/>
          <w:shd w:val="clear" w:color="auto" w:fill="FFFFFF"/>
          <w:lang w:val="ru-RU"/>
        </w:rPr>
        <w:t xml:space="preserve"> –</w:t>
      </w:r>
      <w:r w:rsidRPr="00F14CD2">
        <w:rPr>
          <w:rFonts w:ascii="Times New Roman" w:hAnsi="Times New Roman" w:cs="Times New Roman"/>
          <w:sz w:val="28"/>
          <w:szCs w:val="28"/>
          <w:shd w:val="clear" w:color="auto" w:fill="FFFFFF"/>
          <w:lang w:val="ru-RU"/>
        </w:rPr>
        <w:t xml:space="preserve"> 2001. </w:t>
      </w:r>
      <w:r>
        <w:rPr>
          <w:rFonts w:ascii="Times New Roman" w:hAnsi="Times New Roman" w:cs="Times New Roman"/>
          <w:sz w:val="28"/>
          <w:szCs w:val="28"/>
          <w:shd w:val="clear" w:color="auto" w:fill="FFFFFF"/>
          <w:lang w:val="ru-RU"/>
        </w:rPr>
        <w:t>–</w:t>
      </w:r>
      <w:r w:rsidRPr="00F14CD2">
        <w:rPr>
          <w:rFonts w:ascii="Times New Roman" w:hAnsi="Times New Roman" w:cs="Times New Roman"/>
          <w:sz w:val="28"/>
          <w:szCs w:val="28"/>
          <w:shd w:val="clear" w:color="auto" w:fill="FFFFFF"/>
          <w:lang w:val="ru-RU"/>
        </w:rPr>
        <w:t xml:space="preserve"> № 6. </w:t>
      </w:r>
      <w:r>
        <w:rPr>
          <w:rFonts w:ascii="Times New Roman" w:hAnsi="Times New Roman" w:cs="Times New Roman"/>
          <w:sz w:val="28"/>
          <w:szCs w:val="28"/>
          <w:shd w:val="clear" w:color="auto" w:fill="FFFFFF"/>
          <w:lang w:val="ru-RU"/>
        </w:rPr>
        <w:t>–</w:t>
      </w:r>
      <w:r w:rsidRPr="00F14CD2">
        <w:rPr>
          <w:rFonts w:ascii="Times New Roman" w:hAnsi="Times New Roman" w:cs="Times New Roman"/>
          <w:sz w:val="28"/>
          <w:szCs w:val="28"/>
          <w:shd w:val="clear" w:color="auto" w:fill="FFFFFF"/>
          <w:lang w:val="ru-RU"/>
        </w:rPr>
        <w:t xml:space="preserve"> С. 74-76. </w:t>
      </w:r>
    </w:p>
    <w:p w14:paraId="25C206C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Биохимические маркеры воспаления тканей ротовой полости: метод. рекомендации / А. П. Левицкий, О. В. Деньга, О. А. Макаренко [и др.]. – Одесса КП ОГТ, 2010. – 16 с.</w:t>
      </w:r>
    </w:p>
    <w:p w14:paraId="1F8A8949" w14:textId="1E1063F5"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Sahingur S</w:t>
      </w:r>
      <w:r w:rsidR="008A465D">
        <w:rPr>
          <w:rFonts w:ascii="Times New Roman" w:hAnsi="Times New Roman" w:cs="Times New Roman"/>
          <w:sz w:val="28"/>
          <w:szCs w:val="28"/>
        </w:rPr>
        <w:t>.</w:t>
      </w:r>
      <w:r w:rsidRPr="00B32C75">
        <w:rPr>
          <w:rFonts w:ascii="Times New Roman" w:hAnsi="Times New Roman" w:cs="Times New Roman"/>
          <w:sz w:val="28"/>
          <w:szCs w:val="28"/>
          <w:lang w:val="uk-UA"/>
        </w:rPr>
        <w:t>E</w:t>
      </w:r>
      <w:r w:rsidR="008A465D">
        <w:rPr>
          <w:rFonts w:ascii="Times New Roman" w:hAnsi="Times New Roman" w:cs="Times New Roman"/>
          <w:sz w:val="28"/>
          <w:szCs w:val="28"/>
        </w:rPr>
        <w:t>.</w:t>
      </w:r>
      <w:r w:rsidRPr="00B32C75">
        <w:rPr>
          <w:rFonts w:ascii="Times New Roman" w:hAnsi="Times New Roman" w:cs="Times New Roman"/>
          <w:sz w:val="28"/>
          <w:szCs w:val="28"/>
          <w:lang w:val="uk-UA"/>
        </w:rPr>
        <w:t xml:space="preserve"> Analysis of host responses and risk for disease</w:t>
      </w:r>
      <w:r>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progression / </w:t>
      </w:r>
      <w:r w:rsidR="008A465D" w:rsidRPr="00B32C75">
        <w:rPr>
          <w:rFonts w:ascii="Times New Roman" w:hAnsi="Times New Roman" w:cs="Times New Roman"/>
          <w:sz w:val="28"/>
          <w:szCs w:val="28"/>
          <w:lang w:val="uk-UA"/>
        </w:rPr>
        <w:t>S</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E</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Sahingur, R</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E</w:t>
      </w:r>
      <w:r w:rsidR="008A465D">
        <w:rPr>
          <w:rFonts w:ascii="Times New Roman" w:hAnsi="Times New Roman" w:cs="Times New Roman"/>
          <w:sz w:val="28"/>
          <w:szCs w:val="28"/>
        </w:rPr>
        <w:t xml:space="preserve">. </w:t>
      </w:r>
      <w:r w:rsidR="008A465D" w:rsidRPr="00B32C75">
        <w:rPr>
          <w:rFonts w:ascii="Times New Roman" w:hAnsi="Times New Roman" w:cs="Times New Roman"/>
          <w:sz w:val="28"/>
          <w:szCs w:val="28"/>
          <w:lang w:val="uk-UA"/>
        </w:rPr>
        <w:t xml:space="preserve">Cohen </w:t>
      </w:r>
      <w:r w:rsidR="008A465D">
        <w:rPr>
          <w:rFonts w:ascii="Times New Roman" w:hAnsi="Times New Roman" w:cs="Times New Roman"/>
          <w:sz w:val="28"/>
          <w:szCs w:val="28"/>
        </w:rPr>
        <w:t>//</w:t>
      </w:r>
      <w:r w:rsidRPr="00B32C75">
        <w:rPr>
          <w:rFonts w:ascii="Times New Roman" w:hAnsi="Times New Roman" w:cs="Times New Roman"/>
          <w:sz w:val="28"/>
          <w:szCs w:val="28"/>
          <w:lang w:val="uk-UA"/>
        </w:rPr>
        <w:t xml:space="preserve"> Periodontol 2000</w:t>
      </w:r>
      <w:r w:rsidR="00F14CD2">
        <w:rPr>
          <w:rFonts w:ascii="Times New Roman" w:hAnsi="Times New Roman" w:cs="Times New Roman"/>
          <w:sz w:val="28"/>
          <w:szCs w:val="28"/>
          <w:lang w:val="uk-UA"/>
        </w:rPr>
        <w:t>.</w:t>
      </w:r>
      <w:r w:rsidR="008A465D">
        <w:rPr>
          <w:rFonts w:ascii="Times New Roman" w:hAnsi="Times New Roman" w:cs="Times New Roman"/>
          <w:sz w:val="28"/>
          <w:szCs w:val="28"/>
        </w:rPr>
        <w:t xml:space="preserve"> – 2004. –</w:t>
      </w:r>
      <w:r w:rsidRPr="00B32C75">
        <w:rPr>
          <w:rFonts w:ascii="Times New Roman" w:hAnsi="Times New Roman" w:cs="Times New Roman"/>
          <w:sz w:val="28"/>
          <w:szCs w:val="28"/>
          <w:lang w:val="uk-UA"/>
        </w:rPr>
        <w:t xml:space="preserve"> </w:t>
      </w:r>
      <w:r w:rsidR="008A465D">
        <w:rPr>
          <w:rFonts w:ascii="Times New Roman" w:hAnsi="Times New Roman" w:cs="Times New Roman"/>
          <w:sz w:val="28"/>
          <w:szCs w:val="28"/>
        </w:rPr>
        <w:t>Vol.</w:t>
      </w:r>
      <w:r w:rsidR="008A465D">
        <w:rPr>
          <w:rFonts w:ascii="Times New Roman" w:hAnsi="Times New Roman" w:cs="Times New Roman"/>
          <w:sz w:val="28"/>
          <w:szCs w:val="28"/>
          <w:lang w:val="uk-UA"/>
        </w:rPr>
        <w:t>34.</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57-83.</w:t>
      </w:r>
    </w:p>
    <w:p w14:paraId="20C18791" w14:textId="5BAFFF8A"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32C75">
        <w:rPr>
          <w:rFonts w:ascii="Times New Roman" w:hAnsi="Times New Roman" w:cs="Times New Roman"/>
          <w:sz w:val="28"/>
          <w:szCs w:val="28"/>
          <w:lang w:val="uk-UA"/>
        </w:rPr>
        <w:t>Albandar</w:t>
      </w:r>
      <w:r w:rsidR="008A465D" w:rsidRPr="008A465D">
        <w:rPr>
          <w:rFonts w:ascii="Times New Roman" w:hAnsi="Times New Roman" w:cs="Times New Roman"/>
          <w:sz w:val="28"/>
          <w:szCs w:val="28"/>
          <w:lang w:val="uk-UA"/>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Associations of serum concentrations of IgG, IgA, IgM and interleukin-1beta</w:t>
      </w:r>
      <w:r>
        <w:rPr>
          <w:rFonts w:ascii="Times New Roman" w:hAnsi="Times New Roman" w:cs="Times New Roman"/>
          <w:sz w:val="28"/>
          <w:szCs w:val="28"/>
          <w:lang w:val="uk-UA"/>
        </w:rPr>
        <w:t xml:space="preserve"> </w:t>
      </w:r>
      <w:r w:rsidRPr="00B32C75">
        <w:rPr>
          <w:rFonts w:ascii="Times New Roman" w:hAnsi="Times New Roman" w:cs="Times New Roman"/>
          <w:sz w:val="28"/>
          <w:szCs w:val="28"/>
          <w:lang w:val="uk-UA"/>
        </w:rPr>
        <w:t>with early-onset periodontitis classification and r</w:t>
      </w:r>
      <w:r w:rsidR="008A465D">
        <w:rPr>
          <w:rFonts w:ascii="Times New Roman" w:hAnsi="Times New Roman" w:cs="Times New Roman"/>
          <w:sz w:val="28"/>
          <w:szCs w:val="28"/>
          <w:lang w:val="uk-UA"/>
        </w:rPr>
        <w:t xml:space="preserve">ace / </w:t>
      </w:r>
      <w:r w:rsidR="008A465D" w:rsidRPr="00B32C75">
        <w:rPr>
          <w:rFonts w:ascii="Times New Roman" w:hAnsi="Times New Roman" w:cs="Times New Roman"/>
          <w:sz w:val="28"/>
          <w:szCs w:val="28"/>
          <w:lang w:val="uk-UA"/>
        </w:rPr>
        <w:t>Albandar</w:t>
      </w:r>
      <w:r w:rsidR="008A465D" w:rsidRPr="008A465D">
        <w:rPr>
          <w:rFonts w:ascii="Times New Roman" w:hAnsi="Times New Roman" w:cs="Times New Roman"/>
          <w:sz w:val="28"/>
          <w:szCs w:val="28"/>
          <w:lang w:val="uk-UA"/>
        </w:rPr>
        <w:t xml:space="preserve"> </w:t>
      </w:r>
      <w:r w:rsidR="008A465D" w:rsidRPr="00B32C75">
        <w:rPr>
          <w:rFonts w:ascii="Times New Roman" w:hAnsi="Times New Roman" w:cs="Times New Roman"/>
          <w:sz w:val="28"/>
          <w:szCs w:val="28"/>
          <w:lang w:val="uk-UA"/>
        </w:rPr>
        <w:t>J</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DeNardin A</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 Adesanya M</w:t>
      </w:r>
      <w:r w:rsidR="008A465D">
        <w:rPr>
          <w:rFonts w:ascii="Times New Roman" w:hAnsi="Times New Roman" w:cs="Times New Roman"/>
          <w:sz w:val="28"/>
          <w:szCs w:val="28"/>
        </w:rPr>
        <w:t>.</w:t>
      </w:r>
      <w:r w:rsidR="008A465D" w:rsidRPr="00B32C75">
        <w:rPr>
          <w:rFonts w:ascii="Times New Roman" w:hAnsi="Times New Roman" w:cs="Times New Roman"/>
          <w:sz w:val="28"/>
          <w:szCs w:val="28"/>
          <w:lang w:val="uk-UA"/>
        </w:rPr>
        <w:t>R</w:t>
      </w:r>
      <w:r w:rsidR="008A465D">
        <w:rPr>
          <w:rFonts w:ascii="Times New Roman" w:hAnsi="Times New Roman" w:cs="Times New Roman"/>
          <w:sz w:val="28"/>
          <w:szCs w:val="28"/>
        </w:rPr>
        <w:t>. et al. //</w:t>
      </w:r>
      <w:r w:rsidRPr="00B32C75">
        <w:rPr>
          <w:rFonts w:ascii="Times New Roman" w:hAnsi="Times New Roman" w:cs="Times New Roman"/>
          <w:sz w:val="28"/>
          <w:szCs w:val="28"/>
          <w:lang w:val="uk-UA"/>
        </w:rPr>
        <w:t xml:space="preserve"> J Clin Periodontol</w:t>
      </w:r>
      <w:r w:rsidR="008A465D">
        <w:rPr>
          <w:rFonts w:ascii="Times New Roman" w:hAnsi="Times New Roman" w:cs="Times New Roman"/>
          <w:sz w:val="28"/>
          <w:szCs w:val="28"/>
        </w:rPr>
        <w:t>. – 2002. – Vol.</w:t>
      </w:r>
      <w:r w:rsidR="008A465D">
        <w:rPr>
          <w:rFonts w:ascii="Times New Roman" w:hAnsi="Times New Roman" w:cs="Times New Roman"/>
          <w:sz w:val="28"/>
          <w:szCs w:val="28"/>
          <w:lang w:val="uk-UA"/>
        </w:rPr>
        <w:t xml:space="preserve"> 29.</w:t>
      </w:r>
      <w:r w:rsidR="008A465D">
        <w:rPr>
          <w:rFonts w:ascii="Times New Roman" w:hAnsi="Times New Roman" w:cs="Times New Roman"/>
          <w:sz w:val="28"/>
          <w:szCs w:val="28"/>
        </w:rPr>
        <w:t xml:space="preserve"> – P.</w:t>
      </w:r>
      <w:r w:rsidRPr="00B32C75">
        <w:rPr>
          <w:rFonts w:ascii="Times New Roman" w:hAnsi="Times New Roman" w:cs="Times New Roman"/>
          <w:sz w:val="28"/>
          <w:szCs w:val="28"/>
          <w:lang w:val="uk-UA"/>
        </w:rPr>
        <w:t xml:space="preserve"> 421-426.</w:t>
      </w:r>
    </w:p>
    <w:p w14:paraId="3B7A9B8B" w14:textId="20FE94DE" w:rsidR="002767DC" w:rsidRDefault="008A465D"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Mooder T</w:t>
      </w:r>
      <w:r w:rsidR="002767DC" w:rsidRPr="00B32C75">
        <w:rPr>
          <w:rFonts w:ascii="Times New Roman" w:hAnsi="Times New Roman" w:cs="Times New Roman"/>
          <w:sz w:val="28"/>
          <w:szCs w:val="28"/>
          <w:lang w:val="uk-UA"/>
        </w:rPr>
        <w:t>. Periodontal diseases in children</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and adolescents / </w:t>
      </w:r>
      <w:r w:rsidRPr="00B32C75">
        <w:rPr>
          <w:rFonts w:ascii="Times New Roman" w:hAnsi="Times New Roman" w:cs="Times New Roman"/>
          <w:sz w:val="28"/>
          <w:szCs w:val="28"/>
          <w:lang w:val="uk-UA"/>
        </w:rPr>
        <w:t>T</w:t>
      </w:r>
      <w:r>
        <w:rPr>
          <w:rFonts w:ascii="Times New Roman" w:hAnsi="Times New Roman" w:cs="Times New Roman"/>
          <w:sz w:val="28"/>
          <w:szCs w:val="28"/>
        </w:rPr>
        <w:t>.</w:t>
      </w:r>
      <w:r w:rsidRPr="00B32C75">
        <w:rPr>
          <w:rFonts w:ascii="Times New Roman" w:hAnsi="Times New Roman" w:cs="Times New Roman"/>
          <w:sz w:val="28"/>
          <w:szCs w:val="28"/>
          <w:lang w:val="uk-UA"/>
        </w:rPr>
        <w:t xml:space="preserve"> Mooder, B</w:t>
      </w:r>
      <w:r>
        <w:rPr>
          <w:rFonts w:ascii="Times New Roman" w:hAnsi="Times New Roman" w:cs="Times New Roman"/>
          <w:sz w:val="28"/>
          <w:szCs w:val="28"/>
        </w:rPr>
        <w:t>.</w:t>
      </w:r>
      <w:r w:rsidRPr="00B32C75">
        <w:rPr>
          <w:rFonts w:ascii="Times New Roman" w:hAnsi="Times New Roman" w:cs="Times New Roman"/>
          <w:sz w:val="28"/>
          <w:szCs w:val="28"/>
          <w:lang w:val="uk-UA"/>
        </w:rPr>
        <w:t xml:space="preserve"> Wondimu </w:t>
      </w:r>
      <w:r>
        <w:rPr>
          <w:rFonts w:ascii="Times New Roman" w:hAnsi="Times New Roman" w:cs="Times New Roman"/>
          <w:sz w:val="28"/>
          <w:szCs w:val="28"/>
        </w:rPr>
        <w:t>//</w:t>
      </w:r>
      <w:r w:rsidR="002767DC" w:rsidRPr="00B32C75">
        <w:rPr>
          <w:rFonts w:ascii="Times New Roman" w:hAnsi="Times New Roman" w:cs="Times New Roman"/>
          <w:sz w:val="28"/>
          <w:szCs w:val="28"/>
          <w:lang w:val="uk-UA"/>
        </w:rPr>
        <w:t xml:space="preserve"> Dent Clin North Am</w:t>
      </w:r>
      <w:r>
        <w:rPr>
          <w:rFonts w:ascii="Times New Roman" w:hAnsi="Times New Roman" w:cs="Times New Roman"/>
          <w:sz w:val="28"/>
          <w:szCs w:val="28"/>
        </w:rPr>
        <w:t>. –</w:t>
      </w:r>
      <w:r w:rsidR="002767DC" w:rsidRPr="00B32C75">
        <w:rPr>
          <w:rFonts w:ascii="Times New Roman" w:hAnsi="Times New Roman" w:cs="Times New Roman"/>
          <w:sz w:val="28"/>
          <w:szCs w:val="28"/>
          <w:lang w:val="uk-UA"/>
        </w:rPr>
        <w:t xml:space="preserve"> 2000</w:t>
      </w:r>
      <w:r>
        <w:rPr>
          <w:rFonts w:ascii="Times New Roman" w:hAnsi="Times New Roman" w:cs="Times New Roman"/>
          <w:sz w:val="28"/>
          <w:szCs w:val="28"/>
        </w:rPr>
        <w:t>. – Vol.</w:t>
      </w:r>
      <w:r>
        <w:rPr>
          <w:rFonts w:ascii="Times New Roman" w:hAnsi="Times New Roman" w:cs="Times New Roman"/>
          <w:sz w:val="28"/>
          <w:szCs w:val="28"/>
          <w:lang w:val="uk-UA"/>
        </w:rPr>
        <w:t xml:space="preserve">44. </w:t>
      </w:r>
      <w:r>
        <w:rPr>
          <w:rFonts w:ascii="Times New Roman" w:hAnsi="Times New Roman" w:cs="Times New Roman"/>
          <w:sz w:val="28"/>
          <w:szCs w:val="28"/>
        </w:rPr>
        <w:t xml:space="preserve">– P. </w:t>
      </w:r>
      <w:r w:rsidR="002767DC" w:rsidRPr="00B32C75">
        <w:rPr>
          <w:rFonts w:ascii="Times New Roman" w:hAnsi="Times New Roman" w:cs="Times New Roman"/>
          <w:sz w:val="28"/>
          <w:szCs w:val="28"/>
          <w:lang w:val="uk-UA"/>
        </w:rPr>
        <w:t>633-658.</w:t>
      </w:r>
    </w:p>
    <w:p w14:paraId="69AE037A" w14:textId="40B0B63F"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Григорьян А. С., Грудянов Н. А., Рабухина Н. А., Фролова Н. А. Болезни пародонта. Патогенез, диагностика, лечение. — М. : МИА, 2004. — 320 с</w:t>
      </w:r>
      <w:r w:rsidR="008A465D">
        <w:rPr>
          <w:rFonts w:ascii="Times New Roman" w:hAnsi="Times New Roman" w:cs="Times New Roman"/>
          <w:sz w:val="28"/>
          <w:szCs w:val="28"/>
        </w:rPr>
        <w:t>.</w:t>
      </w:r>
    </w:p>
    <w:p w14:paraId="53C8534F" w14:textId="6C4AF9BD"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Максимовский Ю.М., Чиркова Т.Д., Ульянова М.А. Особенности клеточного иммунитета при ката</w:t>
      </w:r>
      <w:r w:rsidR="008A465D">
        <w:rPr>
          <w:rFonts w:ascii="Times New Roman" w:hAnsi="Times New Roman" w:cs="Times New Roman"/>
          <w:sz w:val="28"/>
          <w:szCs w:val="28"/>
          <w:lang w:val="uk-UA"/>
        </w:rPr>
        <w:t>ральном гингивите /</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Ю.М.</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Максимовский, Т.Д.</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Чиркова, М.А.</w:t>
      </w:r>
      <w:r w:rsidR="008A465D" w:rsidRPr="008A465D">
        <w:rPr>
          <w:rFonts w:ascii="Times New Roman" w:hAnsi="Times New Roman" w:cs="Times New Roman"/>
          <w:sz w:val="28"/>
          <w:szCs w:val="28"/>
          <w:lang w:val="uk-UA"/>
        </w:rPr>
        <w:t xml:space="preserve"> </w:t>
      </w:r>
      <w:r w:rsidR="008A465D" w:rsidRPr="00052083">
        <w:rPr>
          <w:rFonts w:ascii="Times New Roman" w:hAnsi="Times New Roman" w:cs="Times New Roman"/>
          <w:sz w:val="28"/>
          <w:szCs w:val="28"/>
          <w:lang w:val="uk-UA"/>
        </w:rPr>
        <w:t xml:space="preserve">Ульянова </w:t>
      </w:r>
      <w:r w:rsidRPr="00052083">
        <w:rPr>
          <w:rFonts w:ascii="Times New Roman" w:hAnsi="Times New Roman" w:cs="Times New Roman"/>
          <w:sz w:val="28"/>
          <w:szCs w:val="28"/>
          <w:lang w:val="uk-UA"/>
        </w:rPr>
        <w:t>// Стоматология.</w:t>
      </w:r>
      <w:r w:rsidR="008A465D" w:rsidRPr="008A465D">
        <w:rPr>
          <w:rFonts w:ascii="Times New Roman" w:hAnsi="Times New Roman" w:cs="Times New Roman"/>
          <w:sz w:val="28"/>
          <w:szCs w:val="28"/>
          <w:lang w:val="uk-UA"/>
        </w:rPr>
        <w:t xml:space="preserve"> –</w:t>
      </w:r>
      <w:r w:rsidRPr="00052083">
        <w:rPr>
          <w:rFonts w:ascii="Times New Roman" w:hAnsi="Times New Roman" w:cs="Times New Roman"/>
          <w:sz w:val="28"/>
          <w:szCs w:val="28"/>
          <w:lang w:val="uk-UA"/>
        </w:rPr>
        <w:t xml:space="preserve"> 2003.</w:t>
      </w:r>
      <w:r w:rsidR="008A465D" w:rsidRPr="008A465D">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 № 3.</w:t>
      </w:r>
      <w:r w:rsidR="008A465D" w:rsidRPr="008A465D">
        <w:rPr>
          <w:rFonts w:ascii="Times New Roman" w:hAnsi="Times New Roman" w:cs="Times New Roman"/>
          <w:sz w:val="28"/>
          <w:szCs w:val="28"/>
          <w:lang w:val="ru-RU"/>
        </w:rPr>
        <w:t xml:space="preserve"> –</w:t>
      </w:r>
      <w:r w:rsidRPr="00052083">
        <w:rPr>
          <w:rFonts w:ascii="Times New Roman" w:hAnsi="Times New Roman" w:cs="Times New Roman"/>
          <w:sz w:val="28"/>
          <w:szCs w:val="28"/>
          <w:lang w:val="uk-UA"/>
        </w:rPr>
        <w:t xml:space="preserve"> С.6-8.</w:t>
      </w:r>
    </w:p>
    <w:p w14:paraId="4730DE6E" w14:textId="135BB80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52083">
        <w:rPr>
          <w:rFonts w:ascii="Times New Roman" w:hAnsi="Times New Roman" w:cs="Times New Roman"/>
          <w:sz w:val="28"/>
          <w:szCs w:val="28"/>
          <w:lang w:val="uk-UA"/>
        </w:rPr>
        <w:t>Javed</w:t>
      </w:r>
      <w:r>
        <w:rPr>
          <w:rFonts w:ascii="Times New Roman" w:hAnsi="Times New Roman" w:cs="Times New Roman"/>
          <w:sz w:val="28"/>
          <w:szCs w:val="28"/>
          <w:lang w:val="uk-UA"/>
        </w:rPr>
        <w:t xml:space="preserve"> </w:t>
      </w:r>
      <w:r>
        <w:rPr>
          <w:rFonts w:ascii="Times New Roman" w:hAnsi="Times New Roman" w:cs="Times New Roman"/>
          <w:sz w:val="28"/>
          <w:szCs w:val="28"/>
        </w:rPr>
        <w:t>F</w:t>
      </w:r>
      <w:r w:rsidRPr="00052083">
        <w:rPr>
          <w:rFonts w:ascii="Times New Roman" w:hAnsi="Times New Roman" w:cs="Times New Roman"/>
          <w:sz w:val="28"/>
          <w:szCs w:val="28"/>
          <w:lang w:val="uk-UA"/>
        </w:rPr>
        <w:t>. Mikami Cytokine profile in the gingival crevicular fluid of</w:t>
      </w:r>
      <w:r>
        <w:rPr>
          <w:rFonts w:ascii="Times New Roman" w:hAnsi="Times New Roman" w:cs="Times New Roman"/>
          <w:sz w:val="28"/>
          <w:szCs w:val="28"/>
          <w:lang w:val="uk-UA"/>
        </w:rPr>
        <w:t xml:space="preserve"> </w:t>
      </w:r>
      <w:r w:rsidRPr="00052083">
        <w:rPr>
          <w:rFonts w:ascii="Times New Roman" w:hAnsi="Times New Roman" w:cs="Times New Roman"/>
          <w:sz w:val="28"/>
          <w:szCs w:val="28"/>
          <w:lang w:val="uk-UA"/>
        </w:rPr>
        <w:t>rhematoid arthritis patients with chronic periodontitis</w:t>
      </w:r>
      <w:r>
        <w:rPr>
          <w:rFonts w:ascii="Times New Roman" w:hAnsi="Times New Roman" w:cs="Times New Roman"/>
          <w:sz w:val="28"/>
          <w:szCs w:val="28"/>
          <w:lang w:val="uk-UA"/>
        </w:rPr>
        <w:t xml:space="preserve"> / </w:t>
      </w:r>
      <w:r w:rsidRPr="00052083">
        <w:rPr>
          <w:rFonts w:ascii="Times New Roman" w:hAnsi="Times New Roman" w:cs="Times New Roman"/>
          <w:sz w:val="28"/>
          <w:szCs w:val="28"/>
          <w:lang w:val="uk-UA"/>
        </w:rPr>
        <w:t>F. Javed, H.B. Ahmed, T</w:t>
      </w:r>
      <w:r>
        <w:rPr>
          <w:rFonts w:ascii="Times New Roman" w:hAnsi="Times New Roman" w:cs="Times New Roman"/>
          <w:sz w:val="28"/>
          <w:szCs w:val="28"/>
        </w:rPr>
        <w:t xml:space="preserve"> // </w:t>
      </w:r>
      <w:r w:rsidRPr="00052083">
        <w:rPr>
          <w:rFonts w:ascii="Times New Roman" w:hAnsi="Times New Roman" w:cs="Times New Roman"/>
          <w:sz w:val="28"/>
          <w:szCs w:val="28"/>
        </w:rPr>
        <w:t>J. Investig. Clin. Dent.</w:t>
      </w:r>
      <w:r>
        <w:rPr>
          <w:rFonts w:ascii="Times New Roman" w:hAnsi="Times New Roman" w:cs="Times New Roman"/>
          <w:sz w:val="28"/>
          <w:szCs w:val="28"/>
        </w:rPr>
        <w:t xml:space="preserve"> – 2014. – Vol.5, </w:t>
      </w:r>
      <w:r>
        <w:rPr>
          <w:rFonts w:ascii="Times New Roman" w:hAnsi="Times New Roman" w:cs="Times New Roman"/>
          <w:sz w:val="28"/>
          <w:szCs w:val="28"/>
          <w:lang w:val="uk-UA"/>
        </w:rPr>
        <w:t>№1. – Р.1-8</w:t>
      </w:r>
      <w:r w:rsidR="008A465D">
        <w:rPr>
          <w:rFonts w:ascii="Times New Roman" w:hAnsi="Times New Roman" w:cs="Times New Roman"/>
          <w:sz w:val="28"/>
          <w:szCs w:val="28"/>
        </w:rPr>
        <w:t>.</w:t>
      </w:r>
    </w:p>
    <w:p w14:paraId="38D20EE8" w14:textId="1D04B1E9" w:rsidR="002767DC" w:rsidRDefault="0021385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Morinushi T</w:t>
      </w:r>
      <w:r w:rsidR="002767DC" w:rsidRPr="00B92621">
        <w:rPr>
          <w:rFonts w:ascii="Times New Roman" w:hAnsi="Times New Roman" w:cs="Times New Roman"/>
          <w:sz w:val="28"/>
          <w:szCs w:val="28"/>
          <w:lang w:val="uk-UA"/>
        </w:rPr>
        <w:t>. The relationship</w:t>
      </w:r>
      <w:r w:rsidR="002767DC">
        <w:rPr>
          <w:rFonts w:ascii="Times New Roman" w:hAnsi="Times New Roman" w:cs="Times New Roman"/>
          <w:sz w:val="28"/>
          <w:szCs w:val="28"/>
          <w:lang w:val="uk-UA"/>
        </w:rPr>
        <w:t xml:space="preserve"> </w:t>
      </w:r>
      <w:r w:rsidR="002767DC" w:rsidRPr="00B92621">
        <w:rPr>
          <w:rFonts w:ascii="Times New Roman" w:hAnsi="Times New Roman" w:cs="Times New Roman"/>
          <w:sz w:val="28"/>
          <w:szCs w:val="28"/>
          <w:lang w:val="uk-UA"/>
        </w:rPr>
        <w:t>between gingivitis and colonization by Porphyromonas</w:t>
      </w:r>
      <w:r w:rsidR="002767DC">
        <w:rPr>
          <w:rFonts w:ascii="Times New Roman" w:hAnsi="Times New Roman" w:cs="Times New Roman"/>
          <w:sz w:val="28"/>
          <w:szCs w:val="28"/>
          <w:lang w:val="uk-UA"/>
        </w:rPr>
        <w:t xml:space="preserve"> </w:t>
      </w:r>
      <w:r w:rsidR="002767DC" w:rsidRPr="00B92621">
        <w:rPr>
          <w:rFonts w:ascii="Times New Roman" w:hAnsi="Times New Roman" w:cs="Times New Roman"/>
          <w:sz w:val="28"/>
          <w:szCs w:val="28"/>
          <w:lang w:val="uk-UA"/>
        </w:rPr>
        <w:t>gingivalis and Actinobacillus actinomycetemcomitans</w:t>
      </w:r>
      <w:r w:rsidR="002767DC">
        <w:rPr>
          <w:rFonts w:ascii="Times New Roman" w:hAnsi="Times New Roman" w:cs="Times New Roman"/>
          <w:sz w:val="28"/>
          <w:szCs w:val="28"/>
          <w:lang w:val="uk-UA"/>
        </w:rPr>
        <w:t xml:space="preserve"> </w:t>
      </w:r>
      <w:r w:rsidR="008A465D">
        <w:rPr>
          <w:rFonts w:ascii="Times New Roman" w:hAnsi="Times New Roman" w:cs="Times New Roman"/>
          <w:sz w:val="28"/>
          <w:szCs w:val="28"/>
          <w:lang w:val="uk-UA"/>
        </w:rPr>
        <w:t xml:space="preserve">in children / </w:t>
      </w:r>
      <w:r w:rsidR="008A465D">
        <w:rPr>
          <w:rFonts w:ascii="Times New Roman" w:hAnsi="Times New Roman" w:cs="Times New Roman"/>
          <w:sz w:val="28"/>
          <w:szCs w:val="28"/>
        </w:rPr>
        <w:t xml:space="preserve">T. </w:t>
      </w:r>
      <w:r w:rsidR="008A465D">
        <w:rPr>
          <w:rFonts w:ascii="Times New Roman" w:hAnsi="Times New Roman" w:cs="Times New Roman"/>
          <w:sz w:val="28"/>
          <w:szCs w:val="28"/>
          <w:lang w:val="uk-UA"/>
        </w:rPr>
        <w:t>Morinushi</w:t>
      </w:r>
      <w:r w:rsidR="008A465D" w:rsidRPr="00B92621">
        <w:rPr>
          <w:rFonts w:ascii="Times New Roman" w:hAnsi="Times New Roman" w:cs="Times New Roman"/>
          <w:sz w:val="28"/>
          <w:szCs w:val="28"/>
          <w:lang w:val="uk-UA"/>
        </w:rPr>
        <w:t xml:space="preserve">, </w:t>
      </w:r>
      <w:r w:rsidR="008A465D">
        <w:rPr>
          <w:rFonts w:ascii="Times New Roman" w:hAnsi="Times New Roman" w:cs="Times New Roman"/>
          <w:sz w:val="28"/>
          <w:szCs w:val="28"/>
        </w:rPr>
        <w:t xml:space="preserve">D.E. </w:t>
      </w:r>
      <w:r w:rsidR="008A465D">
        <w:rPr>
          <w:rFonts w:ascii="Times New Roman" w:hAnsi="Times New Roman" w:cs="Times New Roman"/>
          <w:sz w:val="28"/>
          <w:szCs w:val="28"/>
          <w:lang w:val="uk-UA"/>
        </w:rPr>
        <w:t>Lopatin</w:t>
      </w:r>
      <w:r w:rsidR="008A465D" w:rsidRPr="00B92621">
        <w:rPr>
          <w:rFonts w:ascii="Times New Roman" w:hAnsi="Times New Roman" w:cs="Times New Roman"/>
          <w:sz w:val="28"/>
          <w:szCs w:val="28"/>
          <w:lang w:val="uk-UA"/>
        </w:rPr>
        <w:t xml:space="preserve">, </w:t>
      </w:r>
      <w:r w:rsidR="008A465D">
        <w:rPr>
          <w:rFonts w:ascii="Times New Roman" w:hAnsi="Times New Roman" w:cs="Times New Roman"/>
          <w:sz w:val="28"/>
          <w:szCs w:val="28"/>
        </w:rPr>
        <w:t xml:space="preserve">N. </w:t>
      </w:r>
      <w:r w:rsidR="008A465D">
        <w:rPr>
          <w:rFonts w:ascii="Times New Roman" w:hAnsi="Times New Roman" w:cs="Times New Roman"/>
          <w:sz w:val="28"/>
          <w:szCs w:val="28"/>
          <w:lang w:val="uk-UA"/>
        </w:rPr>
        <w:t>Van Poperin</w:t>
      </w:r>
      <w:r w:rsidR="008A465D">
        <w:rPr>
          <w:rFonts w:ascii="Times New Roman" w:hAnsi="Times New Roman" w:cs="Times New Roman"/>
          <w:sz w:val="28"/>
          <w:szCs w:val="28"/>
        </w:rPr>
        <w:t xml:space="preserve"> et al. //</w:t>
      </w:r>
      <w:r w:rsidR="002767DC" w:rsidRPr="00B92621">
        <w:rPr>
          <w:rFonts w:ascii="Times New Roman" w:hAnsi="Times New Roman" w:cs="Times New Roman"/>
          <w:sz w:val="28"/>
          <w:szCs w:val="28"/>
          <w:lang w:val="uk-UA"/>
        </w:rPr>
        <w:t xml:space="preserve"> J Periodontol</w:t>
      </w:r>
      <w:r w:rsidR="008A465D">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2000</w:t>
      </w:r>
      <w:r w:rsidR="008A465D">
        <w:rPr>
          <w:rFonts w:ascii="Times New Roman" w:hAnsi="Times New Roman" w:cs="Times New Roman"/>
          <w:sz w:val="28"/>
          <w:szCs w:val="28"/>
        </w:rPr>
        <w:t>. – Vol.</w:t>
      </w:r>
      <w:r w:rsidR="008A465D">
        <w:rPr>
          <w:rFonts w:ascii="Times New Roman" w:hAnsi="Times New Roman" w:cs="Times New Roman"/>
          <w:sz w:val="28"/>
          <w:szCs w:val="28"/>
          <w:lang w:val="uk-UA"/>
        </w:rPr>
        <w:t xml:space="preserve">71. </w:t>
      </w:r>
      <w:r w:rsidR="008A465D">
        <w:rPr>
          <w:rFonts w:ascii="Times New Roman" w:hAnsi="Times New Roman" w:cs="Times New Roman"/>
          <w:sz w:val="28"/>
          <w:szCs w:val="28"/>
        </w:rPr>
        <w:t xml:space="preserve">– P. </w:t>
      </w:r>
      <w:r w:rsidR="002767DC" w:rsidRPr="00B92621">
        <w:rPr>
          <w:rFonts w:ascii="Times New Roman" w:hAnsi="Times New Roman" w:cs="Times New Roman"/>
          <w:sz w:val="28"/>
          <w:szCs w:val="28"/>
          <w:lang w:val="uk-UA"/>
        </w:rPr>
        <w:t>403-409.</w:t>
      </w:r>
    </w:p>
    <w:p w14:paraId="6D92B82A" w14:textId="5218CB2F" w:rsidR="002767DC" w:rsidRDefault="0021385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Sistig S.</w:t>
      </w:r>
      <w:r w:rsidR="002767DC" w:rsidRPr="00B92621">
        <w:rPr>
          <w:rFonts w:ascii="Times New Roman" w:hAnsi="Times New Roman" w:cs="Times New Roman"/>
          <w:sz w:val="28"/>
          <w:szCs w:val="28"/>
          <w:lang w:val="uk-UA"/>
        </w:rPr>
        <w:t xml:space="preserve"> Salivary IgA and IgG subclasses</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in oral mucosal diseases / </w:t>
      </w:r>
      <w:r w:rsidRPr="00B92621">
        <w:rPr>
          <w:rFonts w:ascii="Times New Roman" w:hAnsi="Times New Roman" w:cs="Times New Roman"/>
          <w:sz w:val="28"/>
          <w:szCs w:val="28"/>
          <w:lang w:val="uk-UA"/>
        </w:rPr>
        <w:t>S</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Sistig, V</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Vucićević-Boras, J</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Lukac, Z</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Kusić </w:t>
      </w:r>
      <w:r>
        <w:rPr>
          <w:rFonts w:ascii="Times New Roman" w:hAnsi="Times New Roman" w:cs="Times New Roman"/>
          <w:sz w:val="28"/>
          <w:szCs w:val="28"/>
        </w:rPr>
        <w:t>//</w:t>
      </w:r>
      <w:r w:rsidR="002767DC" w:rsidRPr="00B92621">
        <w:rPr>
          <w:rFonts w:ascii="Times New Roman" w:hAnsi="Times New Roman" w:cs="Times New Roman"/>
          <w:sz w:val="28"/>
          <w:szCs w:val="28"/>
          <w:lang w:val="uk-UA"/>
        </w:rPr>
        <w:t xml:space="preserve"> Oral Dis</w:t>
      </w:r>
      <w:r>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2002</w:t>
      </w:r>
      <w:r>
        <w:rPr>
          <w:rFonts w:ascii="Times New Roman" w:hAnsi="Times New Roman" w:cs="Times New Roman"/>
          <w:sz w:val="28"/>
          <w:szCs w:val="28"/>
        </w:rPr>
        <w:t>. – Vol.</w:t>
      </w:r>
      <w:r>
        <w:rPr>
          <w:rFonts w:ascii="Times New Roman" w:hAnsi="Times New Roman" w:cs="Times New Roman"/>
          <w:sz w:val="28"/>
          <w:szCs w:val="28"/>
          <w:lang w:val="uk-UA"/>
        </w:rPr>
        <w:t xml:space="preserve"> 8(6)</w:t>
      </w:r>
      <w:r>
        <w:rPr>
          <w:rFonts w:ascii="Times New Roman" w:hAnsi="Times New Roman" w:cs="Times New Roman"/>
          <w:sz w:val="28"/>
          <w:szCs w:val="28"/>
        </w:rPr>
        <w:t>. – P.</w:t>
      </w:r>
      <w:r w:rsidR="002767DC" w:rsidRPr="00B92621">
        <w:rPr>
          <w:rFonts w:ascii="Times New Roman" w:hAnsi="Times New Roman" w:cs="Times New Roman"/>
          <w:sz w:val="28"/>
          <w:szCs w:val="28"/>
          <w:lang w:val="uk-UA"/>
        </w:rPr>
        <w:t>282–286.</w:t>
      </w:r>
    </w:p>
    <w:p w14:paraId="30B013F4" w14:textId="07DD803C" w:rsidR="002767DC" w:rsidRPr="00B92621" w:rsidRDefault="0021385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Brancatisano F</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B92621">
        <w:rPr>
          <w:rFonts w:ascii="Times New Roman" w:hAnsi="Times New Roman" w:cs="Times New Roman"/>
          <w:sz w:val="28"/>
          <w:szCs w:val="28"/>
          <w:lang w:val="uk-UA"/>
        </w:rPr>
        <w:t xml:space="preserve"> Reduced human beta defensin 3 in individuals</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with periodontal disease / </w:t>
      </w:r>
      <w:r w:rsidRPr="00B92621">
        <w:rPr>
          <w:rFonts w:ascii="Times New Roman" w:hAnsi="Times New Roman" w:cs="Times New Roman"/>
          <w:sz w:val="28"/>
          <w:szCs w:val="28"/>
          <w:lang w:val="uk-UA"/>
        </w:rPr>
        <w:t>F</w:t>
      </w:r>
      <w:r>
        <w:rPr>
          <w:rFonts w:ascii="Times New Roman" w:hAnsi="Times New Roman" w:cs="Times New Roman"/>
          <w:sz w:val="28"/>
          <w:szCs w:val="28"/>
        </w:rPr>
        <w:t>.</w:t>
      </w:r>
      <w:r w:rsidRPr="00B92621">
        <w:rPr>
          <w:rFonts w:ascii="Times New Roman" w:hAnsi="Times New Roman" w:cs="Times New Roman"/>
          <w:sz w:val="28"/>
          <w:szCs w:val="28"/>
          <w:lang w:val="uk-UA"/>
        </w:rPr>
        <w:t>L</w:t>
      </w:r>
      <w:r>
        <w:rPr>
          <w:rFonts w:ascii="Times New Roman" w:hAnsi="Times New Roman" w:cs="Times New Roman"/>
          <w:sz w:val="28"/>
          <w:szCs w:val="28"/>
        </w:rPr>
        <w:t xml:space="preserve">. </w:t>
      </w:r>
      <w:r w:rsidRPr="00B92621">
        <w:rPr>
          <w:rFonts w:ascii="Times New Roman" w:hAnsi="Times New Roman" w:cs="Times New Roman"/>
          <w:sz w:val="28"/>
          <w:szCs w:val="28"/>
          <w:lang w:val="uk-UA"/>
        </w:rPr>
        <w:t>Brancatisano, G</w:t>
      </w:r>
      <w:r>
        <w:rPr>
          <w:rFonts w:ascii="Times New Roman" w:hAnsi="Times New Roman" w:cs="Times New Roman"/>
          <w:sz w:val="28"/>
          <w:szCs w:val="28"/>
        </w:rPr>
        <w:t xml:space="preserve">. </w:t>
      </w:r>
      <w:r w:rsidRPr="00B92621">
        <w:rPr>
          <w:rFonts w:ascii="Times New Roman" w:hAnsi="Times New Roman" w:cs="Times New Roman"/>
          <w:sz w:val="28"/>
          <w:szCs w:val="28"/>
          <w:lang w:val="uk-UA"/>
        </w:rPr>
        <w:t>Maisetta, F</w:t>
      </w:r>
      <w:r>
        <w:rPr>
          <w:rFonts w:ascii="Times New Roman" w:hAnsi="Times New Roman" w:cs="Times New Roman"/>
          <w:sz w:val="28"/>
          <w:szCs w:val="28"/>
        </w:rPr>
        <w:t>.</w:t>
      </w:r>
      <w:r w:rsidRPr="00B92621">
        <w:rPr>
          <w:rFonts w:ascii="Times New Roman" w:hAnsi="Times New Roman" w:cs="Times New Roman"/>
          <w:sz w:val="28"/>
          <w:szCs w:val="28"/>
          <w:lang w:val="uk-UA"/>
        </w:rPr>
        <w:t xml:space="preserve"> Barsotti</w:t>
      </w:r>
      <w:r>
        <w:rPr>
          <w:rFonts w:ascii="Times New Roman" w:hAnsi="Times New Roman" w:cs="Times New Roman"/>
          <w:sz w:val="28"/>
          <w:szCs w:val="28"/>
        </w:rPr>
        <w:t xml:space="preserve"> et al.</w:t>
      </w:r>
      <w:r w:rsidRPr="00B92621">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B92621">
        <w:rPr>
          <w:rFonts w:ascii="Times New Roman" w:hAnsi="Times New Roman" w:cs="Times New Roman"/>
          <w:sz w:val="28"/>
          <w:szCs w:val="28"/>
          <w:lang w:val="uk-UA"/>
        </w:rPr>
        <w:t xml:space="preserve"> J Dent Res</w:t>
      </w:r>
      <w:r>
        <w:rPr>
          <w:rFonts w:ascii="Times New Roman" w:hAnsi="Times New Roman" w:cs="Times New Roman"/>
          <w:sz w:val="28"/>
          <w:szCs w:val="28"/>
        </w:rPr>
        <w:t>. –</w:t>
      </w:r>
      <w:r w:rsidR="002767DC" w:rsidRPr="00B92621">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90(2)</w:t>
      </w:r>
      <w:r>
        <w:rPr>
          <w:rFonts w:ascii="Times New Roman" w:hAnsi="Times New Roman" w:cs="Times New Roman"/>
          <w:sz w:val="28"/>
          <w:szCs w:val="28"/>
        </w:rPr>
        <w:t>. – P.</w:t>
      </w:r>
      <w:r w:rsidR="002767DC" w:rsidRPr="00B92621">
        <w:rPr>
          <w:rFonts w:ascii="Times New Roman" w:hAnsi="Times New Roman" w:cs="Times New Roman"/>
          <w:sz w:val="28"/>
          <w:szCs w:val="28"/>
          <w:lang w:val="uk-UA"/>
        </w:rPr>
        <w:t>241–245.</w:t>
      </w:r>
    </w:p>
    <w:p w14:paraId="6DFA324F" w14:textId="0D4CE7AC" w:rsidR="002767DC" w:rsidRPr="00B92621"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Wang D</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Antibody response after single-visit full-mouth ultrasonic</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debrideme</w:t>
      </w:r>
      <w:r w:rsidR="00213857">
        <w:rPr>
          <w:rFonts w:ascii="Times New Roman" w:hAnsi="Times New Roman" w:cs="Times New Roman"/>
          <w:sz w:val="28"/>
          <w:szCs w:val="28"/>
          <w:lang w:val="uk-UA"/>
        </w:rPr>
        <w:t xml:space="preserve">nt versus quadrant-wise therapy / </w:t>
      </w:r>
      <w:r w:rsidR="00213857" w:rsidRPr="00B92621">
        <w:rPr>
          <w:rFonts w:ascii="Times New Roman" w:hAnsi="Times New Roman" w:cs="Times New Roman"/>
          <w:sz w:val="28"/>
          <w:szCs w:val="28"/>
          <w:lang w:val="uk-UA"/>
        </w:rPr>
        <w:t>D</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Wang, G</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Koshy, T</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Nagasawa, Y</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 xml:space="preserve">Kawashima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J Clin Periodontol</w:t>
      </w:r>
      <w:r w:rsidR="00213857">
        <w:rPr>
          <w:rFonts w:ascii="Times New Roman" w:hAnsi="Times New Roman" w:cs="Times New Roman"/>
          <w:sz w:val="28"/>
          <w:szCs w:val="28"/>
        </w:rPr>
        <w:t>. –</w:t>
      </w:r>
      <w:r w:rsidRPr="00B92621">
        <w:rPr>
          <w:rFonts w:ascii="Times New Roman" w:hAnsi="Times New Roman" w:cs="Times New Roman"/>
          <w:sz w:val="28"/>
          <w:szCs w:val="28"/>
          <w:lang w:val="uk-UA"/>
        </w:rPr>
        <w:t xml:space="preserve"> 2006</w:t>
      </w:r>
      <w:r w:rsidR="00213857">
        <w:rPr>
          <w:rFonts w:ascii="Times New Roman" w:hAnsi="Times New Roman" w:cs="Times New Roman"/>
          <w:sz w:val="28"/>
          <w:szCs w:val="28"/>
        </w:rPr>
        <w:t>. – Vol.</w:t>
      </w:r>
      <w:r>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 xml:space="preserve">33(9).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632–638.</w:t>
      </w:r>
    </w:p>
    <w:p w14:paraId="3268E328" w14:textId="216EA70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Rashkova M</w:t>
      </w:r>
      <w:r w:rsidR="00213857">
        <w:rPr>
          <w:rFonts w:ascii="Times New Roman" w:hAnsi="Times New Roman" w:cs="Times New Roman"/>
          <w:sz w:val="28"/>
          <w:szCs w:val="28"/>
        </w:rPr>
        <w:t>.</w:t>
      </w:r>
      <w:r w:rsidRPr="00B92621">
        <w:rPr>
          <w:rFonts w:ascii="Times New Roman" w:hAnsi="Times New Roman" w:cs="Times New Roman"/>
          <w:sz w:val="28"/>
          <w:szCs w:val="28"/>
          <w:lang w:val="uk-UA"/>
        </w:rPr>
        <w:t>P</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Gingival disease and secretory</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immunoglobulin a in no</w:t>
      </w:r>
      <w:r w:rsidR="00213857">
        <w:rPr>
          <w:rFonts w:ascii="Times New Roman" w:hAnsi="Times New Roman" w:cs="Times New Roman"/>
          <w:sz w:val="28"/>
          <w:szCs w:val="28"/>
          <w:lang w:val="uk-UA"/>
        </w:rPr>
        <w:t xml:space="preserve">n-stimulated saliva in children / </w:t>
      </w:r>
      <w:r w:rsidR="00213857" w:rsidRPr="00B92621">
        <w:rPr>
          <w:rFonts w:ascii="Times New Roman" w:hAnsi="Times New Roman" w:cs="Times New Roman"/>
          <w:sz w:val="28"/>
          <w:szCs w:val="28"/>
          <w:lang w:val="uk-UA"/>
        </w:rPr>
        <w:t>M</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P</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Rashkova, A</w:t>
      </w:r>
      <w:r w:rsidR="00213857">
        <w:rPr>
          <w:rFonts w:ascii="Times New Roman" w:hAnsi="Times New Roman" w:cs="Times New Roman"/>
          <w:sz w:val="28"/>
          <w:szCs w:val="28"/>
        </w:rPr>
        <w:t>.</w:t>
      </w:r>
      <w:r w:rsidR="00213857">
        <w:rPr>
          <w:rFonts w:ascii="Times New Roman" w:hAnsi="Times New Roman" w:cs="Times New Roman"/>
          <w:sz w:val="28"/>
          <w:szCs w:val="28"/>
          <w:lang w:val="uk-UA"/>
        </w:rPr>
        <w:t>A.</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 xml:space="preserve">Toncheva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Folia Med (Plovdiv)</w:t>
      </w:r>
      <w:r w:rsidR="00213857">
        <w:rPr>
          <w:rFonts w:ascii="Times New Roman" w:hAnsi="Times New Roman" w:cs="Times New Roman"/>
          <w:sz w:val="28"/>
          <w:szCs w:val="28"/>
        </w:rPr>
        <w:t>. –</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2010</w:t>
      </w:r>
      <w:r w:rsidR="00213857">
        <w:rPr>
          <w:rFonts w:ascii="Times New Roman" w:hAnsi="Times New Roman" w:cs="Times New Roman"/>
          <w:sz w:val="28"/>
          <w:szCs w:val="28"/>
        </w:rPr>
        <w:t>. – Vol.</w:t>
      </w:r>
      <w:r w:rsidR="00213857">
        <w:rPr>
          <w:rFonts w:ascii="Times New Roman" w:hAnsi="Times New Roman" w:cs="Times New Roman"/>
          <w:sz w:val="28"/>
          <w:szCs w:val="28"/>
          <w:lang w:val="uk-UA"/>
        </w:rPr>
        <w:t xml:space="preserve"> 52(4).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48–55.</w:t>
      </w:r>
    </w:p>
    <w:p w14:paraId="7CDF4314" w14:textId="137B5385" w:rsidR="002767DC" w:rsidRPr="00B92621"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Darby I</w:t>
      </w:r>
      <w:r w:rsidR="00213857">
        <w:rPr>
          <w:rFonts w:ascii="Times New Roman" w:hAnsi="Times New Roman" w:cs="Times New Roman"/>
          <w:sz w:val="28"/>
          <w:szCs w:val="28"/>
        </w:rPr>
        <w:t>.</w:t>
      </w:r>
      <w:r w:rsidRPr="00B92621">
        <w:rPr>
          <w:rFonts w:ascii="Times New Roman" w:hAnsi="Times New Roman" w:cs="Times New Roman"/>
          <w:sz w:val="28"/>
          <w:szCs w:val="28"/>
          <w:lang w:val="uk-UA"/>
        </w:rPr>
        <w:t>B</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Left-to-right distribution of periodontal diseas</w:t>
      </w:r>
      <w:r w:rsidR="00213857">
        <w:rPr>
          <w:rFonts w:ascii="Times New Roman" w:hAnsi="Times New Roman" w:cs="Times New Roman"/>
          <w:sz w:val="28"/>
          <w:szCs w:val="28"/>
          <w:lang w:val="uk-UA"/>
        </w:rPr>
        <w:t xml:space="preserve">e / </w:t>
      </w:r>
      <w:r w:rsidR="00213857" w:rsidRPr="00B92621">
        <w:rPr>
          <w:rFonts w:ascii="Times New Roman" w:hAnsi="Times New Roman" w:cs="Times New Roman"/>
          <w:sz w:val="28"/>
          <w:szCs w:val="28"/>
          <w:lang w:val="uk-UA"/>
        </w:rPr>
        <w:t>I</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B</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Darby, A</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Polster, J</w:t>
      </w:r>
      <w:r w:rsidR="00213857">
        <w:rPr>
          <w:rFonts w:ascii="Times New Roman" w:hAnsi="Times New Roman" w:cs="Times New Roman"/>
          <w:sz w:val="28"/>
          <w:szCs w:val="28"/>
        </w:rPr>
        <w:t>.</w:t>
      </w:r>
      <w:r w:rsidR="00213857" w:rsidRPr="00B92621">
        <w:rPr>
          <w:rFonts w:ascii="Times New Roman" w:hAnsi="Times New Roman" w:cs="Times New Roman"/>
          <w:sz w:val="28"/>
          <w:szCs w:val="28"/>
          <w:lang w:val="uk-UA"/>
        </w:rPr>
        <w:t>S</w:t>
      </w:r>
      <w:r w:rsidR="00213857">
        <w:rPr>
          <w:rFonts w:ascii="Times New Roman" w:hAnsi="Times New Roman" w:cs="Times New Roman"/>
          <w:sz w:val="28"/>
          <w:szCs w:val="28"/>
        </w:rPr>
        <w:t xml:space="preserve">. </w:t>
      </w:r>
      <w:r w:rsidR="00213857" w:rsidRPr="00B92621">
        <w:rPr>
          <w:rFonts w:ascii="Times New Roman" w:hAnsi="Times New Roman" w:cs="Times New Roman"/>
          <w:sz w:val="28"/>
          <w:szCs w:val="28"/>
          <w:lang w:val="uk-UA"/>
        </w:rPr>
        <w:t>Gan</w:t>
      </w:r>
      <w:r w:rsidR="00213857">
        <w:rPr>
          <w:rFonts w:ascii="Times New Roman" w:hAnsi="Times New Roman" w:cs="Times New Roman"/>
          <w:sz w:val="28"/>
          <w:szCs w:val="28"/>
        </w:rPr>
        <w:t xml:space="preserve"> et al.</w:t>
      </w:r>
      <w:r w:rsidR="00213857" w:rsidRPr="00B92621">
        <w:rPr>
          <w:rFonts w:ascii="Times New Roman" w:hAnsi="Times New Roman" w:cs="Times New Roman"/>
          <w:sz w:val="28"/>
          <w:szCs w:val="28"/>
          <w:lang w:val="uk-UA"/>
        </w:rPr>
        <w:t xml:space="preserve"> </w:t>
      </w:r>
      <w:r w:rsidR="00213857">
        <w:rPr>
          <w:rFonts w:ascii="Times New Roman" w:hAnsi="Times New Roman" w:cs="Times New Roman"/>
          <w:sz w:val="28"/>
          <w:szCs w:val="28"/>
        </w:rPr>
        <w:t>//</w:t>
      </w:r>
      <w:r w:rsidRPr="00B92621">
        <w:rPr>
          <w:rFonts w:ascii="Times New Roman" w:hAnsi="Times New Roman" w:cs="Times New Roman"/>
          <w:sz w:val="28"/>
          <w:szCs w:val="28"/>
          <w:lang w:val="uk-UA"/>
        </w:rPr>
        <w:t xml:space="preserve"> Int J</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Dent Hyg</w:t>
      </w:r>
      <w:r w:rsidR="00213857">
        <w:rPr>
          <w:rFonts w:ascii="Times New Roman" w:hAnsi="Times New Roman" w:cs="Times New Roman"/>
          <w:sz w:val="28"/>
          <w:szCs w:val="28"/>
        </w:rPr>
        <w:t>. –</w:t>
      </w:r>
      <w:r w:rsidRPr="00B92621">
        <w:rPr>
          <w:rFonts w:ascii="Times New Roman" w:hAnsi="Times New Roman" w:cs="Times New Roman"/>
          <w:sz w:val="28"/>
          <w:szCs w:val="28"/>
          <w:lang w:val="uk-UA"/>
        </w:rPr>
        <w:t xml:space="preserve"> 2012</w:t>
      </w:r>
      <w:r w:rsidR="00213857">
        <w:rPr>
          <w:rFonts w:ascii="Times New Roman" w:hAnsi="Times New Roman" w:cs="Times New Roman"/>
          <w:sz w:val="28"/>
          <w:szCs w:val="28"/>
        </w:rPr>
        <w:t>. – Vol.</w:t>
      </w:r>
      <w:r w:rsidR="00213857">
        <w:rPr>
          <w:rFonts w:ascii="Times New Roman" w:hAnsi="Times New Roman" w:cs="Times New Roman"/>
          <w:sz w:val="28"/>
          <w:szCs w:val="28"/>
          <w:lang w:val="uk-UA"/>
        </w:rPr>
        <w:t xml:space="preserve"> 10(1)</w:t>
      </w:r>
      <w:r w:rsidR="00213857">
        <w:rPr>
          <w:rFonts w:ascii="Times New Roman" w:hAnsi="Times New Roman" w:cs="Times New Roman"/>
          <w:sz w:val="28"/>
          <w:szCs w:val="28"/>
        </w:rPr>
        <w:t xml:space="preserve">. – P. </w:t>
      </w:r>
      <w:r w:rsidRPr="00B92621">
        <w:rPr>
          <w:rFonts w:ascii="Times New Roman" w:hAnsi="Times New Roman" w:cs="Times New Roman"/>
          <w:sz w:val="28"/>
          <w:szCs w:val="28"/>
          <w:lang w:val="uk-UA"/>
        </w:rPr>
        <w:t>74–79.</w:t>
      </w:r>
    </w:p>
    <w:p w14:paraId="1C1D5665" w14:textId="3FBECBF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92621">
        <w:rPr>
          <w:rFonts w:ascii="Times New Roman" w:hAnsi="Times New Roman" w:cs="Times New Roman"/>
          <w:sz w:val="28"/>
          <w:szCs w:val="28"/>
          <w:lang w:val="uk-UA"/>
        </w:rPr>
        <w:t>C</w:t>
      </w:r>
      <w:r w:rsidR="00213857">
        <w:rPr>
          <w:rFonts w:ascii="Times New Roman" w:hAnsi="Times New Roman" w:cs="Times New Roman"/>
          <w:sz w:val="28"/>
          <w:szCs w:val="28"/>
          <w:lang w:val="uk-UA"/>
        </w:rPr>
        <w:t>ommisso L.</w:t>
      </w:r>
      <w:r w:rsidRPr="00B92621">
        <w:rPr>
          <w:rFonts w:ascii="Times New Roman" w:hAnsi="Times New Roman" w:cs="Times New Roman"/>
          <w:sz w:val="28"/>
          <w:szCs w:val="28"/>
          <w:lang w:val="uk-UA"/>
        </w:rPr>
        <w:t xml:space="preserve"> Periodontal disease and oral</w:t>
      </w:r>
      <w:r>
        <w:rPr>
          <w:rFonts w:ascii="Times New Roman" w:hAnsi="Times New Roman" w:cs="Times New Roman"/>
          <w:sz w:val="28"/>
          <w:szCs w:val="28"/>
          <w:lang w:val="uk-UA"/>
        </w:rPr>
        <w:t xml:space="preserve"> </w:t>
      </w:r>
      <w:r w:rsidRPr="00B92621">
        <w:rPr>
          <w:rFonts w:ascii="Times New Roman" w:hAnsi="Times New Roman" w:cs="Times New Roman"/>
          <w:sz w:val="28"/>
          <w:szCs w:val="28"/>
          <w:lang w:val="uk-UA"/>
        </w:rPr>
        <w:t xml:space="preserve">hygiene habits </w:t>
      </w:r>
      <w:r w:rsidR="00213857">
        <w:rPr>
          <w:rFonts w:ascii="Times New Roman" w:hAnsi="Times New Roman" w:cs="Times New Roman"/>
          <w:sz w:val="28"/>
          <w:szCs w:val="28"/>
          <w:lang w:val="uk-UA"/>
        </w:rPr>
        <w:t xml:space="preserve">in a type 2 diabetic population / </w:t>
      </w:r>
      <w:r w:rsidR="00213857" w:rsidRPr="00B92621">
        <w:rPr>
          <w:rFonts w:ascii="Times New Roman" w:hAnsi="Times New Roman" w:cs="Times New Roman"/>
          <w:sz w:val="28"/>
          <w:szCs w:val="28"/>
          <w:lang w:val="uk-UA"/>
        </w:rPr>
        <w:t>L</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Commisso, M</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Monami, E</w:t>
      </w:r>
      <w:r w:rsidR="00213857" w:rsidRPr="00213857">
        <w:rPr>
          <w:rFonts w:ascii="Times New Roman" w:hAnsi="Times New Roman" w:cs="Times New Roman"/>
          <w:sz w:val="28"/>
          <w:szCs w:val="28"/>
          <w:lang w:val="uk-UA"/>
        </w:rPr>
        <w:t xml:space="preserve">. </w:t>
      </w:r>
      <w:r w:rsidR="00213857" w:rsidRPr="00B92621">
        <w:rPr>
          <w:rFonts w:ascii="Times New Roman" w:hAnsi="Times New Roman" w:cs="Times New Roman"/>
          <w:sz w:val="28"/>
          <w:szCs w:val="28"/>
          <w:lang w:val="uk-UA"/>
        </w:rPr>
        <w:t xml:space="preserve">Mannucci </w:t>
      </w:r>
      <w:r w:rsidR="00213857" w:rsidRPr="00213857">
        <w:rPr>
          <w:rFonts w:ascii="Times New Roman" w:hAnsi="Times New Roman" w:cs="Times New Roman"/>
          <w:sz w:val="28"/>
          <w:szCs w:val="28"/>
          <w:lang w:val="uk-UA"/>
        </w:rPr>
        <w:t>//</w:t>
      </w:r>
      <w:r w:rsidRPr="00B92621">
        <w:rPr>
          <w:rFonts w:ascii="Times New Roman" w:hAnsi="Times New Roman" w:cs="Times New Roman"/>
          <w:sz w:val="28"/>
          <w:szCs w:val="28"/>
          <w:lang w:val="uk-UA"/>
        </w:rPr>
        <w:t xml:space="preserve"> Int J Dent Hyg</w:t>
      </w:r>
      <w:r w:rsidR="00213857" w:rsidRPr="00213857">
        <w:rPr>
          <w:rFonts w:ascii="Times New Roman" w:hAnsi="Times New Roman" w:cs="Times New Roman"/>
          <w:sz w:val="28"/>
          <w:szCs w:val="28"/>
          <w:lang w:val="uk-UA"/>
        </w:rPr>
        <w:t>. –</w:t>
      </w:r>
      <w:r w:rsidR="00213857">
        <w:rPr>
          <w:rFonts w:ascii="Times New Roman" w:hAnsi="Times New Roman" w:cs="Times New Roman"/>
          <w:sz w:val="28"/>
          <w:szCs w:val="28"/>
          <w:lang w:val="uk-UA"/>
        </w:rPr>
        <w:t xml:space="preserve"> 2011.</w:t>
      </w:r>
      <w:r w:rsidR="00213857" w:rsidRPr="00213857">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w:t>
      </w:r>
      <w:r w:rsidR="00213857">
        <w:rPr>
          <w:rFonts w:ascii="Times New Roman" w:hAnsi="Times New Roman" w:cs="Times New Roman"/>
          <w:sz w:val="28"/>
          <w:szCs w:val="28"/>
        </w:rPr>
        <w:t xml:space="preserve"> Vol.</w:t>
      </w:r>
      <w:r>
        <w:rPr>
          <w:rFonts w:ascii="Times New Roman" w:hAnsi="Times New Roman" w:cs="Times New Roman"/>
          <w:sz w:val="28"/>
          <w:szCs w:val="28"/>
          <w:lang w:val="uk-UA"/>
        </w:rPr>
        <w:t xml:space="preserve"> </w:t>
      </w:r>
      <w:r w:rsidR="00213857">
        <w:rPr>
          <w:rFonts w:ascii="Times New Roman" w:hAnsi="Times New Roman" w:cs="Times New Roman"/>
          <w:sz w:val="28"/>
          <w:szCs w:val="28"/>
          <w:lang w:val="uk-UA"/>
        </w:rPr>
        <w:t xml:space="preserve">9(1). </w:t>
      </w:r>
      <w:r w:rsidR="00213857">
        <w:rPr>
          <w:rFonts w:ascii="Times New Roman" w:hAnsi="Times New Roman" w:cs="Times New Roman"/>
          <w:sz w:val="28"/>
          <w:szCs w:val="28"/>
        </w:rPr>
        <w:t>– P.</w:t>
      </w:r>
      <w:r w:rsidRPr="00B92621">
        <w:rPr>
          <w:rFonts w:ascii="Times New Roman" w:hAnsi="Times New Roman" w:cs="Times New Roman"/>
          <w:sz w:val="28"/>
          <w:szCs w:val="28"/>
          <w:lang w:val="uk-UA"/>
        </w:rPr>
        <w:t>68–73.</w:t>
      </w:r>
    </w:p>
    <w:p w14:paraId="2C882B8C" w14:textId="77777777" w:rsidR="002767DC" w:rsidRPr="008A193A"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Шилин Д.Е. Витамин-гормон D в клинике XXI века:</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плейотропные эффекты и лабораторная оценка (лекция)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Клиническая лабораторная диагностика. — 2010. — № 12.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С. 17-23.</w:t>
      </w:r>
    </w:p>
    <w:p w14:paraId="7EFB5EF1" w14:textId="33F799DF" w:rsidR="002767DC" w:rsidRPr="008A193A" w:rsidRDefault="0021385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Stein S.H.</w:t>
      </w:r>
      <w:r w:rsidR="002767DC" w:rsidRPr="008A193A">
        <w:rPr>
          <w:rFonts w:ascii="Times New Roman" w:hAnsi="Times New Roman" w:cs="Times New Roman"/>
          <w:sz w:val="28"/>
          <w:szCs w:val="28"/>
          <w:lang w:val="uk-UA"/>
        </w:rPr>
        <w:t xml:space="preserve"> Vitamin D and its impact on oral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health — an update</w:t>
      </w:r>
      <w:r>
        <w:rPr>
          <w:rFonts w:ascii="Times New Roman" w:hAnsi="Times New Roman" w:cs="Times New Roman"/>
          <w:sz w:val="28"/>
          <w:szCs w:val="28"/>
        </w:rPr>
        <w:t xml:space="preserve"> / </w:t>
      </w:r>
      <w:r>
        <w:rPr>
          <w:rFonts w:ascii="Times New Roman" w:hAnsi="Times New Roman" w:cs="Times New Roman"/>
          <w:sz w:val="28"/>
          <w:szCs w:val="28"/>
          <w:lang w:val="uk-UA"/>
        </w:rPr>
        <w:t>S.H.</w:t>
      </w:r>
      <w:r>
        <w:rPr>
          <w:rFonts w:ascii="Times New Roman" w:hAnsi="Times New Roman" w:cs="Times New Roman"/>
          <w:sz w:val="28"/>
          <w:szCs w:val="28"/>
        </w:rPr>
        <w:t xml:space="preserve"> </w:t>
      </w:r>
      <w:r>
        <w:rPr>
          <w:rFonts w:ascii="Times New Roman" w:hAnsi="Times New Roman" w:cs="Times New Roman"/>
          <w:sz w:val="28"/>
          <w:szCs w:val="28"/>
          <w:lang w:val="uk-UA"/>
        </w:rPr>
        <w:t>Stein, D.A.</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Tipton </w:t>
      </w:r>
      <w:r w:rsidR="002767DC" w:rsidRPr="008A193A">
        <w:rPr>
          <w:rFonts w:ascii="Times New Roman" w:hAnsi="Times New Roman" w:cs="Times New Roman"/>
          <w:sz w:val="28"/>
          <w:szCs w:val="28"/>
          <w:lang w:val="uk-UA"/>
        </w:rPr>
        <w:t xml:space="preserve">// J. Tenn. Dent. Assoc. — 2011. — </w:t>
      </w:r>
      <w:r w:rsidR="00F843A0">
        <w:rPr>
          <w:rFonts w:ascii="Times New Roman" w:hAnsi="Times New Roman" w:cs="Times New Roman"/>
          <w:sz w:val="28"/>
          <w:szCs w:val="28"/>
        </w:rPr>
        <w:t>Vol.</w:t>
      </w:r>
      <w:r w:rsidR="002767DC" w:rsidRPr="008A193A">
        <w:rPr>
          <w:rFonts w:ascii="Times New Roman" w:hAnsi="Times New Roman" w:cs="Times New Roman"/>
          <w:sz w:val="28"/>
          <w:szCs w:val="28"/>
          <w:lang w:val="uk-UA"/>
        </w:rPr>
        <w:t>91(2). —</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Р. 30-33.</w:t>
      </w:r>
    </w:p>
    <w:p w14:paraId="0C762F87" w14:textId="21BB92B3" w:rsidR="002767DC" w:rsidRPr="008A193A" w:rsidRDefault="0021385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Shapses S.A. </w:t>
      </w:r>
      <w:r w:rsidR="002767DC" w:rsidRPr="008A193A">
        <w:rPr>
          <w:rFonts w:ascii="Times New Roman" w:hAnsi="Times New Roman" w:cs="Times New Roman"/>
          <w:sz w:val="28"/>
          <w:szCs w:val="28"/>
          <w:lang w:val="uk-UA"/>
        </w:rPr>
        <w:t>Vitamin D and prevention of cardiovascular</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disease and diabetes: why the evidence falls short</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S.A.</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Shapses, J.E.</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 xml:space="preserve">Manson </w:t>
      </w:r>
      <w:r w:rsidR="002767DC" w:rsidRPr="008A193A">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 xml:space="preserve">JAMA. — 2011. — </w:t>
      </w:r>
      <w:r w:rsidR="00F843A0">
        <w:rPr>
          <w:rFonts w:ascii="Times New Roman" w:hAnsi="Times New Roman" w:cs="Times New Roman"/>
          <w:sz w:val="28"/>
          <w:szCs w:val="28"/>
        </w:rPr>
        <w:t>Vol.</w:t>
      </w:r>
      <w:r w:rsidR="002767DC" w:rsidRPr="008A193A">
        <w:rPr>
          <w:rFonts w:ascii="Times New Roman" w:hAnsi="Times New Roman" w:cs="Times New Roman"/>
          <w:sz w:val="28"/>
          <w:szCs w:val="28"/>
          <w:lang w:val="uk-UA"/>
        </w:rPr>
        <w:t>305(24). — Р. 2565-2566.</w:t>
      </w:r>
    </w:p>
    <w:p w14:paraId="2D09F7C8" w14:textId="5D6A531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Munger K.L. Serum 25-hydroxyvitamin</w:t>
      </w:r>
      <w:r>
        <w:rPr>
          <w:rFonts w:ascii="Times New Roman" w:hAnsi="Times New Roman" w:cs="Times New Roman"/>
          <w:sz w:val="28"/>
          <w:szCs w:val="28"/>
          <w:lang w:val="uk-UA"/>
        </w:rPr>
        <w:t xml:space="preserve"> D </w:t>
      </w:r>
      <w:r w:rsidRPr="008A193A">
        <w:rPr>
          <w:rFonts w:ascii="Times New Roman" w:hAnsi="Times New Roman" w:cs="Times New Roman"/>
          <w:sz w:val="28"/>
          <w:szCs w:val="28"/>
          <w:lang w:val="uk-UA"/>
        </w:rPr>
        <w:t>levels and risk of multiple sclerosis</w:t>
      </w:r>
      <w:r w:rsidR="00213857">
        <w:rPr>
          <w:rFonts w:ascii="Times New Roman" w:hAnsi="Times New Roman" w:cs="Times New Roman"/>
          <w:sz w:val="28"/>
          <w:szCs w:val="28"/>
        </w:rPr>
        <w:t xml:space="preserve"> / </w:t>
      </w:r>
      <w:r w:rsidR="00F843A0" w:rsidRPr="008A193A">
        <w:rPr>
          <w:rFonts w:ascii="Times New Roman" w:hAnsi="Times New Roman" w:cs="Times New Roman"/>
          <w:sz w:val="28"/>
          <w:szCs w:val="28"/>
          <w:lang w:val="uk-UA"/>
        </w:rPr>
        <w:t>K.L.</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 xml:space="preserve">Munger, </w:t>
      </w:r>
      <w:r w:rsidR="00F843A0" w:rsidRPr="008A193A">
        <w:rPr>
          <w:rFonts w:ascii="Times New Roman" w:hAnsi="Times New Roman" w:cs="Times New Roman"/>
          <w:sz w:val="28"/>
          <w:szCs w:val="28"/>
          <w:lang w:val="uk-UA"/>
        </w:rPr>
        <w:t>L.I.</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 xml:space="preserve">Levin, </w:t>
      </w:r>
      <w:r w:rsidR="00F843A0" w:rsidRPr="008A193A">
        <w:rPr>
          <w:rFonts w:ascii="Times New Roman" w:hAnsi="Times New Roman" w:cs="Times New Roman"/>
          <w:sz w:val="28"/>
          <w:szCs w:val="28"/>
          <w:lang w:val="uk-UA"/>
        </w:rPr>
        <w:t>B.W.</w:t>
      </w:r>
      <w:r w:rsidR="00F843A0">
        <w:rPr>
          <w:rFonts w:ascii="Times New Roman" w:hAnsi="Times New Roman" w:cs="Times New Roman"/>
          <w:sz w:val="28"/>
          <w:szCs w:val="28"/>
        </w:rPr>
        <w:t xml:space="preserve"> </w:t>
      </w:r>
      <w:r w:rsidR="00213857" w:rsidRPr="008A193A">
        <w:rPr>
          <w:rFonts w:ascii="Times New Roman" w:hAnsi="Times New Roman" w:cs="Times New Roman"/>
          <w:sz w:val="28"/>
          <w:szCs w:val="28"/>
          <w:lang w:val="uk-UA"/>
        </w:rPr>
        <w:t>Hollis et al.</w:t>
      </w:r>
      <w:r w:rsidRPr="008A193A">
        <w:rPr>
          <w:rFonts w:ascii="Times New Roman" w:hAnsi="Times New Roman" w:cs="Times New Roman"/>
          <w:sz w:val="28"/>
          <w:szCs w:val="28"/>
          <w:lang w:val="uk-UA"/>
        </w:rPr>
        <w:t xml:space="preserve"> // JAMA.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2006. — </w:t>
      </w:r>
      <w:r w:rsidR="00F843A0">
        <w:rPr>
          <w:rFonts w:ascii="Times New Roman" w:hAnsi="Times New Roman" w:cs="Times New Roman"/>
          <w:sz w:val="28"/>
          <w:szCs w:val="28"/>
        </w:rPr>
        <w:t>Vol.</w:t>
      </w:r>
      <w:r w:rsidRPr="008A193A">
        <w:rPr>
          <w:rFonts w:ascii="Times New Roman" w:hAnsi="Times New Roman" w:cs="Times New Roman"/>
          <w:sz w:val="28"/>
          <w:szCs w:val="28"/>
          <w:lang w:val="uk-UA"/>
        </w:rPr>
        <w:t>296(23). — Р. 2832-2838.</w:t>
      </w:r>
    </w:p>
    <w:p w14:paraId="72736DCC" w14:textId="632CAF21" w:rsidR="002767DC" w:rsidRPr="008A193A"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Dietr</w:t>
      </w:r>
      <w:r w:rsidR="00F843A0">
        <w:rPr>
          <w:rFonts w:ascii="Times New Roman" w:hAnsi="Times New Roman" w:cs="Times New Roman"/>
          <w:sz w:val="28"/>
          <w:szCs w:val="28"/>
          <w:lang w:val="uk-UA"/>
        </w:rPr>
        <w:t xml:space="preserve">ich T. </w:t>
      </w:r>
      <w:r w:rsidRPr="008A193A">
        <w:rPr>
          <w:rFonts w:ascii="Times New Roman" w:hAnsi="Times New Roman" w:cs="Times New Roman"/>
          <w:sz w:val="28"/>
          <w:szCs w:val="28"/>
          <w:lang w:val="uk-UA"/>
        </w:rPr>
        <w:t>Association between serum concentrations of 25-hydroxyvitamin</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D3 and periodontal disease in the US population</w:t>
      </w:r>
      <w:r w:rsidR="00F843A0">
        <w:rPr>
          <w:rFonts w:ascii="Times New Roman" w:hAnsi="Times New Roman" w:cs="Times New Roman"/>
          <w:sz w:val="28"/>
          <w:szCs w:val="28"/>
        </w:rPr>
        <w:t xml:space="preserve"> / </w:t>
      </w:r>
      <w:r w:rsidR="00F843A0" w:rsidRPr="008A193A">
        <w:rPr>
          <w:rFonts w:ascii="Times New Roman" w:hAnsi="Times New Roman" w:cs="Times New Roman"/>
          <w:sz w:val="28"/>
          <w:szCs w:val="28"/>
          <w:lang w:val="uk-UA"/>
        </w:rPr>
        <w:t>T.</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Dietrich, K.J.</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 xml:space="preserve">Joshipura, </w:t>
      </w:r>
      <w:r w:rsidR="00F843A0">
        <w:rPr>
          <w:rFonts w:ascii="Times New Roman" w:hAnsi="Times New Roman" w:cs="Times New Roman"/>
          <w:sz w:val="28"/>
          <w:szCs w:val="28"/>
          <w:lang w:val="uk-UA"/>
        </w:rPr>
        <w:t>B.</w:t>
      </w:r>
      <w:r w:rsidR="00F843A0">
        <w:rPr>
          <w:rFonts w:ascii="Times New Roman" w:hAnsi="Times New Roman" w:cs="Times New Roman"/>
          <w:sz w:val="28"/>
          <w:szCs w:val="28"/>
        </w:rPr>
        <w:t xml:space="preserve"> </w:t>
      </w:r>
      <w:r w:rsidR="00F843A0" w:rsidRPr="008A193A">
        <w:rPr>
          <w:rFonts w:ascii="Times New Roman" w:hAnsi="Times New Roman" w:cs="Times New Roman"/>
          <w:sz w:val="28"/>
          <w:szCs w:val="28"/>
          <w:lang w:val="uk-UA"/>
        </w:rPr>
        <w:t>Dawson-H</w:t>
      </w:r>
      <w:r w:rsidR="00F843A0">
        <w:rPr>
          <w:rFonts w:ascii="Times New Roman" w:hAnsi="Times New Roman" w:cs="Times New Roman"/>
          <w:sz w:val="28"/>
          <w:szCs w:val="28"/>
          <w:lang w:val="uk-UA"/>
        </w:rPr>
        <w:t>ughes et al.</w:t>
      </w:r>
      <w:r w:rsidRPr="008A19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Am. J. Clin. Nutr. — 2004. — </w:t>
      </w:r>
      <w:r w:rsidR="00F843A0">
        <w:rPr>
          <w:rFonts w:ascii="Times New Roman" w:hAnsi="Times New Roman" w:cs="Times New Roman"/>
          <w:sz w:val="28"/>
          <w:szCs w:val="28"/>
        </w:rPr>
        <w:t xml:space="preserve">Vol. </w:t>
      </w:r>
      <w:r w:rsidRPr="008A193A">
        <w:rPr>
          <w:rFonts w:ascii="Times New Roman" w:hAnsi="Times New Roman" w:cs="Times New Roman"/>
          <w:sz w:val="28"/>
          <w:szCs w:val="28"/>
          <w:lang w:val="uk-UA"/>
        </w:rPr>
        <w:t>80(1). — Р. 108-113.</w:t>
      </w:r>
    </w:p>
    <w:p w14:paraId="586D70E9" w14:textId="0B1638D1" w:rsidR="002767DC" w:rsidRDefault="002767DC" w:rsidP="00F843A0">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Krall E.A., Wehler C., Garcia R.I., Harris S.S., Dawson-</w:t>
      </w:r>
      <w:r w:rsidRPr="00F843A0">
        <w:rPr>
          <w:rFonts w:ascii="Times New Roman" w:hAnsi="Times New Roman" w:cs="Times New Roman"/>
          <w:sz w:val="28"/>
          <w:szCs w:val="28"/>
          <w:lang w:val="uk-UA"/>
        </w:rPr>
        <w:t xml:space="preserve">Hughes B. Calcium and vitamin D supplements reduce tooth loss in the elderly // Am. J. Med. — 2001. — </w:t>
      </w:r>
      <w:r w:rsidR="001D2C30">
        <w:rPr>
          <w:rFonts w:ascii="Times New Roman" w:hAnsi="Times New Roman" w:cs="Times New Roman"/>
          <w:sz w:val="28"/>
          <w:szCs w:val="28"/>
        </w:rPr>
        <w:t>Vol.</w:t>
      </w:r>
      <w:r w:rsidRPr="00F843A0">
        <w:rPr>
          <w:rFonts w:ascii="Times New Roman" w:hAnsi="Times New Roman" w:cs="Times New Roman"/>
          <w:sz w:val="28"/>
          <w:szCs w:val="28"/>
          <w:lang w:val="uk-UA"/>
        </w:rPr>
        <w:t>111(6). — Р. 452-456.</w:t>
      </w:r>
    </w:p>
    <w:p w14:paraId="7F6F3B72" w14:textId="2F6175CA" w:rsidR="00F843A0" w:rsidRPr="00F843A0" w:rsidRDefault="003F04BD" w:rsidP="003F04BD">
      <w:pPr>
        <w:pStyle w:val="ListParagraph"/>
        <w:numPr>
          <w:ilvl w:val="0"/>
          <w:numId w:val="9"/>
        </w:numPr>
        <w:tabs>
          <w:tab w:val="left" w:pos="0"/>
        </w:tabs>
        <w:spacing w:after="0" w:line="360" w:lineRule="auto"/>
        <w:ind w:left="0" w:hanging="284"/>
        <w:jc w:val="both"/>
        <w:rPr>
          <w:rFonts w:ascii="Times New Roman" w:hAnsi="Times New Roman" w:cs="Times New Roman"/>
          <w:sz w:val="28"/>
          <w:szCs w:val="28"/>
          <w:lang w:val="uk-UA"/>
        </w:rPr>
      </w:pPr>
      <w:r>
        <w:rPr>
          <w:rFonts w:ascii="Times New Roman" w:hAnsi="Times New Roman" w:cs="Times New Roman"/>
          <w:sz w:val="28"/>
          <w:szCs w:val="28"/>
          <w:lang w:val="uk-UA"/>
        </w:rPr>
        <w:t>Armitage G.C.</w:t>
      </w:r>
      <w:r w:rsidRPr="003F04BD">
        <w:rPr>
          <w:rFonts w:ascii="Times New Roman" w:hAnsi="Times New Roman" w:cs="Times New Roman"/>
          <w:sz w:val="28"/>
          <w:szCs w:val="28"/>
          <w:lang w:val="uk-UA"/>
        </w:rPr>
        <w:t xml:space="preserve"> The Biology, Prevention, Diagnosis and Treatment of Periodontal Diseases: Scientifi</w:t>
      </w:r>
      <w:r>
        <w:rPr>
          <w:rFonts w:ascii="Times New Roman" w:hAnsi="Times New Roman" w:cs="Times New Roman"/>
          <w:sz w:val="28"/>
          <w:szCs w:val="28"/>
          <w:lang w:val="uk-UA"/>
        </w:rPr>
        <w:t xml:space="preserve">c Advances in the United States / </w:t>
      </w:r>
      <w:r w:rsidRPr="003F04BD">
        <w:rPr>
          <w:rFonts w:ascii="Times New Roman" w:hAnsi="Times New Roman" w:cs="Times New Roman"/>
          <w:sz w:val="28"/>
          <w:szCs w:val="28"/>
          <w:lang w:val="uk-UA"/>
        </w:rPr>
        <w:t>G.C.</w:t>
      </w:r>
      <w:r>
        <w:rPr>
          <w:rFonts w:ascii="Times New Roman" w:hAnsi="Times New Roman" w:cs="Times New Roman"/>
          <w:sz w:val="28"/>
          <w:szCs w:val="28"/>
        </w:rPr>
        <w:t xml:space="preserve"> </w:t>
      </w:r>
      <w:r w:rsidRPr="003F04BD">
        <w:rPr>
          <w:rFonts w:ascii="Times New Roman" w:hAnsi="Times New Roman" w:cs="Times New Roman"/>
          <w:sz w:val="28"/>
          <w:szCs w:val="28"/>
          <w:lang w:val="uk-UA"/>
        </w:rPr>
        <w:t>Armitage, P.B.</w:t>
      </w:r>
      <w:r>
        <w:rPr>
          <w:rFonts w:ascii="Times New Roman" w:hAnsi="Times New Roman" w:cs="Times New Roman"/>
          <w:sz w:val="28"/>
          <w:szCs w:val="28"/>
        </w:rPr>
        <w:t xml:space="preserve"> </w:t>
      </w:r>
      <w:r w:rsidRPr="003F04BD">
        <w:rPr>
          <w:rFonts w:ascii="Times New Roman" w:hAnsi="Times New Roman" w:cs="Times New Roman"/>
          <w:sz w:val="28"/>
          <w:szCs w:val="28"/>
          <w:lang w:val="uk-UA"/>
        </w:rPr>
        <w:t xml:space="preserve">Robertson </w:t>
      </w:r>
      <w:r>
        <w:rPr>
          <w:rFonts w:ascii="Times New Roman" w:hAnsi="Times New Roman" w:cs="Times New Roman"/>
          <w:sz w:val="28"/>
          <w:szCs w:val="28"/>
        </w:rPr>
        <w:t>//</w:t>
      </w:r>
      <w:r w:rsidRPr="003F04BD">
        <w:rPr>
          <w:rFonts w:ascii="Times New Roman" w:hAnsi="Times New Roman" w:cs="Times New Roman"/>
          <w:sz w:val="28"/>
          <w:szCs w:val="28"/>
          <w:lang w:val="uk-UA"/>
        </w:rPr>
        <w:t xml:space="preserve"> J. Am. Dent. Assoc.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2009.</w:t>
      </w:r>
      <w:r>
        <w:rPr>
          <w:rFonts w:ascii="Times New Roman" w:hAnsi="Times New Roman" w:cs="Times New Roman"/>
          <w:sz w:val="28"/>
          <w:szCs w:val="28"/>
        </w:rPr>
        <w:t xml:space="preserve"> – Vol.</w:t>
      </w:r>
      <w:r>
        <w:rPr>
          <w:rFonts w:ascii="Times New Roman" w:hAnsi="Times New Roman" w:cs="Times New Roman"/>
          <w:sz w:val="28"/>
          <w:szCs w:val="28"/>
          <w:lang w:val="uk-UA"/>
        </w:rPr>
        <w:t>140. – P.36–43</w:t>
      </w:r>
      <w:r w:rsidRPr="003F04BD">
        <w:rPr>
          <w:rFonts w:ascii="Times New Roman" w:hAnsi="Times New Roman" w:cs="Times New Roman"/>
          <w:sz w:val="28"/>
          <w:szCs w:val="28"/>
          <w:lang w:val="uk-UA"/>
        </w:rPr>
        <w:t>.</w:t>
      </w:r>
    </w:p>
    <w:p w14:paraId="7991912E" w14:textId="0695FCEC" w:rsidR="002767DC" w:rsidRPr="008A193A" w:rsidRDefault="001D2C3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Park K.S</w:t>
      </w:r>
      <w:r w:rsidR="002767DC" w:rsidRPr="008A193A">
        <w:rPr>
          <w:rFonts w:ascii="Times New Roman" w:hAnsi="Times New Roman" w:cs="Times New Roman"/>
          <w:sz w:val="28"/>
          <w:szCs w:val="28"/>
          <w:lang w:val="uk-UA"/>
        </w:rPr>
        <w:t>. The short vitamin D receptor</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is associated with increased risk for generalized aggressive periodontitis</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K.S</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Park, J.H.</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 xml:space="preserve">Nam, J. Choi </w:t>
      </w:r>
      <w:r w:rsidR="002767DC" w:rsidRPr="008A193A">
        <w:rPr>
          <w:rFonts w:ascii="Times New Roman" w:hAnsi="Times New Roman" w:cs="Times New Roman"/>
          <w:sz w:val="28"/>
          <w:szCs w:val="28"/>
          <w:lang w:val="uk-UA"/>
        </w:rPr>
        <w:t xml:space="preserve">// J. Clin. Periodontol. — 2006.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33(8) — P. 524-528.</w:t>
      </w:r>
    </w:p>
    <w:p w14:paraId="607B792F" w14:textId="4314ABF9" w:rsidR="002767DC" w:rsidRDefault="001D2C3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Inagaki K</w:t>
      </w:r>
      <w:r w:rsidR="002767DC" w:rsidRPr="008A193A">
        <w:rPr>
          <w:rFonts w:ascii="Times New Roman" w:hAnsi="Times New Roman" w:cs="Times New Roman"/>
          <w:sz w:val="28"/>
          <w:szCs w:val="28"/>
          <w:lang w:val="uk-UA"/>
        </w:rPr>
        <w:t>. Vitamin D receptor alleles, periodontal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disease progression, and tooth loss in the VA dental longitudinal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study</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K.</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Inagaki, E.A.</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Krall et al.</w:t>
      </w:r>
      <w:r w:rsidR="002767DC" w:rsidRPr="008A193A">
        <w:rPr>
          <w:rFonts w:ascii="Times New Roman" w:hAnsi="Times New Roman" w:cs="Times New Roman"/>
          <w:sz w:val="28"/>
          <w:szCs w:val="28"/>
          <w:lang w:val="uk-UA"/>
        </w:rPr>
        <w:t xml:space="preserve"> // J. Periodontol. — 2003.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74(2). — P. 161-167.</w:t>
      </w:r>
    </w:p>
    <w:p w14:paraId="7BE4FA6E" w14:textId="263CD3CC" w:rsidR="002767DC" w:rsidRPr="008A193A"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Jabbar</w:t>
      </w:r>
      <w:r w:rsidR="001D2C30">
        <w:rPr>
          <w:rFonts w:ascii="Times New Roman" w:hAnsi="Times New Roman" w:cs="Times New Roman"/>
          <w:sz w:val="28"/>
          <w:szCs w:val="28"/>
          <w:lang w:val="uk-UA"/>
        </w:rPr>
        <w:t xml:space="preserve"> S.</w:t>
      </w:r>
      <w:r w:rsidRPr="008A193A">
        <w:rPr>
          <w:rFonts w:ascii="Times New Roman" w:hAnsi="Times New Roman" w:cs="Times New Roman"/>
          <w:sz w:val="28"/>
          <w:szCs w:val="28"/>
          <w:lang w:val="uk-UA"/>
        </w:rPr>
        <w:t xml:space="preserve"> Plasma vitamin D and</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cytokines in periodontal disease and postmenopausal osteoporosis</w:t>
      </w:r>
      <w:r w:rsidR="001D2C30">
        <w:rPr>
          <w:rFonts w:ascii="Times New Roman" w:hAnsi="Times New Roman" w:cs="Times New Roman"/>
          <w:sz w:val="28"/>
          <w:szCs w:val="28"/>
        </w:rPr>
        <w:t xml:space="preserve"> / </w:t>
      </w:r>
      <w:r w:rsidR="001D2C30" w:rsidRPr="008A193A">
        <w:rPr>
          <w:rFonts w:ascii="Times New Roman" w:hAnsi="Times New Roman" w:cs="Times New Roman"/>
          <w:sz w:val="28"/>
          <w:szCs w:val="28"/>
          <w:lang w:val="uk-UA"/>
        </w:rPr>
        <w:t>S.</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Jabbar,</w:t>
      </w:r>
      <w:r w:rsidR="001D2C30" w:rsidRPr="001D2C30">
        <w:rPr>
          <w:rFonts w:ascii="Times New Roman" w:hAnsi="Times New Roman" w:cs="Times New Roman"/>
          <w:sz w:val="28"/>
          <w:szCs w:val="28"/>
          <w:lang w:val="uk-UA"/>
        </w:rPr>
        <w:t xml:space="preserve"> </w:t>
      </w:r>
      <w:r w:rsidR="001D2C30" w:rsidRPr="008A193A">
        <w:rPr>
          <w:rFonts w:ascii="Times New Roman" w:hAnsi="Times New Roman" w:cs="Times New Roman"/>
          <w:sz w:val="28"/>
          <w:szCs w:val="28"/>
          <w:lang w:val="uk-UA"/>
        </w:rPr>
        <w:t>J. Drury, J.</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Fordham et al.</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 J. Periodontal Res. — 2011. — </w:t>
      </w:r>
      <w:r w:rsidR="001D2C30">
        <w:rPr>
          <w:rFonts w:ascii="Times New Roman" w:hAnsi="Times New Roman" w:cs="Times New Roman"/>
          <w:sz w:val="28"/>
          <w:szCs w:val="28"/>
        </w:rPr>
        <w:t>Vol.</w:t>
      </w:r>
      <w:r w:rsidRPr="008A193A">
        <w:rPr>
          <w:rFonts w:ascii="Times New Roman" w:hAnsi="Times New Roman" w:cs="Times New Roman"/>
          <w:sz w:val="28"/>
          <w:szCs w:val="28"/>
          <w:lang w:val="uk-UA"/>
        </w:rPr>
        <w:t>46(1). — P. 97-104.</w:t>
      </w:r>
    </w:p>
    <w:p w14:paraId="1A683F8E" w14:textId="0C95465A" w:rsidR="002767DC" w:rsidRPr="008A193A" w:rsidRDefault="001D2C3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Tezal M.</w:t>
      </w:r>
      <w:r w:rsidR="002767DC" w:rsidRPr="008A193A">
        <w:rPr>
          <w:rFonts w:ascii="Times New Roman" w:hAnsi="Times New Roman" w:cs="Times New Roman"/>
          <w:sz w:val="28"/>
          <w:szCs w:val="28"/>
          <w:lang w:val="uk-UA"/>
        </w:rPr>
        <w:t xml:space="preserve"> The relationship</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between bone mineral density and periodontitis in postmenopausal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women</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M.</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Tezal, J.</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Wactawski-Wende, S.G.</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Grossi et al.</w:t>
      </w:r>
      <w:r w:rsidR="002767DC" w:rsidRPr="008A193A">
        <w:rPr>
          <w:rFonts w:ascii="Times New Roman" w:hAnsi="Times New Roman" w:cs="Times New Roman"/>
          <w:sz w:val="28"/>
          <w:szCs w:val="28"/>
          <w:lang w:val="uk-UA"/>
        </w:rPr>
        <w:t xml:space="preserve"> // J. Periodontol. — 2000.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71(9) — P. 1492-1498.</w:t>
      </w:r>
    </w:p>
    <w:p w14:paraId="2C5AEC26" w14:textId="55B89BC6" w:rsidR="002767DC" w:rsidRPr="008A193A" w:rsidRDefault="001D2C3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Miley D.D</w:t>
      </w:r>
      <w:r w:rsidR="002767DC" w:rsidRPr="008A193A">
        <w:rPr>
          <w:rFonts w:ascii="Times New Roman" w:hAnsi="Times New Roman" w:cs="Times New Roman"/>
          <w:sz w:val="28"/>
          <w:szCs w:val="28"/>
          <w:lang w:val="uk-UA"/>
        </w:rPr>
        <w:t>. Cross-sectional</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study of vitamin D and calcium supplementation effects</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on chronic periodontitis</w:t>
      </w:r>
      <w:r>
        <w:rPr>
          <w:rFonts w:ascii="Times New Roman" w:hAnsi="Times New Roman" w:cs="Times New Roman"/>
          <w:sz w:val="28"/>
          <w:szCs w:val="28"/>
        </w:rPr>
        <w:t xml:space="preserve"> / </w:t>
      </w:r>
      <w:r w:rsidRPr="008A193A">
        <w:rPr>
          <w:rFonts w:ascii="Times New Roman" w:hAnsi="Times New Roman" w:cs="Times New Roman"/>
          <w:sz w:val="28"/>
          <w:szCs w:val="28"/>
          <w:lang w:val="uk-UA"/>
        </w:rPr>
        <w:t>D.D.</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Miley, M.N.</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Garcia, C.F.</w:t>
      </w:r>
      <w:r>
        <w:rPr>
          <w:rFonts w:ascii="Times New Roman" w:hAnsi="Times New Roman" w:cs="Times New Roman"/>
          <w:sz w:val="28"/>
          <w:szCs w:val="28"/>
        </w:rPr>
        <w:t xml:space="preserve"> </w:t>
      </w:r>
      <w:r w:rsidRPr="008A193A">
        <w:rPr>
          <w:rFonts w:ascii="Times New Roman" w:hAnsi="Times New Roman" w:cs="Times New Roman"/>
          <w:sz w:val="28"/>
          <w:szCs w:val="28"/>
          <w:lang w:val="uk-UA"/>
        </w:rPr>
        <w:t>Hildebolt et al.</w:t>
      </w:r>
      <w:r w:rsidR="002767DC" w:rsidRPr="008A193A">
        <w:rPr>
          <w:rFonts w:ascii="Times New Roman" w:hAnsi="Times New Roman" w:cs="Times New Roman"/>
          <w:sz w:val="28"/>
          <w:szCs w:val="28"/>
          <w:lang w:val="uk-UA"/>
        </w:rPr>
        <w:t xml:space="preserve"> // J. Periodontol. — 2009. — </w:t>
      </w:r>
      <w:r>
        <w:rPr>
          <w:rFonts w:ascii="Times New Roman" w:hAnsi="Times New Roman" w:cs="Times New Roman"/>
          <w:sz w:val="28"/>
          <w:szCs w:val="28"/>
        </w:rPr>
        <w:t>Vol.</w:t>
      </w:r>
      <w:r w:rsidR="002767DC" w:rsidRPr="008A193A">
        <w:rPr>
          <w:rFonts w:ascii="Times New Roman" w:hAnsi="Times New Roman" w:cs="Times New Roman"/>
          <w:sz w:val="28"/>
          <w:szCs w:val="28"/>
          <w:lang w:val="uk-UA"/>
        </w:rPr>
        <w:t>80(9). —</w:t>
      </w:r>
      <w:r w:rsidR="002767DC">
        <w:rPr>
          <w:rFonts w:ascii="Times New Roman" w:hAnsi="Times New Roman" w:cs="Times New Roman"/>
          <w:sz w:val="28"/>
          <w:szCs w:val="28"/>
          <w:lang w:val="uk-UA"/>
        </w:rPr>
        <w:t xml:space="preserve"> </w:t>
      </w:r>
      <w:r w:rsidR="002767DC" w:rsidRPr="008A193A">
        <w:rPr>
          <w:rFonts w:ascii="Times New Roman" w:hAnsi="Times New Roman" w:cs="Times New Roman"/>
          <w:sz w:val="28"/>
          <w:szCs w:val="28"/>
          <w:lang w:val="uk-UA"/>
        </w:rPr>
        <w:t>P. 1433-1439.</w:t>
      </w:r>
    </w:p>
    <w:p w14:paraId="3722452C" w14:textId="1C3CDBC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A193A">
        <w:rPr>
          <w:rFonts w:ascii="Times New Roman" w:hAnsi="Times New Roman" w:cs="Times New Roman"/>
          <w:sz w:val="28"/>
          <w:szCs w:val="28"/>
          <w:lang w:val="uk-UA"/>
        </w:rPr>
        <w:t>Garcia M.N., Hildebolt C.F., Miley D.D. et al. One-year</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effects of vitamin D and calcium supplementation on chronic periodontitis</w:t>
      </w:r>
      <w:r w:rsidR="001D2C30" w:rsidRPr="001D2C30">
        <w:rPr>
          <w:rFonts w:ascii="Times New Roman" w:hAnsi="Times New Roman" w:cs="Times New Roman"/>
          <w:sz w:val="28"/>
          <w:szCs w:val="28"/>
          <w:lang w:val="uk-UA"/>
        </w:rPr>
        <w:t xml:space="preserve"> / </w:t>
      </w:r>
      <w:r w:rsidR="001D2C30" w:rsidRPr="008A193A">
        <w:rPr>
          <w:rFonts w:ascii="Times New Roman" w:hAnsi="Times New Roman" w:cs="Times New Roman"/>
          <w:sz w:val="28"/>
          <w:szCs w:val="28"/>
          <w:lang w:val="uk-UA"/>
        </w:rPr>
        <w:t>M.N.</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 xml:space="preserve">Garcia, </w:t>
      </w:r>
      <w:r w:rsidR="001D2C30">
        <w:rPr>
          <w:rFonts w:ascii="Times New Roman" w:hAnsi="Times New Roman" w:cs="Times New Roman"/>
          <w:sz w:val="28"/>
          <w:szCs w:val="28"/>
          <w:lang w:val="uk-UA"/>
        </w:rPr>
        <w:t>C.F.</w:t>
      </w:r>
      <w:r w:rsidR="001D2C30">
        <w:rPr>
          <w:rFonts w:ascii="Times New Roman" w:hAnsi="Times New Roman" w:cs="Times New Roman"/>
          <w:sz w:val="28"/>
          <w:szCs w:val="28"/>
        </w:rPr>
        <w:t xml:space="preserve"> </w:t>
      </w:r>
      <w:r w:rsidR="001D2C30" w:rsidRPr="008A193A">
        <w:rPr>
          <w:rFonts w:ascii="Times New Roman" w:hAnsi="Times New Roman" w:cs="Times New Roman"/>
          <w:sz w:val="28"/>
          <w:szCs w:val="28"/>
          <w:lang w:val="uk-UA"/>
        </w:rPr>
        <w:t>Hi</w:t>
      </w:r>
      <w:r w:rsidR="001D2C30">
        <w:rPr>
          <w:rFonts w:ascii="Times New Roman" w:hAnsi="Times New Roman" w:cs="Times New Roman"/>
          <w:sz w:val="28"/>
          <w:szCs w:val="28"/>
          <w:lang w:val="uk-UA"/>
        </w:rPr>
        <w:t>ldebolt, D.D.</w:t>
      </w:r>
      <w:r w:rsidR="001D2C30">
        <w:rPr>
          <w:rFonts w:ascii="Times New Roman" w:hAnsi="Times New Roman" w:cs="Times New Roman"/>
          <w:sz w:val="28"/>
          <w:szCs w:val="28"/>
        </w:rPr>
        <w:t xml:space="preserve"> </w:t>
      </w:r>
      <w:r w:rsidR="001D2C30">
        <w:rPr>
          <w:rFonts w:ascii="Times New Roman" w:hAnsi="Times New Roman" w:cs="Times New Roman"/>
          <w:sz w:val="28"/>
          <w:szCs w:val="28"/>
          <w:lang w:val="uk-UA"/>
        </w:rPr>
        <w:t>Miley et al.</w:t>
      </w:r>
      <w:r>
        <w:rPr>
          <w:rFonts w:ascii="Times New Roman" w:hAnsi="Times New Roman" w:cs="Times New Roman"/>
          <w:sz w:val="28"/>
          <w:szCs w:val="28"/>
          <w:lang w:val="uk-UA"/>
        </w:rPr>
        <w:t xml:space="preserve"> </w:t>
      </w:r>
      <w:r w:rsidRPr="008A193A">
        <w:rPr>
          <w:rFonts w:ascii="Times New Roman" w:hAnsi="Times New Roman" w:cs="Times New Roman"/>
          <w:sz w:val="28"/>
          <w:szCs w:val="28"/>
          <w:lang w:val="uk-UA"/>
        </w:rPr>
        <w:t xml:space="preserve">// J. Periodontol. — 2011 — </w:t>
      </w:r>
      <w:r w:rsidR="001D2C30">
        <w:rPr>
          <w:rFonts w:ascii="Times New Roman" w:hAnsi="Times New Roman" w:cs="Times New Roman"/>
          <w:sz w:val="28"/>
          <w:szCs w:val="28"/>
        </w:rPr>
        <w:t>Vol</w:t>
      </w:r>
      <w:r w:rsidR="001D2C30" w:rsidRPr="001D2C30">
        <w:rPr>
          <w:rFonts w:ascii="Times New Roman" w:hAnsi="Times New Roman" w:cs="Times New Roman"/>
          <w:sz w:val="28"/>
          <w:szCs w:val="28"/>
          <w:lang w:val="uk-UA"/>
        </w:rPr>
        <w:t>.</w:t>
      </w:r>
      <w:r w:rsidRPr="008A193A">
        <w:rPr>
          <w:rFonts w:ascii="Times New Roman" w:hAnsi="Times New Roman" w:cs="Times New Roman"/>
          <w:sz w:val="28"/>
          <w:szCs w:val="28"/>
          <w:lang w:val="uk-UA"/>
        </w:rPr>
        <w:t>82(1). — P. 25-32</w:t>
      </w:r>
    </w:p>
    <w:p w14:paraId="38C47AE2" w14:textId="77777777" w:rsidR="002767DC" w:rsidRPr="00277EB7"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Новикова М. А. Взаимосвязь сво</w:t>
      </w:r>
      <w:r>
        <w:rPr>
          <w:rFonts w:ascii="Times New Roman" w:hAnsi="Times New Roman" w:cs="Times New Roman"/>
          <w:sz w:val="28"/>
          <w:szCs w:val="28"/>
          <w:lang w:val="uk-UA"/>
        </w:rPr>
        <w:t>боднорадикального окис</w:t>
      </w:r>
      <w:r w:rsidRPr="00277EB7">
        <w:rPr>
          <w:rFonts w:ascii="Times New Roman" w:hAnsi="Times New Roman" w:cs="Times New Roman"/>
          <w:sz w:val="28"/>
          <w:szCs w:val="28"/>
          <w:lang w:val="uk-UA"/>
        </w:rPr>
        <w:t>ления и антиксидантной системы при заболеваниях пародонта /</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М. А. Новикова // Вісник стоматології. – 2011. – № 3. – С. 29–32.</w:t>
      </w:r>
    </w:p>
    <w:p w14:paraId="64AAF80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Омаров И. А. </w:t>
      </w:r>
      <w:r w:rsidRPr="00277EB7">
        <w:rPr>
          <w:rFonts w:ascii="Times New Roman" w:hAnsi="Times New Roman" w:cs="Times New Roman"/>
          <w:sz w:val="28"/>
          <w:szCs w:val="28"/>
          <w:lang w:val="uk-UA"/>
        </w:rPr>
        <w:t>Окислительный стресс и комплексная антиоксидантная</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энергокоррекция в лечении пародонта / И. А. Омаров, С. Б. Болевич,</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Т. Н. Саватеева [и др.] // Стоматология. – 2011. – №1.</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 С. 10–17.</w:t>
      </w:r>
    </w:p>
    <w:p w14:paraId="0DFA332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Рябоконь Е. Н. Прооксидантно-оксидантный статус у</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больных пародонтитом на</w:t>
      </w:r>
      <w:r>
        <w:rPr>
          <w:rFonts w:ascii="Times New Roman" w:hAnsi="Times New Roman" w:cs="Times New Roman"/>
          <w:sz w:val="28"/>
          <w:szCs w:val="28"/>
          <w:lang w:val="uk-UA"/>
        </w:rPr>
        <w:t xml:space="preserve"> фоне гастродуоденальной патоло</w:t>
      </w:r>
      <w:r w:rsidRPr="00277EB7">
        <w:rPr>
          <w:rFonts w:ascii="Times New Roman" w:hAnsi="Times New Roman" w:cs="Times New Roman"/>
          <w:sz w:val="28"/>
          <w:szCs w:val="28"/>
          <w:lang w:val="uk-UA"/>
        </w:rPr>
        <w:t>гии, ассоциированой с инфекцией Н.рylori / Е. Н. Рябоконь,</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В. В. Олейник // Український медичний альманах. – 2011. –</w:t>
      </w:r>
      <w:r>
        <w:rPr>
          <w:rFonts w:ascii="Times New Roman" w:hAnsi="Times New Roman" w:cs="Times New Roman"/>
          <w:sz w:val="28"/>
          <w:szCs w:val="28"/>
          <w:lang w:val="uk-UA"/>
        </w:rPr>
        <w:t xml:space="preserve"> </w:t>
      </w:r>
      <w:r w:rsidRPr="00277EB7">
        <w:rPr>
          <w:rFonts w:ascii="Times New Roman" w:hAnsi="Times New Roman" w:cs="Times New Roman"/>
          <w:sz w:val="28"/>
          <w:szCs w:val="28"/>
          <w:lang w:val="uk-UA"/>
        </w:rPr>
        <w:t>Т. 14, № 1. – С. 167–170.</w:t>
      </w:r>
    </w:p>
    <w:p w14:paraId="52886C3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Макаренко М. В. Динаміка біохімічних показників ротової рідини після застосування озонотерапії у пацієнтів молодого віку з генералізованим хронічним катаральним гінгівітом / М. В. Макаренко // Вісник стоматології. - 2014. - № 3. - С. 25-30</w:t>
      </w:r>
    </w:p>
    <w:p w14:paraId="56ACD4D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Горячковский A.M. Клиническая биохимия в лабораторной диагностике: Справочное пособие / A. M. Горячковский. – Изд. 3-е, исп. и доп. – Одесса: Ек</w:t>
      </w:r>
      <w:r>
        <w:rPr>
          <w:rFonts w:ascii="Times New Roman" w:hAnsi="Times New Roman" w:cs="Times New Roman"/>
          <w:sz w:val="28"/>
          <w:szCs w:val="28"/>
          <w:lang w:val="uk-UA"/>
        </w:rPr>
        <w:t xml:space="preserve">ологія, 2005. – С. 410-412. </w:t>
      </w:r>
    </w:p>
    <w:p w14:paraId="3F6E5243" w14:textId="209F5A8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Каськова Л.Ф. Біохімічні показники ротової рідини дітей із хворобами пародонта, які проживають у місцевості з різним умістом фтору в питній воді / Л.Ф. Каськова, О.Е. Абрамова // Український стоматологічний альманах. – Полтава: Українська медична стоматологічна ака</w:t>
      </w:r>
      <w:r>
        <w:rPr>
          <w:rFonts w:ascii="Times New Roman" w:hAnsi="Times New Roman" w:cs="Times New Roman"/>
          <w:sz w:val="28"/>
          <w:szCs w:val="28"/>
          <w:lang w:val="uk-UA"/>
        </w:rPr>
        <w:t>демія</w:t>
      </w:r>
      <w:r w:rsidR="00F14CD2">
        <w:rPr>
          <w:rFonts w:ascii="Times New Roman" w:hAnsi="Times New Roman" w:cs="Times New Roman"/>
          <w:sz w:val="28"/>
          <w:szCs w:val="28"/>
          <w:lang w:val="uk-UA"/>
        </w:rPr>
        <w:t>. –</w:t>
      </w:r>
      <w:r>
        <w:rPr>
          <w:rFonts w:ascii="Times New Roman" w:hAnsi="Times New Roman" w:cs="Times New Roman"/>
          <w:sz w:val="28"/>
          <w:szCs w:val="28"/>
          <w:lang w:val="uk-UA"/>
        </w:rPr>
        <w:t xml:space="preserve"> 2005. </w:t>
      </w:r>
      <w:r w:rsidR="00F14CD2">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r w:rsidR="00F14CD2">
        <w:rPr>
          <w:rFonts w:ascii="Times New Roman" w:hAnsi="Times New Roman" w:cs="Times New Roman"/>
          <w:sz w:val="28"/>
          <w:szCs w:val="28"/>
          <w:lang w:val="uk-UA"/>
        </w:rPr>
        <w:t>.</w:t>
      </w:r>
      <w:r>
        <w:rPr>
          <w:rFonts w:ascii="Times New Roman" w:hAnsi="Times New Roman" w:cs="Times New Roman"/>
          <w:sz w:val="28"/>
          <w:szCs w:val="28"/>
          <w:lang w:val="uk-UA"/>
        </w:rPr>
        <w:t xml:space="preserve"> – С.</w:t>
      </w:r>
      <w:r w:rsidR="00F14C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42-44. </w:t>
      </w:r>
    </w:p>
    <w:p w14:paraId="0656AE7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Каськова Л.Ф. Біохімічні показники ротової рідини дітей із зубощелепними аномаліями / Л.Ф. Каськова, К.В. Марченко // Проблеми екології та медицини. – 2011. – Т.15, №3-4 (додаток). – С</w:t>
      </w:r>
      <w:r>
        <w:rPr>
          <w:rFonts w:ascii="Times New Roman" w:hAnsi="Times New Roman" w:cs="Times New Roman"/>
          <w:sz w:val="28"/>
          <w:szCs w:val="28"/>
          <w:lang w:val="uk-UA"/>
        </w:rPr>
        <w:t xml:space="preserve">. 91. </w:t>
      </w:r>
    </w:p>
    <w:p w14:paraId="46706BDE"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 xml:space="preserve">Новіков Є.М. Показники перекисного окислення ліпідів та антиоксидантного захисту в ротовій рідині при хронічному катаральному гінгівіті у дітей в період змінного прикусу / Є.М. Новіков // Актуальні проблеми сучасної медицини. – Полтава: Українська медична стоматологічна академія, 2012. – Т. 12, </w:t>
      </w:r>
      <w:r>
        <w:rPr>
          <w:rFonts w:ascii="Times New Roman" w:hAnsi="Times New Roman" w:cs="Times New Roman"/>
          <w:sz w:val="28"/>
          <w:szCs w:val="28"/>
          <w:lang w:val="uk-UA"/>
        </w:rPr>
        <w:t xml:space="preserve">Вип. 1-2 (37-38) – С. 46-48. </w:t>
      </w:r>
      <w:r w:rsidRPr="00277EB7">
        <w:rPr>
          <w:rFonts w:ascii="Times New Roman" w:hAnsi="Times New Roman" w:cs="Times New Roman"/>
          <w:sz w:val="28"/>
          <w:szCs w:val="28"/>
          <w:lang w:val="uk-UA"/>
        </w:rPr>
        <w:t xml:space="preserve"> </w:t>
      </w:r>
    </w:p>
    <w:p w14:paraId="61E6EC8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 xml:space="preserve">Новікова С.Ч. Застосування комплексу антиоксидантів при гострому герпетичному стоматиті в дітей / С.Ч.Новікова, Л.Ф. Каськова, Н.А. Моргун [та.ін.] // Український стоматологічний альманах. – 2011. - №2. – С. 60-61. </w:t>
      </w:r>
    </w:p>
    <w:p w14:paraId="730DD34F" w14:textId="77777777" w:rsidR="002767DC" w:rsidRPr="00277EB7"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Назарян Р.С. Особливості показників ферментативного гомеостазу ротової рідини осіб з різним типом фактичного харчування</w:t>
      </w:r>
      <w:r>
        <w:rPr>
          <w:rFonts w:ascii="Times New Roman" w:hAnsi="Times New Roman" w:cs="Times New Roman"/>
          <w:sz w:val="28"/>
          <w:szCs w:val="28"/>
          <w:lang w:val="uk-UA"/>
        </w:rPr>
        <w:t>ь / Р.С. Назарян</w:t>
      </w:r>
      <w:r w:rsidRPr="00277EB7">
        <w:rPr>
          <w:rFonts w:ascii="Times New Roman" w:hAnsi="Times New Roman" w:cs="Times New Roman"/>
          <w:sz w:val="28"/>
          <w:szCs w:val="28"/>
          <w:lang w:val="uk-UA"/>
        </w:rPr>
        <w:t xml:space="preserve"> // Медицина сьогодні і завтра. – 2003. – № 2. – С.131-133.</w:t>
      </w:r>
    </w:p>
    <w:p w14:paraId="747061BA" w14:textId="7DA07E8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7EB7">
        <w:rPr>
          <w:rFonts w:ascii="Times New Roman" w:hAnsi="Times New Roman" w:cs="Times New Roman"/>
          <w:sz w:val="28"/>
          <w:szCs w:val="28"/>
          <w:lang w:val="uk-UA"/>
        </w:rPr>
        <w:t>Ciancio S</w:t>
      </w:r>
      <w:r w:rsidR="001D2C30">
        <w:rPr>
          <w:rFonts w:ascii="Times New Roman" w:hAnsi="Times New Roman" w:cs="Times New Roman"/>
          <w:sz w:val="28"/>
          <w:szCs w:val="28"/>
        </w:rPr>
        <w:t>.</w:t>
      </w:r>
      <w:r w:rsidRPr="00277EB7">
        <w:rPr>
          <w:rFonts w:ascii="Times New Roman" w:hAnsi="Times New Roman" w:cs="Times New Roman"/>
          <w:sz w:val="28"/>
          <w:szCs w:val="28"/>
          <w:lang w:val="uk-UA"/>
        </w:rPr>
        <w:t>G. Periodontal medic</w:t>
      </w:r>
      <w:r w:rsidR="001D2C30">
        <w:rPr>
          <w:rFonts w:ascii="Times New Roman" w:hAnsi="Times New Roman" w:cs="Times New Roman"/>
          <w:sz w:val="28"/>
          <w:szCs w:val="28"/>
          <w:lang w:val="uk-UA"/>
        </w:rPr>
        <w:t xml:space="preserve">ine: Health policy implications / </w:t>
      </w:r>
      <w:r w:rsidR="001D2C30" w:rsidRPr="00277EB7">
        <w:rPr>
          <w:rFonts w:ascii="Times New Roman" w:hAnsi="Times New Roman" w:cs="Times New Roman"/>
          <w:sz w:val="28"/>
          <w:szCs w:val="28"/>
          <w:lang w:val="uk-UA"/>
        </w:rPr>
        <w:t>S</w:t>
      </w:r>
      <w:r w:rsidR="001D2C30">
        <w:rPr>
          <w:rFonts w:ascii="Times New Roman" w:hAnsi="Times New Roman" w:cs="Times New Roman"/>
          <w:sz w:val="28"/>
          <w:szCs w:val="28"/>
        </w:rPr>
        <w:t>.</w:t>
      </w:r>
      <w:r w:rsidR="001D2C30" w:rsidRPr="00277EB7">
        <w:rPr>
          <w:rFonts w:ascii="Times New Roman" w:hAnsi="Times New Roman" w:cs="Times New Roman"/>
          <w:sz w:val="28"/>
          <w:szCs w:val="28"/>
          <w:lang w:val="uk-UA"/>
        </w:rPr>
        <w:t>G.</w:t>
      </w:r>
      <w:r w:rsidR="001D2C30">
        <w:rPr>
          <w:rFonts w:ascii="Times New Roman" w:hAnsi="Times New Roman" w:cs="Times New Roman"/>
          <w:sz w:val="28"/>
          <w:szCs w:val="28"/>
        </w:rPr>
        <w:t xml:space="preserve"> </w:t>
      </w:r>
      <w:r w:rsidR="001D2C30" w:rsidRPr="00277EB7">
        <w:rPr>
          <w:rFonts w:ascii="Times New Roman" w:hAnsi="Times New Roman" w:cs="Times New Roman"/>
          <w:sz w:val="28"/>
          <w:szCs w:val="28"/>
          <w:lang w:val="uk-UA"/>
        </w:rPr>
        <w:t xml:space="preserve">Ciancio </w:t>
      </w:r>
      <w:r w:rsidR="001D2C30">
        <w:rPr>
          <w:rFonts w:ascii="Times New Roman" w:hAnsi="Times New Roman" w:cs="Times New Roman"/>
          <w:sz w:val="28"/>
          <w:szCs w:val="28"/>
        </w:rPr>
        <w:t>//</w:t>
      </w:r>
      <w:r w:rsidRPr="00277EB7">
        <w:rPr>
          <w:rFonts w:ascii="Times New Roman" w:hAnsi="Times New Roman" w:cs="Times New Roman"/>
          <w:sz w:val="28"/>
          <w:szCs w:val="28"/>
          <w:lang w:val="uk-UA"/>
        </w:rPr>
        <w:t xml:space="preserve"> J Periodontol.</w:t>
      </w:r>
      <w:r w:rsidR="001D2C30">
        <w:rPr>
          <w:rFonts w:ascii="Times New Roman" w:hAnsi="Times New Roman" w:cs="Times New Roman"/>
          <w:sz w:val="28"/>
          <w:szCs w:val="28"/>
        </w:rPr>
        <w:t xml:space="preserve"> –</w:t>
      </w:r>
      <w:r w:rsidRPr="00277EB7">
        <w:rPr>
          <w:rFonts w:ascii="Times New Roman" w:hAnsi="Times New Roman" w:cs="Times New Roman"/>
          <w:sz w:val="28"/>
          <w:szCs w:val="28"/>
          <w:lang w:val="uk-UA"/>
        </w:rPr>
        <w:t xml:space="preserve"> 2003</w:t>
      </w:r>
      <w:r w:rsidR="001D2C30">
        <w:rPr>
          <w:rFonts w:ascii="Times New Roman" w:hAnsi="Times New Roman" w:cs="Times New Roman"/>
          <w:sz w:val="28"/>
          <w:szCs w:val="28"/>
        </w:rPr>
        <w:t>. – Vol.</w:t>
      </w:r>
      <w:r w:rsidR="001D2C30">
        <w:rPr>
          <w:rFonts w:ascii="Times New Roman" w:hAnsi="Times New Roman" w:cs="Times New Roman"/>
          <w:sz w:val="28"/>
          <w:szCs w:val="28"/>
          <w:lang w:val="uk-UA"/>
        </w:rPr>
        <w:t xml:space="preserve">7. </w:t>
      </w:r>
      <w:r w:rsidR="001D2C30">
        <w:rPr>
          <w:rFonts w:ascii="Times New Roman" w:hAnsi="Times New Roman" w:cs="Times New Roman"/>
          <w:sz w:val="28"/>
          <w:szCs w:val="28"/>
        </w:rPr>
        <w:t>– P.</w:t>
      </w:r>
      <w:r w:rsidRPr="00277EB7">
        <w:rPr>
          <w:rFonts w:ascii="Times New Roman" w:hAnsi="Times New Roman" w:cs="Times New Roman"/>
          <w:sz w:val="28"/>
          <w:szCs w:val="28"/>
          <w:lang w:val="uk-UA"/>
        </w:rPr>
        <w:t>1088–95.</w:t>
      </w:r>
    </w:p>
    <w:p w14:paraId="1662094B" w14:textId="75539F49" w:rsidR="002767DC" w:rsidRPr="0082507B" w:rsidRDefault="00F14CD2"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2507B">
        <w:rPr>
          <w:rFonts w:ascii="Times New Roman" w:hAnsi="Times New Roman" w:cs="Times New Roman"/>
          <w:sz w:val="28"/>
          <w:szCs w:val="28"/>
        </w:rPr>
        <w:t>Waddington R</w:t>
      </w:r>
      <w:r w:rsidR="0082507B" w:rsidRPr="0082507B">
        <w:rPr>
          <w:rFonts w:ascii="Times New Roman" w:hAnsi="Times New Roman" w:cs="Times New Roman"/>
          <w:sz w:val="28"/>
          <w:szCs w:val="28"/>
        </w:rPr>
        <w:t>.</w:t>
      </w:r>
      <w:r w:rsidRPr="0082507B">
        <w:rPr>
          <w:rFonts w:ascii="Times New Roman" w:hAnsi="Times New Roman" w:cs="Times New Roman"/>
          <w:sz w:val="28"/>
          <w:szCs w:val="28"/>
        </w:rPr>
        <w:t>J</w:t>
      </w:r>
      <w:r w:rsidR="0082507B" w:rsidRPr="0082507B">
        <w:rPr>
          <w:rFonts w:ascii="Times New Roman" w:hAnsi="Times New Roman" w:cs="Times New Roman"/>
          <w:sz w:val="28"/>
          <w:szCs w:val="28"/>
        </w:rPr>
        <w:t>.</w:t>
      </w:r>
      <w:r w:rsidRPr="0082507B">
        <w:rPr>
          <w:rFonts w:ascii="Times New Roman" w:hAnsi="Times New Roman" w:cs="Times New Roman"/>
          <w:sz w:val="28"/>
          <w:szCs w:val="28"/>
        </w:rPr>
        <w:t xml:space="preserve"> Reactive oxygen species: a potential role in the pathogenesis </w:t>
      </w:r>
      <w:r w:rsidR="0082507B" w:rsidRPr="0082507B">
        <w:rPr>
          <w:rFonts w:ascii="Times New Roman" w:hAnsi="Times New Roman" w:cs="Times New Roman"/>
          <w:sz w:val="28"/>
          <w:szCs w:val="28"/>
        </w:rPr>
        <w:t>of periodontal diseases / R. J. Waddington, R. Moseley R, G. Embery</w:t>
      </w:r>
      <w:r w:rsidR="0082507B" w:rsidRPr="0082507B">
        <w:rPr>
          <w:rFonts w:ascii="Times New Roman" w:hAnsi="Times New Roman" w:cs="Times New Roman"/>
          <w:sz w:val="28"/>
          <w:szCs w:val="28"/>
          <w:lang w:val="uk-UA"/>
        </w:rPr>
        <w:t xml:space="preserve"> //</w:t>
      </w:r>
      <w:r w:rsidRPr="0082507B">
        <w:rPr>
          <w:rFonts w:ascii="Times New Roman" w:hAnsi="Times New Roman" w:cs="Times New Roman"/>
          <w:sz w:val="28"/>
          <w:szCs w:val="28"/>
        </w:rPr>
        <w:t xml:space="preserve"> Oral Dis</w:t>
      </w:r>
      <w:r w:rsidR="0082507B" w:rsidRPr="0082507B">
        <w:rPr>
          <w:rFonts w:ascii="Times New Roman" w:hAnsi="Times New Roman" w:cs="Times New Roman"/>
          <w:sz w:val="28"/>
          <w:szCs w:val="28"/>
          <w:lang w:val="uk-UA"/>
        </w:rPr>
        <w:t xml:space="preserve">. – </w:t>
      </w:r>
      <w:r w:rsidR="0082507B" w:rsidRPr="0082507B">
        <w:rPr>
          <w:rFonts w:ascii="Times New Roman" w:hAnsi="Times New Roman" w:cs="Times New Roman"/>
          <w:sz w:val="28"/>
          <w:szCs w:val="28"/>
        </w:rPr>
        <w:t>2000. – Vol. 6. – P.</w:t>
      </w:r>
      <w:r w:rsidRPr="0082507B">
        <w:rPr>
          <w:rFonts w:ascii="Times New Roman" w:hAnsi="Times New Roman" w:cs="Times New Roman"/>
          <w:sz w:val="28"/>
          <w:szCs w:val="28"/>
        </w:rPr>
        <w:t>138–151</w:t>
      </w:r>
      <w:r w:rsidR="002767DC" w:rsidRPr="0082507B">
        <w:rPr>
          <w:rFonts w:ascii="Times New Roman" w:hAnsi="Times New Roman" w:cs="Times New Roman"/>
          <w:sz w:val="28"/>
          <w:szCs w:val="28"/>
          <w:lang w:val="uk-UA"/>
        </w:rPr>
        <w:t>.</w:t>
      </w:r>
    </w:p>
    <w:p w14:paraId="4A0B4B4D" w14:textId="7361BF34"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Novakovic N</w:t>
      </w:r>
      <w:r>
        <w:rPr>
          <w:rFonts w:ascii="Times New Roman" w:hAnsi="Times New Roman" w:cs="Times New Roman"/>
          <w:sz w:val="28"/>
          <w:szCs w:val="28"/>
        </w:rPr>
        <w:t xml:space="preserve">. </w:t>
      </w:r>
      <w:r w:rsidRPr="00F905A5">
        <w:rPr>
          <w:rFonts w:ascii="Times New Roman" w:hAnsi="Times New Roman" w:cs="Times New Roman"/>
          <w:sz w:val="28"/>
          <w:szCs w:val="28"/>
        </w:rPr>
        <w:t>Salivary antioxidants as periodontal biomarkers in evaluation of tiss</w:t>
      </w:r>
      <w:r>
        <w:rPr>
          <w:rFonts w:ascii="Times New Roman" w:hAnsi="Times New Roman" w:cs="Times New Roman"/>
          <w:sz w:val="28"/>
          <w:szCs w:val="28"/>
        </w:rPr>
        <w:t xml:space="preserve">ue status and treatment outcome / N. </w:t>
      </w:r>
      <w:r w:rsidRPr="00F905A5">
        <w:rPr>
          <w:rFonts w:ascii="Times New Roman" w:hAnsi="Times New Roman" w:cs="Times New Roman"/>
          <w:sz w:val="28"/>
          <w:szCs w:val="28"/>
        </w:rPr>
        <w:t>Novakovic</w:t>
      </w:r>
      <w:r>
        <w:rPr>
          <w:rFonts w:ascii="Times New Roman" w:hAnsi="Times New Roman" w:cs="Times New Roman"/>
          <w:sz w:val="28"/>
          <w:szCs w:val="28"/>
        </w:rPr>
        <w:t>, T. Todorovic</w:t>
      </w:r>
      <w:r w:rsidRPr="00F905A5">
        <w:rPr>
          <w:rFonts w:ascii="Times New Roman" w:hAnsi="Times New Roman" w:cs="Times New Roman"/>
          <w:sz w:val="28"/>
          <w:szCs w:val="28"/>
        </w:rPr>
        <w:t xml:space="preserve">, </w:t>
      </w:r>
      <w:r>
        <w:rPr>
          <w:rFonts w:ascii="Times New Roman" w:hAnsi="Times New Roman" w:cs="Times New Roman"/>
          <w:sz w:val="28"/>
          <w:szCs w:val="28"/>
        </w:rPr>
        <w:t>M. Rakic //</w:t>
      </w:r>
      <w:r w:rsidRPr="00F905A5">
        <w:rPr>
          <w:rFonts w:ascii="Times New Roman" w:hAnsi="Times New Roman" w:cs="Times New Roman"/>
          <w:sz w:val="28"/>
          <w:szCs w:val="28"/>
        </w:rPr>
        <w:t xml:space="preserve"> </w:t>
      </w:r>
      <w:r w:rsidRPr="00F905A5">
        <w:rPr>
          <w:rFonts w:ascii="Times New Roman" w:hAnsi="Times New Roman" w:cs="Times New Roman"/>
          <w:sz w:val="28"/>
          <w:szCs w:val="28"/>
          <w:lang w:val="uk-UA"/>
        </w:rPr>
        <w:t>J Periodontal Res.</w:t>
      </w:r>
      <w:r>
        <w:rPr>
          <w:rFonts w:ascii="Times New Roman" w:hAnsi="Times New Roman" w:cs="Times New Roman"/>
          <w:sz w:val="28"/>
          <w:szCs w:val="28"/>
        </w:rPr>
        <w:t xml:space="preserve"> </w:t>
      </w:r>
      <w:r w:rsidR="001D2C30">
        <w:rPr>
          <w:rFonts w:ascii="Times New Roman" w:hAnsi="Times New Roman" w:cs="Times New Roman"/>
          <w:sz w:val="28"/>
          <w:szCs w:val="28"/>
        </w:rPr>
        <w:t xml:space="preserve">– </w:t>
      </w:r>
      <w:r>
        <w:rPr>
          <w:rFonts w:ascii="Times New Roman" w:hAnsi="Times New Roman" w:cs="Times New Roman"/>
          <w:sz w:val="28"/>
          <w:szCs w:val="28"/>
          <w:lang w:val="uk-UA"/>
        </w:rPr>
        <w:t xml:space="preserve">2014. </w:t>
      </w:r>
      <w:r>
        <w:rPr>
          <w:rFonts w:ascii="Times New Roman" w:hAnsi="Times New Roman" w:cs="Times New Roman"/>
          <w:sz w:val="28"/>
          <w:szCs w:val="28"/>
        </w:rPr>
        <w:t>– Vol.</w:t>
      </w:r>
      <w:r>
        <w:rPr>
          <w:rFonts w:ascii="Times New Roman" w:hAnsi="Times New Roman" w:cs="Times New Roman"/>
          <w:sz w:val="28"/>
          <w:szCs w:val="28"/>
          <w:lang w:val="uk-UA"/>
        </w:rPr>
        <w:t xml:space="preserve">49(1). </w:t>
      </w:r>
      <w:r>
        <w:rPr>
          <w:rFonts w:ascii="Times New Roman" w:hAnsi="Times New Roman" w:cs="Times New Roman"/>
          <w:sz w:val="28"/>
          <w:szCs w:val="28"/>
        </w:rPr>
        <w:t xml:space="preserve">– P. </w:t>
      </w:r>
      <w:r w:rsidRPr="00F905A5">
        <w:rPr>
          <w:rFonts w:ascii="Times New Roman" w:hAnsi="Times New Roman" w:cs="Times New Roman"/>
          <w:sz w:val="28"/>
          <w:szCs w:val="28"/>
          <w:lang w:val="uk-UA"/>
        </w:rPr>
        <w:t>129-</w:t>
      </w:r>
      <w:r>
        <w:rPr>
          <w:rFonts w:ascii="Times New Roman" w:hAnsi="Times New Roman" w:cs="Times New Roman"/>
          <w:sz w:val="28"/>
          <w:szCs w:val="28"/>
        </w:rPr>
        <w:t>1</w:t>
      </w:r>
      <w:r w:rsidRPr="00F905A5">
        <w:rPr>
          <w:rFonts w:ascii="Times New Roman" w:hAnsi="Times New Roman" w:cs="Times New Roman"/>
          <w:sz w:val="28"/>
          <w:szCs w:val="28"/>
          <w:lang w:val="uk-UA"/>
        </w:rPr>
        <w:t>36.</w:t>
      </w:r>
    </w:p>
    <w:p w14:paraId="2E54A6A2" w14:textId="46774F0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Назарян Р.С.</w:t>
      </w:r>
      <w:r w:rsidRPr="00F905A5">
        <w:rPr>
          <w:rFonts w:ascii="Times New Roman" w:hAnsi="Times New Roman" w:cs="Times New Roman"/>
          <w:sz w:val="28"/>
          <w:szCs w:val="28"/>
          <w:lang w:val="uk-UA"/>
        </w:rPr>
        <w:t xml:space="preserve"> Взаємний зв’язок морфофункціональних змін у пародонті щурів з процесами вільнорадикального окислення під впливом аліментарного фактора / </w:t>
      </w:r>
      <w:r>
        <w:rPr>
          <w:rFonts w:ascii="Times New Roman" w:hAnsi="Times New Roman" w:cs="Times New Roman"/>
          <w:sz w:val="28"/>
          <w:szCs w:val="28"/>
          <w:lang w:val="uk-UA"/>
        </w:rPr>
        <w:t>Р.С. Назарян</w:t>
      </w:r>
      <w:r w:rsidRPr="00F905A5">
        <w:rPr>
          <w:rFonts w:ascii="Times New Roman" w:hAnsi="Times New Roman" w:cs="Times New Roman"/>
          <w:sz w:val="28"/>
          <w:szCs w:val="28"/>
          <w:lang w:val="uk-UA"/>
        </w:rPr>
        <w:t xml:space="preserve">, </w:t>
      </w:r>
      <w:r>
        <w:rPr>
          <w:rFonts w:ascii="Times New Roman" w:hAnsi="Times New Roman" w:cs="Times New Roman"/>
          <w:sz w:val="28"/>
          <w:szCs w:val="28"/>
          <w:lang w:val="uk-UA"/>
        </w:rPr>
        <w:t>Ю.В. Нікітченко</w:t>
      </w:r>
      <w:r w:rsidRPr="00F905A5">
        <w:rPr>
          <w:rFonts w:ascii="Times New Roman" w:hAnsi="Times New Roman" w:cs="Times New Roman"/>
          <w:sz w:val="28"/>
          <w:szCs w:val="28"/>
          <w:lang w:val="uk-UA"/>
        </w:rPr>
        <w:t xml:space="preserve"> // Вісник </w:t>
      </w:r>
      <w:r w:rsidR="001D2C30">
        <w:rPr>
          <w:rFonts w:ascii="Times New Roman" w:hAnsi="Times New Roman" w:cs="Times New Roman"/>
          <w:sz w:val="28"/>
          <w:szCs w:val="28"/>
          <w:lang w:val="uk-UA"/>
        </w:rPr>
        <w:t>морфології. – 2003. – Т. 9. – №</w:t>
      </w:r>
      <w:r w:rsidRPr="00F905A5">
        <w:rPr>
          <w:rFonts w:ascii="Times New Roman" w:hAnsi="Times New Roman" w:cs="Times New Roman"/>
          <w:sz w:val="28"/>
          <w:szCs w:val="28"/>
          <w:lang w:val="uk-UA"/>
        </w:rPr>
        <w:t>2. – С. 204-205</w:t>
      </w:r>
    </w:p>
    <w:p w14:paraId="008970A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Карпенко И. Н. Современные представления об этиологии и патогенезе быстропрогрессирующего пародонтита / И. Н. Карпенко, Н. В. Булкина, Е. В. Понукалина // Архив патологии. – 2009. – № 1. – С. 57– 60.</w:t>
      </w:r>
    </w:p>
    <w:p w14:paraId="33B30A9C" w14:textId="2B4F5584" w:rsidR="002767DC" w:rsidRPr="00F905A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Меньщикова Е. Б. </w:t>
      </w:r>
      <w:r w:rsidRPr="00F905A5">
        <w:rPr>
          <w:rFonts w:ascii="Times New Roman" w:hAnsi="Times New Roman" w:cs="Times New Roman"/>
          <w:sz w:val="28"/>
          <w:szCs w:val="28"/>
          <w:lang w:val="uk-UA"/>
        </w:rPr>
        <w:t>Окислительный стресс: Патологиче</w:t>
      </w:r>
      <w:r w:rsidR="00581BE7">
        <w:rPr>
          <w:rFonts w:ascii="Times New Roman" w:hAnsi="Times New Roman" w:cs="Times New Roman"/>
          <w:sz w:val="28"/>
          <w:szCs w:val="28"/>
          <w:lang w:val="uk-UA"/>
        </w:rPr>
        <w:t xml:space="preserve">ские состояния и заболевания / </w:t>
      </w:r>
      <w:r w:rsidR="00581BE7">
        <w:rPr>
          <w:rFonts w:ascii="Times New Roman" w:hAnsi="Times New Roman" w:cs="Times New Roman"/>
          <w:sz w:val="28"/>
          <w:szCs w:val="28"/>
          <w:lang w:val="ru-RU"/>
        </w:rPr>
        <w:t xml:space="preserve">Е.Б. </w:t>
      </w:r>
      <w:r w:rsidR="00581BE7">
        <w:rPr>
          <w:rFonts w:ascii="Times New Roman" w:hAnsi="Times New Roman" w:cs="Times New Roman"/>
          <w:sz w:val="28"/>
          <w:szCs w:val="28"/>
          <w:lang w:val="uk-UA"/>
        </w:rPr>
        <w:t>Меньщикова</w:t>
      </w:r>
      <w:r w:rsidRPr="00F905A5">
        <w:rPr>
          <w:rFonts w:ascii="Times New Roman" w:hAnsi="Times New Roman" w:cs="Times New Roman"/>
          <w:sz w:val="28"/>
          <w:szCs w:val="28"/>
          <w:lang w:val="uk-UA"/>
        </w:rPr>
        <w:t xml:space="preserve"> [и др.]. – Новосибирск: АРТА, 2008. – 284 с.</w:t>
      </w:r>
    </w:p>
    <w:p w14:paraId="76AAE400" w14:textId="77777777" w:rsidR="002767DC" w:rsidRPr="00F905A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Петрович Ю.А. </w:t>
      </w:r>
      <w:r w:rsidRPr="00F905A5">
        <w:rPr>
          <w:rFonts w:ascii="Times New Roman" w:hAnsi="Times New Roman" w:cs="Times New Roman"/>
          <w:sz w:val="28"/>
          <w:szCs w:val="28"/>
          <w:lang w:val="uk-UA"/>
        </w:rPr>
        <w:t>Прооксиданты, мексидол и другие антиоксиданты при герпетическом стоматите, гингивостоматите и хроническом генерализованном пародонтите / Ю. А. Петрович [и др.] // Российский стоматологический журнал. – 2010.– № 3. – С. 29– 33.</w:t>
      </w:r>
    </w:p>
    <w:p w14:paraId="14F9DDD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905A5">
        <w:rPr>
          <w:rFonts w:ascii="Times New Roman" w:hAnsi="Times New Roman" w:cs="Times New Roman"/>
          <w:sz w:val="28"/>
          <w:szCs w:val="28"/>
          <w:lang w:val="uk-UA"/>
        </w:rPr>
        <w:t>Сазонова Т. Г. Значение баланса прооксидантов и антиоксидантов — равнозначных участников метаболизма / Т. Г. Сазонова, Ю. В. Архипенко // Патологическая физиология и экспериментальная терапия. – 2007. – № 3, – С. 2–17.</w:t>
      </w:r>
    </w:p>
    <w:p w14:paraId="50BFFFFB" w14:textId="5D63697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E2384">
        <w:rPr>
          <w:rFonts w:ascii="Times New Roman" w:hAnsi="Times New Roman" w:cs="Times New Roman"/>
          <w:sz w:val="28"/>
          <w:szCs w:val="28"/>
          <w:lang w:val="uk-UA"/>
        </w:rPr>
        <w:t xml:space="preserve">Соколовский В.С. Донозологическая диагностика: состояние и перспективы использования / В.С.Соколовский, О.Г.Юшковская // Інтегративна антропологія.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3E2384">
        <w:rPr>
          <w:rFonts w:ascii="Times New Roman" w:hAnsi="Times New Roman" w:cs="Times New Roman"/>
          <w:sz w:val="28"/>
          <w:szCs w:val="28"/>
          <w:lang w:val="uk-UA"/>
        </w:rPr>
        <w:t xml:space="preserve">2003. </w:t>
      </w:r>
      <w:r w:rsidR="00581BE7" w:rsidRPr="00FF3C14">
        <w:rPr>
          <w:rFonts w:ascii="Times New Roman" w:hAnsi="Times New Roman" w:cs="Times New Roman"/>
          <w:sz w:val="28"/>
          <w:szCs w:val="28"/>
          <w:lang w:val="uk-UA"/>
        </w:rPr>
        <w:t>–</w:t>
      </w:r>
      <w:r w:rsidRPr="003E2384">
        <w:rPr>
          <w:rFonts w:ascii="Times New Roman" w:hAnsi="Times New Roman" w:cs="Times New Roman"/>
          <w:sz w:val="28"/>
          <w:szCs w:val="28"/>
          <w:lang w:val="uk-UA"/>
        </w:rPr>
        <w:t xml:space="preserve"> №1. </w:t>
      </w:r>
      <w:r w:rsidR="00581BE7" w:rsidRPr="00FF3C14">
        <w:rPr>
          <w:rFonts w:ascii="Times New Roman" w:hAnsi="Times New Roman" w:cs="Times New Roman"/>
          <w:sz w:val="28"/>
          <w:szCs w:val="28"/>
          <w:lang w:val="uk-UA"/>
        </w:rPr>
        <w:t>–</w:t>
      </w:r>
      <w:r w:rsidRPr="003E2384">
        <w:rPr>
          <w:rFonts w:ascii="Times New Roman" w:hAnsi="Times New Roman" w:cs="Times New Roman"/>
          <w:sz w:val="28"/>
          <w:szCs w:val="28"/>
          <w:lang w:val="uk-UA"/>
        </w:rPr>
        <w:t xml:space="preserve"> С.60-63.</w:t>
      </w:r>
    </w:p>
    <w:p w14:paraId="70CC2496" w14:textId="7B472A8A"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 xml:space="preserve">Захарченко М.П. Проблемы диагностики и коррекции донозологического статуса человека / М.П. Захарченко, В.Х.Хавинсон, О.А.Нагибович [и др.] // Гигиена и санитария.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 xml:space="preserve">2001. </w:t>
      </w:r>
      <w:r w:rsidR="00581BE7" w:rsidRPr="00FF3C14">
        <w:rPr>
          <w:rFonts w:ascii="Times New Roman" w:hAnsi="Times New Roman" w:cs="Times New Roman"/>
          <w:sz w:val="28"/>
          <w:szCs w:val="28"/>
          <w:lang w:val="uk-UA"/>
        </w:rPr>
        <w:t>–</w:t>
      </w:r>
      <w:r w:rsidRPr="00FF3C14">
        <w:rPr>
          <w:rFonts w:ascii="Times New Roman" w:hAnsi="Times New Roman" w:cs="Times New Roman"/>
          <w:sz w:val="28"/>
          <w:szCs w:val="28"/>
          <w:lang w:val="uk-UA"/>
        </w:rPr>
        <w:t xml:space="preserve"> №5. </w:t>
      </w:r>
      <w:r w:rsidR="00581BE7" w:rsidRPr="00FF3C14">
        <w:rPr>
          <w:rFonts w:ascii="Times New Roman" w:hAnsi="Times New Roman" w:cs="Times New Roman"/>
          <w:sz w:val="28"/>
          <w:szCs w:val="28"/>
          <w:lang w:val="uk-UA"/>
        </w:rPr>
        <w:t>–</w:t>
      </w:r>
      <w:r w:rsidRPr="00FF3C14">
        <w:rPr>
          <w:rFonts w:ascii="Times New Roman" w:hAnsi="Times New Roman" w:cs="Times New Roman"/>
          <w:sz w:val="28"/>
          <w:szCs w:val="28"/>
          <w:lang w:val="uk-UA"/>
        </w:rPr>
        <w:t xml:space="preserve"> С.27-31.</w:t>
      </w:r>
    </w:p>
    <w:p w14:paraId="62A4779D" w14:textId="77777777" w:rsidR="002767DC" w:rsidRPr="00FF3C14"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Агаджанян Н.А. Проблемы адаптации и учение о здоровье / Н.А. Агаджанян, Р.М. Баевский, А.П. Берсеньева. – М.: Изд-во РУДН, 2006. – 284 с.</w:t>
      </w:r>
    </w:p>
    <w:p w14:paraId="5A8DBC3E" w14:textId="7FA1CB3D"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F3C14">
        <w:rPr>
          <w:rFonts w:ascii="Times New Roman" w:hAnsi="Times New Roman" w:cs="Times New Roman"/>
          <w:sz w:val="28"/>
          <w:szCs w:val="28"/>
          <w:lang w:val="uk-UA"/>
        </w:rPr>
        <w:t>Апанасенко Г.Л. Санология. Основы управления здоровьем / Г.Л.</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Апанасенко, Л.А.</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Попова, А.В.</w:t>
      </w:r>
      <w:r w:rsidR="00581BE7">
        <w:rPr>
          <w:rFonts w:ascii="Times New Roman" w:hAnsi="Times New Roman" w:cs="Times New Roman"/>
          <w:sz w:val="28"/>
          <w:szCs w:val="28"/>
          <w:lang w:val="uk-UA"/>
        </w:rPr>
        <w:t xml:space="preserve"> </w:t>
      </w:r>
      <w:r w:rsidRPr="00FF3C14">
        <w:rPr>
          <w:rFonts w:ascii="Times New Roman" w:hAnsi="Times New Roman" w:cs="Times New Roman"/>
          <w:sz w:val="28"/>
          <w:szCs w:val="28"/>
          <w:lang w:val="uk-UA"/>
        </w:rPr>
        <w:t>Магльований. – LAMBERT Academic Publishing, 2012. – 404 с.</w:t>
      </w:r>
    </w:p>
    <w:p w14:paraId="0A7B7A2F" w14:textId="3F7896F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Годованець О. І. </w:t>
      </w:r>
      <w:r w:rsidRPr="005D4CCD">
        <w:rPr>
          <w:rFonts w:ascii="Times New Roman" w:hAnsi="Times New Roman" w:cs="Times New Roman"/>
          <w:sz w:val="28"/>
          <w:szCs w:val="28"/>
          <w:lang w:val="uk-UA"/>
        </w:rPr>
        <w:t xml:space="preserve">Віддалені результати застосування препаратів антиоксидантної дії у комплексі лікування хронічного катарального гінгівіту в дітей / О. І. Годованець // Світ медицини та біології.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2012.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 3. </w:t>
      </w:r>
      <w:r w:rsidR="00581BE7" w:rsidRPr="00FF3C14">
        <w:rPr>
          <w:rFonts w:ascii="Times New Roman" w:hAnsi="Times New Roman" w:cs="Times New Roman"/>
          <w:sz w:val="28"/>
          <w:szCs w:val="28"/>
          <w:lang w:val="uk-UA"/>
        </w:rPr>
        <w:t>–</w:t>
      </w:r>
      <w:r w:rsidRPr="005D4CCD">
        <w:rPr>
          <w:rFonts w:ascii="Times New Roman" w:hAnsi="Times New Roman" w:cs="Times New Roman"/>
          <w:sz w:val="28"/>
          <w:szCs w:val="28"/>
          <w:lang w:val="uk-UA"/>
        </w:rPr>
        <w:t xml:space="preserve"> С. 80-83.</w:t>
      </w:r>
    </w:p>
    <w:p w14:paraId="3E0B0084" w14:textId="22B8A686" w:rsidR="002767DC" w:rsidRPr="005D4CCD"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Guzik T.J. Nitric oxide and superoxide in inflammation and immune regulation / T.J. Guzik, R. Korbut, T. Adamek-Guzik // JPP.</w:t>
      </w:r>
      <w:r w:rsidR="00581BE7" w:rsidRP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2003.</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Vol.54, №4.</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P.469-487.</w:t>
      </w:r>
    </w:p>
    <w:p w14:paraId="471F9E92" w14:textId="0541345C" w:rsidR="002767DC" w:rsidRPr="005D4CCD"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Kelm M. Nitric oxide metabolism and breakdown / M. Kelm // Biochim. Biophis. Acta.</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2007.</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Vol.1411.</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P.273-279.</w:t>
      </w:r>
    </w:p>
    <w:p w14:paraId="23131FFB" w14:textId="59E6DBD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5D4CCD">
        <w:rPr>
          <w:rFonts w:ascii="Times New Roman" w:hAnsi="Times New Roman" w:cs="Times New Roman"/>
          <w:sz w:val="28"/>
          <w:szCs w:val="28"/>
          <w:lang w:val="uk-UA"/>
        </w:rPr>
        <w:t>Wink D.A. Chemical biology of nitric oxide: insinght into regulatory, cytotoxic and cytoprotective mechanisms of nitric oxide /</w:t>
      </w:r>
      <w:r>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D.A. Wink, J.B. Koppenol // Free Radical Biol. Med.</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2008.</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Vol.25.</w:t>
      </w:r>
      <w:r w:rsidR="00581BE7">
        <w:rPr>
          <w:rFonts w:ascii="Times New Roman" w:hAnsi="Times New Roman" w:cs="Times New Roman"/>
          <w:sz w:val="28"/>
          <w:szCs w:val="28"/>
          <w:lang w:val="uk-UA"/>
        </w:rPr>
        <w:t xml:space="preserve"> </w:t>
      </w:r>
      <w:r w:rsidR="00581BE7" w:rsidRPr="00FF3C14">
        <w:rPr>
          <w:rFonts w:ascii="Times New Roman" w:hAnsi="Times New Roman" w:cs="Times New Roman"/>
          <w:sz w:val="28"/>
          <w:szCs w:val="28"/>
          <w:lang w:val="uk-UA"/>
        </w:rPr>
        <w:t>–</w:t>
      </w:r>
      <w:r w:rsidR="00581BE7">
        <w:rPr>
          <w:rFonts w:ascii="Times New Roman" w:hAnsi="Times New Roman" w:cs="Times New Roman"/>
          <w:sz w:val="28"/>
          <w:szCs w:val="28"/>
          <w:lang w:val="uk-UA"/>
        </w:rPr>
        <w:t xml:space="preserve"> </w:t>
      </w:r>
      <w:r w:rsidRPr="005D4CCD">
        <w:rPr>
          <w:rFonts w:ascii="Times New Roman" w:hAnsi="Times New Roman" w:cs="Times New Roman"/>
          <w:sz w:val="28"/>
          <w:szCs w:val="28"/>
          <w:lang w:val="uk-UA"/>
        </w:rPr>
        <w:t>P.434-456.</w:t>
      </w:r>
    </w:p>
    <w:p w14:paraId="2FBEAAF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Николаев,</w:t>
      </w:r>
      <w:r w:rsidRPr="0069535E">
        <w:rPr>
          <w:rFonts w:ascii="Times New Roman" w:hAnsi="Times New Roman" w:cs="Times New Roman"/>
          <w:sz w:val="28"/>
          <w:szCs w:val="28"/>
          <w:lang w:val="uk-UA"/>
        </w:rPr>
        <w:t>И.В. Антиоксидантная и пероксидазная активность слюны при воспалительных заболеваниях пародонта и возможность их коррекции / И.В. Николаев, Л.Н. Колобкова, Е.О. Ландесман // Биомедицинская химия. – 2009. – Т. 54, вып. 4. – С. 454–462.</w:t>
      </w:r>
    </w:p>
    <w:p w14:paraId="40B183D9" w14:textId="249B40D3"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Омаров</w:t>
      </w:r>
      <w:r w:rsidRPr="0069535E">
        <w:rPr>
          <w:rFonts w:ascii="Times New Roman" w:hAnsi="Times New Roman" w:cs="Times New Roman"/>
          <w:sz w:val="28"/>
          <w:szCs w:val="28"/>
          <w:lang w:val="uk-UA"/>
        </w:rPr>
        <w:t xml:space="preserve"> И.А. Окислительный стресс и комплексная антиоксидантная энергокоррекция в лече</w:t>
      </w:r>
      <w:r w:rsidR="00581BE7">
        <w:rPr>
          <w:rFonts w:ascii="Times New Roman" w:hAnsi="Times New Roman" w:cs="Times New Roman"/>
          <w:sz w:val="28"/>
          <w:szCs w:val="28"/>
          <w:lang w:val="uk-UA"/>
        </w:rPr>
        <w:t xml:space="preserve">нии пародонтита / И.А. Омаров, </w:t>
      </w:r>
      <w:r w:rsidRPr="0069535E">
        <w:rPr>
          <w:rFonts w:ascii="Times New Roman" w:hAnsi="Times New Roman" w:cs="Times New Roman"/>
          <w:sz w:val="28"/>
          <w:szCs w:val="28"/>
          <w:lang w:val="uk-UA"/>
        </w:rPr>
        <w:t>С.Б. Болевич, Т.Н. Саватеева-Любимова, Е.В. Силина, К.В. Сивак // Стоматология. – 2011. – № 1. – С. 10–17.</w:t>
      </w:r>
    </w:p>
    <w:p w14:paraId="751BE58F"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Павлюченко</w:t>
      </w:r>
      <w:r w:rsidRPr="0069535E">
        <w:rPr>
          <w:rFonts w:ascii="Times New Roman" w:hAnsi="Times New Roman" w:cs="Times New Roman"/>
          <w:sz w:val="28"/>
          <w:szCs w:val="28"/>
          <w:lang w:val="uk-UA"/>
        </w:rPr>
        <w:t xml:space="preserve"> И.И. Комплексная оценка состояния системы проантиоксиданты в различных биологических средах у хирургических больных с гнойно-септическими осложнениями / И.И. Павл</w:t>
      </w:r>
      <w:r>
        <w:rPr>
          <w:rFonts w:ascii="Times New Roman" w:hAnsi="Times New Roman" w:cs="Times New Roman"/>
          <w:sz w:val="28"/>
          <w:szCs w:val="28"/>
          <w:lang w:val="uk-UA"/>
        </w:rPr>
        <w:t xml:space="preserve">юченко, М.И. Быков, </w:t>
      </w:r>
      <w:r w:rsidRPr="0069535E">
        <w:rPr>
          <w:rFonts w:ascii="Times New Roman" w:hAnsi="Times New Roman" w:cs="Times New Roman"/>
          <w:sz w:val="28"/>
          <w:szCs w:val="28"/>
          <w:lang w:val="uk-UA"/>
        </w:rPr>
        <w:t xml:space="preserve">C.P. Федосов, A.A. Басов, И.М. Быков, А.Э. Моргоев, Т.В. Гайворонская // Успехи современного естествознания. – 2006. – № 6. – С. 82–83. 72. </w:t>
      </w:r>
    </w:p>
    <w:p w14:paraId="4A4294F6"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Па</w:t>
      </w:r>
      <w:r>
        <w:rPr>
          <w:rFonts w:ascii="Times New Roman" w:hAnsi="Times New Roman" w:cs="Times New Roman"/>
          <w:sz w:val="28"/>
          <w:szCs w:val="28"/>
          <w:lang w:val="uk-UA"/>
        </w:rPr>
        <w:t>влюченко</w:t>
      </w:r>
      <w:r w:rsidRPr="0069535E">
        <w:rPr>
          <w:rFonts w:ascii="Times New Roman" w:hAnsi="Times New Roman" w:cs="Times New Roman"/>
          <w:sz w:val="28"/>
          <w:szCs w:val="28"/>
          <w:lang w:val="uk-UA"/>
        </w:rPr>
        <w:t xml:space="preserve"> И.И. Способ диагностики окислительного стресса организма человека / И.И. Павлюченко, A.A. Басов, C.P. Федосов // Патент на изобретение № 2236008, Российская Федерация, MПК G01N33/48. – Заявл. 28.07.2003; опубл. 10.09.2004 – Б. № 25. – 10 c.</w:t>
      </w:r>
    </w:p>
    <w:p w14:paraId="77597E8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Часовских</w:t>
      </w:r>
      <w:r w:rsidRPr="0069535E">
        <w:rPr>
          <w:rFonts w:ascii="Times New Roman" w:hAnsi="Times New Roman" w:cs="Times New Roman"/>
          <w:sz w:val="28"/>
          <w:szCs w:val="28"/>
          <w:lang w:val="uk-UA"/>
        </w:rPr>
        <w:t xml:space="preserve"> Н.Ю. Апоптоз и окислительный</w:t>
      </w:r>
      <w:r>
        <w:rPr>
          <w:rFonts w:ascii="Times New Roman" w:hAnsi="Times New Roman" w:cs="Times New Roman"/>
          <w:sz w:val="28"/>
          <w:szCs w:val="28"/>
          <w:lang w:val="uk-UA"/>
        </w:rPr>
        <w:t xml:space="preserve"> стресс / </w:t>
      </w:r>
      <w:r w:rsidRPr="0069535E">
        <w:rPr>
          <w:rFonts w:ascii="Times New Roman" w:hAnsi="Times New Roman" w:cs="Times New Roman"/>
          <w:sz w:val="28"/>
          <w:szCs w:val="28"/>
          <w:lang w:val="uk-UA"/>
        </w:rPr>
        <w:t>Н.Ю. Часовских, Н.В. Рязанцева, В.В. Новицкий. – Томск : Изд-во «Печатная мануфактура», 2009. – 148 с.</w:t>
      </w:r>
    </w:p>
    <w:p w14:paraId="3F56EC3C" w14:textId="03552A26" w:rsidR="002767DC" w:rsidRPr="00E328BC" w:rsidRDefault="00E328BC" w:rsidP="00E328BC">
      <w:pPr>
        <w:pStyle w:val="ListParagraph"/>
        <w:numPr>
          <w:ilvl w:val="0"/>
          <w:numId w:val="9"/>
        </w:numPr>
        <w:tabs>
          <w:tab w:val="left" w:pos="0"/>
        </w:tabs>
        <w:spacing w:after="0" w:line="360" w:lineRule="auto"/>
        <w:ind w:left="0" w:hanging="284"/>
        <w:jc w:val="both"/>
        <w:rPr>
          <w:rFonts w:ascii="Times New Roman" w:hAnsi="Times New Roman" w:cs="Times New Roman"/>
          <w:sz w:val="28"/>
          <w:szCs w:val="28"/>
        </w:rPr>
      </w:pPr>
      <w:r>
        <w:rPr>
          <w:rFonts w:ascii="Times New Roman" w:hAnsi="Times New Roman" w:cs="Times New Roman"/>
          <w:sz w:val="28"/>
          <w:szCs w:val="28"/>
        </w:rPr>
        <w:t>Diad-Ladki R</w:t>
      </w:r>
      <w:r w:rsidR="002767DC"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Decrease</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in</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the</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total</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antioxidant</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activity</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of</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saliva</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in</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patients</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with</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periodontal</w:t>
      </w:r>
      <w:r w:rsidR="0082507B" w:rsidRPr="0082507B">
        <w:rPr>
          <w:rFonts w:ascii="Times New Roman" w:hAnsi="Times New Roman" w:cs="Times New Roman"/>
          <w:sz w:val="28"/>
          <w:szCs w:val="28"/>
          <w:lang w:val="uk-UA"/>
        </w:rPr>
        <w:t xml:space="preserve"> </w:t>
      </w:r>
      <w:r w:rsidR="0082507B" w:rsidRPr="0082507B">
        <w:rPr>
          <w:rFonts w:ascii="Times New Roman" w:hAnsi="Times New Roman" w:cs="Times New Roman"/>
          <w:sz w:val="28"/>
          <w:szCs w:val="28"/>
        </w:rPr>
        <w:t>diseases</w:t>
      </w:r>
      <w:r w:rsidR="00581BE7" w:rsidRPr="0082507B">
        <w:rPr>
          <w:rFonts w:ascii="Times New Roman" w:hAnsi="Times New Roman" w:cs="Times New Roman"/>
          <w:sz w:val="28"/>
          <w:szCs w:val="28"/>
          <w:lang w:val="uk-UA"/>
        </w:rPr>
        <w:t xml:space="preserve"> / </w:t>
      </w:r>
      <w:r w:rsidRPr="00E328BC">
        <w:rPr>
          <w:rFonts w:ascii="Times New Roman" w:hAnsi="Times New Roman" w:cs="Times New Roman"/>
          <w:sz w:val="28"/>
          <w:szCs w:val="28"/>
        </w:rPr>
        <w:t>Randa Diab-Ladki</w:t>
      </w:r>
      <w:r>
        <w:rPr>
          <w:rFonts w:ascii="Times New Roman" w:hAnsi="Times New Roman" w:cs="Times New Roman"/>
          <w:sz w:val="28"/>
          <w:szCs w:val="28"/>
        </w:rPr>
        <w:t xml:space="preserve">, </w:t>
      </w:r>
      <w:r w:rsidRPr="00E328BC">
        <w:rPr>
          <w:rFonts w:ascii="Times New Roman" w:hAnsi="Times New Roman" w:cs="Times New Roman"/>
          <w:sz w:val="28"/>
          <w:szCs w:val="28"/>
        </w:rPr>
        <w:t>Bernard Pellat</w:t>
      </w:r>
      <w:r>
        <w:rPr>
          <w:rFonts w:ascii="Times New Roman" w:hAnsi="Times New Roman" w:cs="Times New Roman"/>
          <w:sz w:val="28"/>
          <w:szCs w:val="28"/>
        </w:rPr>
        <w:t xml:space="preserve">, Ramez Chahine </w:t>
      </w:r>
      <w:r w:rsidR="00581BE7" w:rsidRPr="00E328BC">
        <w:rPr>
          <w:rFonts w:ascii="Times New Roman" w:hAnsi="Times New Roman" w:cs="Times New Roman"/>
          <w:sz w:val="28"/>
          <w:szCs w:val="28"/>
          <w:lang w:val="uk-UA"/>
        </w:rPr>
        <w:t xml:space="preserve">// </w:t>
      </w:r>
      <w:hyperlink r:id="rId57" w:tooltip="Clinical Oral Investigations" w:history="1">
        <w:r w:rsidR="0082507B" w:rsidRPr="00E328BC">
          <w:rPr>
            <w:rStyle w:val="journaltitle"/>
            <w:rFonts w:ascii="Times New Roman" w:hAnsi="Times New Roman" w:cs="Times New Roman"/>
            <w:spacing w:val="2"/>
            <w:sz w:val="28"/>
            <w:szCs w:val="28"/>
          </w:rPr>
          <w:t>Clinical</w:t>
        </w:r>
        <w:r w:rsidR="0082507B" w:rsidRPr="00E328BC">
          <w:rPr>
            <w:rStyle w:val="journaltitle"/>
            <w:rFonts w:ascii="Times New Roman" w:hAnsi="Times New Roman" w:cs="Times New Roman"/>
            <w:spacing w:val="2"/>
            <w:sz w:val="28"/>
            <w:szCs w:val="28"/>
            <w:lang w:val="uk-UA"/>
          </w:rPr>
          <w:t xml:space="preserve"> </w:t>
        </w:r>
        <w:r w:rsidR="0082507B" w:rsidRPr="00E328BC">
          <w:rPr>
            <w:rStyle w:val="journaltitle"/>
            <w:rFonts w:ascii="Times New Roman" w:hAnsi="Times New Roman" w:cs="Times New Roman"/>
            <w:spacing w:val="2"/>
            <w:sz w:val="28"/>
            <w:szCs w:val="28"/>
          </w:rPr>
          <w:t>Oral</w:t>
        </w:r>
        <w:r w:rsidR="0082507B" w:rsidRPr="00E328BC">
          <w:rPr>
            <w:rStyle w:val="journaltitle"/>
            <w:rFonts w:ascii="Times New Roman" w:hAnsi="Times New Roman" w:cs="Times New Roman"/>
            <w:spacing w:val="2"/>
            <w:sz w:val="28"/>
            <w:szCs w:val="28"/>
            <w:lang w:val="uk-UA"/>
          </w:rPr>
          <w:t xml:space="preserve"> </w:t>
        </w:r>
        <w:r w:rsidR="0082507B" w:rsidRPr="00E328BC">
          <w:rPr>
            <w:rStyle w:val="journaltitle"/>
            <w:rFonts w:ascii="Times New Roman" w:hAnsi="Times New Roman" w:cs="Times New Roman"/>
            <w:spacing w:val="2"/>
            <w:sz w:val="28"/>
            <w:szCs w:val="28"/>
          </w:rPr>
          <w:t>Investigations</w:t>
        </w:r>
      </w:hyperlink>
      <w:r w:rsidR="00581BE7" w:rsidRPr="00E328BC">
        <w:rPr>
          <w:rFonts w:ascii="Times New Roman" w:hAnsi="Times New Roman" w:cs="Times New Roman"/>
          <w:sz w:val="28"/>
          <w:szCs w:val="28"/>
          <w:lang w:val="uk-UA"/>
        </w:rPr>
        <w:t>.</w:t>
      </w:r>
      <w:r w:rsidR="002767DC" w:rsidRPr="00E328BC">
        <w:rPr>
          <w:rFonts w:ascii="Times New Roman" w:hAnsi="Times New Roman" w:cs="Times New Roman"/>
          <w:sz w:val="28"/>
          <w:szCs w:val="28"/>
          <w:lang w:val="uk-UA"/>
        </w:rPr>
        <w:t xml:space="preserve"> </w:t>
      </w:r>
      <w:r w:rsidR="0082507B" w:rsidRPr="00E328BC">
        <w:rPr>
          <w:rFonts w:ascii="Times New Roman" w:hAnsi="Times New Roman" w:cs="Times New Roman"/>
          <w:sz w:val="28"/>
          <w:szCs w:val="28"/>
          <w:lang w:val="uk-UA"/>
        </w:rPr>
        <w:t xml:space="preserve">– </w:t>
      </w:r>
      <w:r w:rsidR="0082507B" w:rsidRPr="00E328BC">
        <w:rPr>
          <w:rStyle w:val="articlecitationyear"/>
          <w:rFonts w:ascii="Times New Roman" w:hAnsi="Times New Roman" w:cs="Times New Roman"/>
          <w:spacing w:val="2"/>
          <w:sz w:val="28"/>
          <w:szCs w:val="28"/>
          <w:lang w:val="uk-UA"/>
        </w:rPr>
        <w:t xml:space="preserve">2003. </w:t>
      </w:r>
      <w:r w:rsidRPr="00E328BC">
        <w:rPr>
          <w:rStyle w:val="articlecitationyear"/>
          <w:rFonts w:ascii="Times New Roman" w:hAnsi="Times New Roman" w:cs="Times New Roman"/>
          <w:spacing w:val="2"/>
          <w:sz w:val="28"/>
          <w:szCs w:val="28"/>
          <w:lang w:val="uk-UA"/>
        </w:rPr>
        <w:t>–</w:t>
      </w:r>
      <w:r w:rsidR="0082507B" w:rsidRPr="00E328BC">
        <w:rPr>
          <w:rStyle w:val="articlecitationyear"/>
          <w:rFonts w:ascii="Times New Roman" w:hAnsi="Times New Roman" w:cs="Times New Roman"/>
          <w:spacing w:val="2"/>
          <w:sz w:val="28"/>
          <w:szCs w:val="28"/>
          <w:lang w:val="uk-UA"/>
        </w:rPr>
        <w:t xml:space="preserve"> </w:t>
      </w:r>
      <w:r w:rsidRPr="00E328BC">
        <w:rPr>
          <w:rStyle w:val="articlecitationvolume"/>
          <w:rFonts w:ascii="Times New Roman" w:hAnsi="Times New Roman" w:cs="Times New Roman"/>
          <w:spacing w:val="2"/>
          <w:sz w:val="28"/>
          <w:szCs w:val="28"/>
        </w:rPr>
        <w:t>Vol.</w:t>
      </w:r>
      <w:r w:rsidR="0082507B" w:rsidRPr="00E328BC">
        <w:rPr>
          <w:rStyle w:val="articlecitationvolume"/>
          <w:rFonts w:ascii="Times New Roman" w:hAnsi="Times New Roman" w:cs="Times New Roman"/>
          <w:spacing w:val="2"/>
          <w:sz w:val="28"/>
          <w:szCs w:val="28"/>
          <w:lang w:val="uk-UA"/>
        </w:rPr>
        <w:t xml:space="preserve"> 7, </w:t>
      </w:r>
      <w:hyperlink r:id="rId58" w:history="1">
        <w:r w:rsidRPr="00E328BC">
          <w:rPr>
            <w:rStyle w:val="Hyperlink"/>
            <w:rFonts w:ascii="Times New Roman" w:hAnsi="Times New Roman" w:cs="Times New Roman"/>
            <w:color w:val="auto"/>
            <w:spacing w:val="2"/>
            <w:sz w:val="28"/>
            <w:szCs w:val="28"/>
            <w:u w:val="none"/>
          </w:rPr>
          <w:t xml:space="preserve">Issue </w:t>
        </w:r>
        <w:r w:rsidR="0082507B" w:rsidRPr="00E328BC">
          <w:rPr>
            <w:rStyle w:val="Hyperlink"/>
            <w:rFonts w:ascii="Times New Roman" w:hAnsi="Times New Roman" w:cs="Times New Roman"/>
            <w:color w:val="auto"/>
            <w:spacing w:val="2"/>
            <w:sz w:val="28"/>
            <w:szCs w:val="28"/>
            <w:u w:val="none"/>
            <w:lang w:val="uk-UA"/>
          </w:rPr>
          <w:t>2</w:t>
        </w:r>
      </w:hyperlink>
      <w:r w:rsidRPr="00E328BC">
        <w:rPr>
          <w:rFonts w:ascii="Times New Roman" w:hAnsi="Times New Roman" w:cs="Times New Roman"/>
          <w:spacing w:val="2"/>
          <w:sz w:val="28"/>
          <w:szCs w:val="28"/>
        </w:rPr>
        <w:t xml:space="preserve">. – </w:t>
      </w:r>
      <w:r w:rsidRPr="00E328BC">
        <w:rPr>
          <w:rStyle w:val="articlecitationpages"/>
          <w:rFonts w:ascii="Times New Roman" w:hAnsi="Times New Roman" w:cs="Times New Roman"/>
          <w:spacing w:val="2"/>
          <w:sz w:val="28"/>
          <w:szCs w:val="28"/>
        </w:rPr>
        <w:t>P.</w:t>
      </w:r>
      <w:r w:rsidR="0082507B" w:rsidRPr="00E328BC">
        <w:rPr>
          <w:rStyle w:val="articlecitationpages"/>
          <w:rFonts w:ascii="Times New Roman" w:hAnsi="Times New Roman" w:cs="Times New Roman"/>
          <w:spacing w:val="2"/>
          <w:sz w:val="28"/>
          <w:szCs w:val="28"/>
          <w:lang w:val="uk-UA"/>
        </w:rPr>
        <w:t xml:space="preserve"> 103–107</w:t>
      </w:r>
      <w:r w:rsidRPr="00E328BC">
        <w:rPr>
          <w:rStyle w:val="articlecitationpages"/>
          <w:rFonts w:ascii="Times New Roman" w:hAnsi="Times New Roman" w:cs="Times New Roman"/>
          <w:spacing w:val="2"/>
          <w:sz w:val="28"/>
          <w:szCs w:val="28"/>
        </w:rPr>
        <w:t>.</w:t>
      </w:r>
    </w:p>
    <w:p w14:paraId="04B19DD5" w14:textId="0AA9E49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Кушніренко С.В. Стан перекисного</w:t>
      </w:r>
      <w:r w:rsidR="00E328BC">
        <w:rPr>
          <w:rFonts w:ascii="Times New Roman" w:hAnsi="Times New Roman" w:cs="Times New Roman"/>
          <w:sz w:val="28"/>
          <w:szCs w:val="28"/>
          <w:lang w:val="uk-UA"/>
        </w:rPr>
        <w:t xml:space="preserve"> окислення ліпідів та антиокси</w:t>
      </w:r>
      <w:r w:rsidRPr="0069535E">
        <w:rPr>
          <w:rFonts w:ascii="Times New Roman" w:hAnsi="Times New Roman" w:cs="Times New Roman"/>
          <w:sz w:val="28"/>
          <w:szCs w:val="28"/>
          <w:lang w:val="uk-UA"/>
        </w:rPr>
        <w:t>дантної системи у дітей, хворих на хронічний пієлонефрит / С.В. Кушніренко // Перинатологія та педіатрія.</w:t>
      </w:r>
      <w:r>
        <w:rPr>
          <w:rFonts w:ascii="Times New Roman" w:hAnsi="Times New Roman" w:cs="Times New Roman"/>
          <w:sz w:val="28"/>
          <w:szCs w:val="28"/>
          <w:lang w:val="uk-UA"/>
        </w:rPr>
        <w:t xml:space="preserve"> — 2003. — № 1. — С. 32-35.</w:t>
      </w:r>
    </w:p>
    <w:p w14:paraId="2D00944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Мансурова Ф.Х. Перекисное окисление липидов и антиоксидантная защита у больных с хроническим гепатитом С / Ф.Х. Мансурова, Х.Ш. Мутихова, С.О. Олимова // Клиническая м</w:t>
      </w:r>
      <w:r>
        <w:rPr>
          <w:rFonts w:ascii="Times New Roman" w:hAnsi="Times New Roman" w:cs="Times New Roman"/>
          <w:sz w:val="28"/>
          <w:szCs w:val="28"/>
          <w:lang w:val="uk-UA"/>
        </w:rPr>
        <w:t>едицина. — 2005. — № 5. — С. 39-</w:t>
      </w:r>
      <w:r w:rsidRPr="0069535E">
        <w:rPr>
          <w:rFonts w:ascii="Times New Roman" w:hAnsi="Times New Roman" w:cs="Times New Roman"/>
          <w:sz w:val="28"/>
          <w:szCs w:val="28"/>
          <w:lang w:val="uk-UA"/>
        </w:rPr>
        <w:t>42.</w:t>
      </w:r>
    </w:p>
    <w:p w14:paraId="0A460FF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Баринов</w:t>
      </w:r>
      <w:r w:rsidRPr="0069535E">
        <w:rPr>
          <w:rFonts w:ascii="Times New Roman" w:hAnsi="Times New Roman" w:cs="Times New Roman"/>
          <w:sz w:val="28"/>
          <w:szCs w:val="28"/>
          <w:lang w:val="uk-UA"/>
        </w:rPr>
        <w:t xml:space="preserve"> А.Н. Роль окислительного стресса в заболеваниях нервной системы – пути коррекции / А.Н. Баринов // Трудный пациент. – 2012</w:t>
      </w:r>
      <w:r>
        <w:rPr>
          <w:rFonts w:ascii="Times New Roman" w:hAnsi="Times New Roman" w:cs="Times New Roman"/>
          <w:sz w:val="28"/>
          <w:szCs w:val="28"/>
          <w:lang w:val="uk-UA"/>
        </w:rPr>
        <w:t xml:space="preserve">. – №1. – С. 6–8. </w:t>
      </w:r>
    </w:p>
    <w:p w14:paraId="3CE0115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Басов</w:t>
      </w:r>
      <w:r w:rsidRPr="0069535E">
        <w:rPr>
          <w:rFonts w:ascii="Times New Roman" w:hAnsi="Times New Roman" w:cs="Times New Roman"/>
          <w:sz w:val="28"/>
          <w:szCs w:val="28"/>
          <w:lang w:val="uk-UA"/>
        </w:rPr>
        <w:t xml:space="preserve"> А.А. Изменение иммунологической реактивности и процессов свободнорадикального окисления в ротовой жидкости у больных с сахарным диабетом 2 типа / А.А. Басов, И.М. Быков, К.И. Мелконян // Международный журнал прикладных и фундаментальных исследований.</w:t>
      </w:r>
      <w:r>
        <w:rPr>
          <w:rFonts w:ascii="Times New Roman" w:hAnsi="Times New Roman" w:cs="Times New Roman"/>
          <w:sz w:val="28"/>
          <w:szCs w:val="28"/>
          <w:lang w:val="uk-UA"/>
        </w:rPr>
        <w:t xml:space="preserve"> – 2014. – № 2. – </w:t>
      </w:r>
      <w:r w:rsidRPr="0069535E">
        <w:rPr>
          <w:rFonts w:ascii="Times New Roman" w:hAnsi="Times New Roman" w:cs="Times New Roman"/>
          <w:sz w:val="28"/>
          <w:szCs w:val="28"/>
          <w:lang w:val="uk-UA"/>
        </w:rPr>
        <w:t>С. 31–34</w:t>
      </w:r>
      <w:r>
        <w:rPr>
          <w:rFonts w:ascii="Times New Roman" w:hAnsi="Times New Roman" w:cs="Times New Roman"/>
          <w:sz w:val="28"/>
          <w:szCs w:val="28"/>
          <w:lang w:val="uk-UA"/>
        </w:rPr>
        <w:t xml:space="preserve">. </w:t>
      </w:r>
    </w:p>
    <w:p w14:paraId="7B06D5F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Басов</w:t>
      </w:r>
      <w:r w:rsidRPr="0069535E">
        <w:rPr>
          <w:rFonts w:ascii="Times New Roman" w:hAnsi="Times New Roman" w:cs="Times New Roman"/>
          <w:sz w:val="28"/>
          <w:szCs w:val="28"/>
          <w:lang w:val="uk-UA"/>
        </w:rPr>
        <w:t xml:space="preserve"> A.A. Мониторинг и коррекция свободнорадикальных процессов в экспериментальной и клинической практи</w:t>
      </w:r>
      <w:r>
        <w:rPr>
          <w:rFonts w:ascii="Times New Roman" w:hAnsi="Times New Roman" w:cs="Times New Roman"/>
          <w:sz w:val="28"/>
          <w:szCs w:val="28"/>
          <w:lang w:val="uk-UA"/>
        </w:rPr>
        <w:t xml:space="preserve">ке /A.A. Басов, </w:t>
      </w:r>
      <w:r w:rsidRPr="0069535E">
        <w:rPr>
          <w:rFonts w:ascii="Times New Roman" w:hAnsi="Times New Roman" w:cs="Times New Roman"/>
          <w:sz w:val="28"/>
          <w:szCs w:val="28"/>
          <w:lang w:val="uk-UA"/>
        </w:rPr>
        <w:t>C.C. Джимак, H.И. Быкова : Монография. – Краснодар : Изд-во Кубанского гос. ун-та, 2013. – 169 с.</w:t>
      </w:r>
    </w:p>
    <w:p w14:paraId="504AE22F" w14:textId="5472C05A"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Sculley</w:t>
      </w:r>
      <w:r>
        <w:rPr>
          <w:rFonts w:ascii="Times New Roman" w:hAnsi="Times New Roman" w:cs="Times New Roman"/>
          <w:sz w:val="28"/>
          <w:szCs w:val="28"/>
        </w:rPr>
        <w:t xml:space="preserve"> D.V</w:t>
      </w:r>
      <w:r>
        <w:rPr>
          <w:rFonts w:ascii="Times New Roman" w:hAnsi="Times New Roman" w:cs="Times New Roman"/>
          <w:sz w:val="28"/>
          <w:szCs w:val="28"/>
          <w:lang w:val="uk-UA"/>
        </w:rPr>
        <w:t xml:space="preserve">. </w:t>
      </w:r>
      <w:r w:rsidRPr="0069535E">
        <w:rPr>
          <w:rFonts w:ascii="Times New Roman" w:hAnsi="Times New Roman" w:cs="Times New Roman"/>
          <w:sz w:val="28"/>
          <w:szCs w:val="28"/>
          <w:lang w:val="uk-UA"/>
        </w:rPr>
        <w:t xml:space="preserve">Periodontal disease is associated with lower antioxidant capacity in whole saliva and evidence </w:t>
      </w:r>
      <w:r>
        <w:rPr>
          <w:rFonts w:ascii="Times New Roman" w:hAnsi="Times New Roman" w:cs="Times New Roman"/>
          <w:sz w:val="28"/>
          <w:szCs w:val="28"/>
          <w:lang w:val="uk-UA"/>
        </w:rPr>
        <w:t xml:space="preserve">of increased protein oxidation / </w:t>
      </w:r>
      <w:r w:rsidRPr="0069535E">
        <w:rPr>
          <w:rFonts w:ascii="Times New Roman" w:hAnsi="Times New Roman" w:cs="Times New Roman"/>
          <w:sz w:val="28"/>
          <w:szCs w:val="28"/>
          <w:lang w:val="uk-UA"/>
        </w:rPr>
        <w:t>D.V. Sculley, S.C. Langley-Evans</w:t>
      </w:r>
      <w:r>
        <w:rPr>
          <w:rFonts w:ascii="Times New Roman" w:hAnsi="Times New Roman" w:cs="Times New Roman"/>
          <w:sz w:val="28"/>
          <w:szCs w:val="28"/>
        </w:rPr>
        <w:t xml:space="preserve"> //</w:t>
      </w:r>
      <w:r w:rsidRPr="0069535E">
        <w:rPr>
          <w:rFonts w:ascii="Times New Roman" w:hAnsi="Times New Roman" w:cs="Times New Roman"/>
          <w:sz w:val="28"/>
          <w:szCs w:val="28"/>
          <w:lang w:val="uk-UA"/>
        </w:rPr>
        <w:t xml:space="preserve"> Clin Sci (L</w:t>
      </w:r>
      <w:r>
        <w:rPr>
          <w:rFonts w:ascii="Times New Roman" w:hAnsi="Times New Roman" w:cs="Times New Roman"/>
          <w:sz w:val="28"/>
          <w:szCs w:val="28"/>
          <w:lang w:val="uk-UA"/>
        </w:rPr>
        <w:t>ond).</w:t>
      </w:r>
      <w:r>
        <w:rPr>
          <w:rFonts w:ascii="Times New Roman" w:hAnsi="Times New Roman" w:cs="Times New Roman"/>
          <w:sz w:val="28"/>
          <w:szCs w:val="28"/>
        </w:rPr>
        <w:t xml:space="preserve"> </w:t>
      </w:r>
      <w:r w:rsidR="00581BE7">
        <w:rPr>
          <w:rFonts w:ascii="Times New Roman" w:hAnsi="Times New Roman" w:cs="Times New Roman"/>
          <w:sz w:val="28"/>
          <w:szCs w:val="28"/>
        </w:rPr>
        <w:t>–</w:t>
      </w:r>
      <w:r>
        <w:rPr>
          <w:rFonts w:ascii="Times New Roman" w:hAnsi="Times New Roman" w:cs="Times New Roman"/>
          <w:sz w:val="28"/>
          <w:szCs w:val="28"/>
        </w:rPr>
        <w:t xml:space="preserve"> 2005. </w:t>
      </w:r>
      <w:r w:rsidR="00581BE7">
        <w:rPr>
          <w:rFonts w:ascii="Times New Roman" w:hAnsi="Times New Roman" w:cs="Times New Roman"/>
          <w:sz w:val="28"/>
          <w:szCs w:val="28"/>
        </w:rPr>
        <w:t>–</w:t>
      </w:r>
      <w:r>
        <w:rPr>
          <w:rFonts w:ascii="Times New Roman" w:hAnsi="Times New Roman" w:cs="Times New Roman"/>
          <w:sz w:val="28"/>
          <w:szCs w:val="28"/>
          <w:lang w:val="uk-UA"/>
        </w:rPr>
        <w:t xml:space="preserve"> Vol. 105.</w:t>
      </w:r>
      <w:r w:rsidR="00581BE7" w:rsidRPr="00581BE7">
        <w:rPr>
          <w:rFonts w:ascii="Times New Roman" w:hAnsi="Times New Roman" w:cs="Times New Roman"/>
          <w:sz w:val="28"/>
          <w:szCs w:val="28"/>
        </w:rPr>
        <w:t xml:space="preserve"> </w:t>
      </w:r>
      <w:r w:rsidR="00581BE7">
        <w:rPr>
          <w:rFonts w:ascii="Times New Roman" w:hAnsi="Times New Roman" w:cs="Times New Roman"/>
          <w:sz w:val="28"/>
          <w:szCs w:val="28"/>
        </w:rPr>
        <w:t>–</w:t>
      </w:r>
      <w:r>
        <w:rPr>
          <w:rFonts w:ascii="Times New Roman" w:hAnsi="Times New Roman" w:cs="Times New Roman"/>
          <w:sz w:val="28"/>
          <w:szCs w:val="28"/>
          <w:lang w:val="uk-UA"/>
        </w:rPr>
        <w:t>P. 167–172</w:t>
      </w:r>
      <w:r w:rsidRPr="0069535E">
        <w:rPr>
          <w:rFonts w:ascii="Times New Roman" w:hAnsi="Times New Roman" w:cs="Times New Roman"/>
          <w:sz w:val="28"/>
          <w:szCs w:val="28"/>
          <w:lang w:val="uk-UA"/>
        </w:rPr>
        <w:t>.</w:t>
      </w:r>
    </w:p>
    <w:p w14:paraId="63D3F851"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69535E">
        <w:rPr>
          <w:rFonts w:ascii="Times New Roman" w:hAnsi="Times New Roman" w:cs="Times New Roman"/>
          <w:sz w:val="28"/>
          <w:szCs w:val="28"/>
          <w:lang w:val="uk-UA"/>
        </w:rPr>
        <w:t>Бы</w:t>
      </w:r>
      <w:r>
        <w:rPr>
          <w:rFonts w:ascii="Times New Roman" w:hAnsi="Times New Roman" w:cs="Times New Roman"/>
          <w:sz w:val="28"/>
          <w:szCs w:val="28"/>
          <w:lang w:val="uk-UA"/>
        </w:rPr>
        <w:t>ков</w:t>
      </w:r>
      <w:r w:rsidRPr="0069535E">
        <w:rPr>
          <w:rFonts w:ascii="Times New Roman" w:hAnsi="Times New Roman" w:cs="Times New Roman"/>
          <w:sz w:val="28"/>
          <w:szCs w:val="28"/>
          <w:lang w:val="uk-UA"/>
        </w:rPr>
        <w:t xml:space="preserve"> И.М. Особенности продукции иммуноглобулинов и состояния антирадикальной защиты в ротовой жидкости и крови при ишемической болезни сердца с нар</w:t>
      </w:r>
      <w:r>
        <w:rPr>
          <w:rFonts w:ascii="Times New Roman" w:hAnsi="Times New Roman" w:cs="Times New Roman"/>
          <w:sz w:val="28"/>
          <w:szCs w:val="28"/>
          <w:lang w:val="uk-UA"/>
        </w:rPr>
        <w:t xml:space="preserve">ушенным углеводным обменом / </w:t>
      </w:r>
      <w:r w:rsidRPr="0069535E">
        <w:rPr>
          <w:rFonts w:ascii="Times New Roman" w:hAnsi="Times New Roman" w:cs="Times New Roman"/>
          <w:sz w:val="28"/>
          <w:szCs w:val="28"/>
          <w:lang w:val="uk-UA"/>
        </w:rPr>
        <w:t>И.М. Быков, А.А. Басов, Т.В. Еремина, Т.С. Хвостова, Н.И. Быкова // Международный журнал прикладных и фундаментальных исследований.</w:t>
      </w:r>
      <w:r>
        <w:rPr>
          <w:rFonts w:ascii="Times New Roman" w:hAnsi="Times New Roman" w:cs="Times New Roman"/>
          <w:sz w:val="28"/>
          <w:szCs w:val="28"/>
          <w:lang w:val="uk-UA"/>
        </w:rPr>
        <w:t xml:space="preserve"> – 2014. – № 2. – С. 41–44. </w:t>
      </w:r>
    </w:p>
    <w:p w14:paraId="55EA340F"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Быков</w:t>
      </w:r>
      <w:r w:rsidRPr="0069535E">
        <w:rPr>
          <w:rFonts w:ascii="Times New Roman" w:hAnsi="Times New Roman" w:cs="Times New Roman"/>
          <w:sz w:val="28"/>
          <w:szCs w:val="28"/>
          <w:lang w:val="uk-UA"/>
        </w:rPr>
        <w:t xml:space="preserve"> И.М. Сравнительная антиоксидантная емкость некоторых отечественных и импортных чайных напитков / И.М. Быков,</w:t>
      </w:r>
      <w:r>
        <w:rPr>
          <w:rFonts w:ascii="Times New Roman" w:hAnsi="Times New Roman" w:cs="Times New Roman"/>
          <w:sz w:val="28"/>
          <w:szCs w:val="28"/>
          <w:lang w:val="uk-UA"/>
        </w:rPr>
        <w:t xml:space="preserve"> </w:t>
      </w:r>
      <w:r w:rsidRPr="0069535E">
        <w:rPr>
          <w:rFonts w:ascii="Times New Roman" w:hAnsi="Times New Roman" w:cs="Times New Roman"/>
          <w:sz w:val="28"/>
          <w:szCs w:val="28"/>
          <w:lang w:val="uk-UA"/>
        </w:rPr>
        <w:t>И.И. Павлюченко, И.А. Луговая, А.А. Басов, С.Р. Федосов // Успехи современного естествознани</w:t>
      </w:r>
      <w:r>
        <w:rPr>
          <w:rFonts w:ascii="Times New Roman" w:hAnsi="Times New Roman" w:cs="Times New Roman"/>
          <w:sz w:val="28"/>
          <w:szCs w:val="28"/>
          <w:lang w:val="uk-UA"/>
        </w:rPr>
        <w:t xml:space="preserve">я. – 2005. – № 10. – С. 40. </w:t>
      </w:r>
    </w:p>
    <w:p w14:paraId="14DC0E3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Вавилова</w:t>
      </w:r>
      <w:r w:rsidRPr="0069535E">
        <w:rPr>
          <w:rFonts w:ascii="Times New Roman" w:hAnsi="Times New Roman" w:cs="Times New Roman"/>
          <w:sz w:val="28"/>
          <w:szCs w:val="28"/>
          <w:lang w:val="uk-UA"/>
        </w:rPr>
        <w:t xml:space="preserve"> Т.П. Биохимия тканей и жидкостей полости рта : учеб. пособие / Т.П. Вавилова. – 2-е изд., испр. и доп. – М. : «ГЭОТАР-Медиа», 2008. – 208 с.</w:t>
      </w:r>
    </w:p>
    <w:p w14:paraId="591A745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Panagakos F. S. </w:t>
      </w:r>
      <w:r w:rsidRPr="002D4849">
        <w:rPr>
          <w:rFonts w:ascii="Times New Roman" w:hAnsi="Times New Roman" w:cs="Times New Roman"/>
          <w:sz w:val="28"/>
          <w:szCs w:val="28"/>
          <w:lang w:val="uk-UA"/>
        </w:rPr>
        <w:t>Gingival Diseases - Their Aetiology, Prevention and Treatment. Edited by Fotinos S. Panagakos and Robin M. Davies,</w:t>
      </w:r>
      <w:r>
        <w:rPr>
          <w:rFonts w:ascii="Times New Roman" w:hAnsi="Times New Roman" w:cs="Times New Roman"/>
          <w:sz w:val="28"/>
          <w:szCs w:val="28"/>
        </w:rPr>
        <w:t xml:space="preserve"> </w:t>
      </w:r>
      <w:r w:rsidRPr="002D4849">
        <w:rPr>
          <w:rFonts w:ascii="Times New Roman" w:hAnsi="Times New Roman" w:cs="Times New Roman"/>
          <w:sz w:val="28"/>
          <w:szCs w:val="28"/>
        </w:rPr>
        <w:t>Publisher: InTech,</w:t>
      </w:r>
      <w:r>
        <w:rPr>
          <w:rFonts w:ascii="Times New Roman" w:hAnsi="Times New Roman" w:cs="Times New Roman"/>
          <w:sz w:val="28"/>
          <w:szCs w:val="28"/>
        </w:rPr>
        <w:t xml:space="preserve"> 2011. -</w:t>
      </w:r>
      <w:r>
        <w:rPr>
          <w:rFonts w:ascii="Times New Roman" w:hAnsi="Times New Roman" w:cs="Times New Roman"/>
          <w:sz w:val="28"/>
          <w:szCs w:val="28"/>
          <w:lang w:val="uk-UA"/>
        </w:rPr>
        <w:t xml:space="preserve"> 246 p.</w:t>
      </w:r>
    </w:p>
    <w:p w14:paraId="66ED8943" w14:textId="04E10B0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56A0E">
        <w:rPr>
          <w:rFonts w:ascii="Times New Roman" w:hAnsi="Times New Roman" w:cs="Times New Roman"/>
          <w:sz w:val="28"/>
          <w:szCs w:val="28"/>
          <w:lang w:val="uk-UA"/>
        </w:rPr>
        <w:t>Wen B</w:t>
      </w:r>
      <w:r>
        <w:rPr>
          <w:rFonts w:ascii="Times New Roman" w:hAnsi="Times New Roman" w:cs="Times New Roman"/>
          <w:sz w:val="28"/>
          <w:szCs w:val="28"/>
          <w:lang w:val="uk-UA"/>
        </w:rPr>
        <w:t>.</w:t>
      </w:r>
      <w:r w:rsidRPr="00F56A0E">
        <w:rPr>
          <w:rFonts w:ascii="Times New Roman" w:hAnsi="Times New Roman" w:cs="Times New Roman"/>
          <w:sz w:val="28"/>
          <w:szCs w:val="28"/>
          <w:lang w:val="uk-UA"/>
        </w:rPr>
        <w:t>W</w:t>
      </w:r>
      <w:r>
        <w:rPr>
          <w:rFonts w:ascii="Times New Roman" w:hAnsi="Times New Roman" w:cs="Times New Roman"/>
          <w:sz w:val="28"/>
          <w:szCs w:val="28"/>
          <w:lang w:val="uk-UA"/>
        </w:rPr>
        <w:t xml:space="preserve">. </w:t>
      </w:r>
      <w:r w:rsidRPr="00F56A0E">
        <w:rPr>
          <w:rFonts w:ascii="Times New Roman" w:hAnsi="Times New Roman" w:cs="Times New Roman"/>
          <w:sz w:val="28"/>
          <w:szCs w:val="28"/>
          <w:lang w:val="uk-UA"/>
        </w:rPr>
        <w:t>Cancer risk among gingivitis and periodontitis pati</w:t>
      </w:r>
      <w:r w:rsidR="00581BE7">
        <w:rPr>
          <w:rFonts w:ascii="Times New Roman" w:hAnsi="Times New Roman" w:cs="Times New Roman"/>
          <w:sz w:val="28"/>
          <w:szCs w:val="28"/>
          <w:lang w:val="uk-UA"/>
        </w:rPr>
        <w:t>ents: a nationwide cohort study / B.W. Wen //</w:t>
      </w:r>
      <w:r w:rsidR="00581BE7">
        <w:rPr>
          <w:rFonts w:ascii="Times New Roman" w:hAnsi="Times New Roman" w:cs="Times New Roman"/>
          <w:sz w:val="28"/>
          <w:szCs w:val="28"/>
        </w:rPr>
        <w:t xml:space="preserve"> </w:t>
      </w:r>
      <w:r w:rsidRPr="00F56A0E">
        <w:rPr>
          <w:rFonts w:ascii="Times New Roman" w:hAnsi="Times New Roman" w:cs="Times New Roman"/>
          <w:sz w:val="28"/>
          <w:szCs w:val="28"/>
          <w:lang w:val="uk-UA"/>
        </w:rPr>
        <w:t xml:space="preserve">QJM. </w:t>
      </w:r>
      <w:r w:rsidR="00581BE7">
        <w:rPr>
          <w:rFonts w:ascii="Times New Roman" w:hAnsi="Times New Roman" w:cs="Times New Roman"/>
          <w:sz w:val="28"/>
          <w:szCs w:val="28"/>
        </w:rPr>
        <w:t xml:space="preserve">– </w:t>
      </w:r>
      <w:r w:rsidRPr="00F56A0E">
        <w:rPr>
          <w:rFonts w:ascii="Times New Roman" w:hAnsi="Times New Roman" w:cs="Times New Roman"/>
          <w:sz w:val="28"/>
          <w:szCs w:val="28"/>
          <w:lang w:val="uk-UA"/>
        </w:rPr>
        <w:t>2014</w:t>
      </w:r>
      <w:r w:rsidR="00581BE7">
        <w:rPr>
          <w:rFonts w:ascii="Times New Roman" w:hAnsi="Times New Roman" w:cs="Times New Roman"/>
          <w:sz w:val="28"/>
          <w:szCs w:val="28"/>
        </w:rPr>
        <w:t>. – Vol.</w:t>
      </w:r>
      <w:r w:rsidR="00581BE7">
        <w:rPr>
          <w:rFonts w:ascii="Times New Roman" w:hAnsi="Times New Roman" w:cs="Times New Roman"/>
          <w:sz w:val="28"/>
          <w:szCs w:val="28"/>
          <w:lang w:val="uk-UA"/>
        </w:rPr>
        <w:t xml:space="preserve">107(4). </w:t>
      </w:r>
      <w:r w:rsidR="00581BE7">
        <w:rPr>
          <w:rFonts w:ascii="Times New Roman" w:hAnsi="Times New Roman" w:cs="Times New Roman"/>
          <w:sz w:val="28"/>
          <w:szCs w:val="28"/>
        </w:rPr>
        <w:t>– P.</w:t>
      </w:r>
      <w:r w:rsidRPr="00F56A0E">
        <w:rPr>
          <w:rFonts w:ascii="Times New Roman" w:hAnsi="Times New Roman" w:cs="Times New Roman"/>
          <w:sz w:val="28"/>
          <w:szCs w:val="28"/>
          <w:lang w:val="uk-UA"/>
        </w:rPr>
        <w:t>283-</w:t>
      </w:r>
      <w:r w:rsidR="00581BE7">
        <w:rPr>
          <w:rFonts w:ascii="Times New Roman" w:hAnsi="Times New Roman" w:cs="Times New Roman"/>
          <w:sz w:val="28"/>
          <w:szCs w:val="28"/>
        </w:rPr>
        <w:t>2</w:t>
      </w:r>
      <w:r w:rsidRPr="00F56A0E">
        <w:rPr>
          <w:rFonts w:ascii="Times New Roman" w:hAnsi="Times New Roman" w:cs="Times New Roman"/>
          <w:sz w:val="28"/>
          <w:szCs w:val="28"/>
          <w:lang w:val="uk-UA"/>
        </w:rPr>
        <w:t>90.</w:t>
      </w:r>
      <w:r>
        <w:rPr>
          <w:rFonts w:ascii="Times New Roman" w:hAnsi="Times New Roman" w:cs="Times New Roman"/>
          <w:sz w:val="28"/>
          <w:szCs w:val="28"/>
          <w:lang w:val="uk-UA"/>
        </w:rPr>
        <w:t xml:space="preserve"> </w:t>
      </w:r>
    </w:p>
    <w:p w14:paraId="41B7CBDF" w14:textId="053008D8" w:rsidR="002767DC" w:rsidRDefault="00581BE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Söder B</w:t>
      </w:r>
      <w:r w:rsidR="002767DC" w:rsidRPr="00F56A0E">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Unique database study linking gingival inflammation</w:t>
      </w:r>
      <w:r>
        <w:rPr>
          <w:rFonts w:ascii="Times New Roman" w:hAnsi="Times New Roman" w:cs="Times New Roman"/>
          <w:sz w:val="28"/>
          <w:szCs w:val="28"/>
          <w:lang w:val="uk-UA"/>
        </w:rPr>
        <w:t xml:space="preserve"> and smoking in carcinogenesis / </w:t>
      </w:r>
      <w:r>
        <w:rPr>
          <w:rFonts w:ascii="Times New Roman" w:hAnsi="Times New Roman" w:cs="Times New Roman"/>
          <w:sz w:val="28"/>
          <w:szCs w:val="28"/>
        </w:rPr>
        <w:t xml:space="preserve">B. </w:t>
      </w:r>
      <w:r>
        <w:rPr>
          <w:rFonts w:ascii="Times New Roman" w:hAnsi="Times New Roman" w:cs="Times New Roman"/>
          <w:sz w:val="28"/>
          <w:szCs w:val="28"/>
          <w:lang w:val="uk-UA"/>
        </w:rPr>
        <w:t>Söder</w:t>
      </w:r>
      <w:r w:rsidRPr="00F56A0E">
        <w:rPr>
          <w:rFonts w:ascii="Times New Roman" w:hAnsi="Times New Roman" w:cs="Times New Roman"/>
          <w:sz w:val="28"/>
          <w:szCs w:val="28"/>
          <w:lang w:val="uk-UA"/>
        </w:rPr>
        <w:t>, L</w:t>
      </w:r>
      <w:r>
        <w:rPr>
          <w:rFonts w:ascii="Times New Roman" w:hAnsi="Times New Roman" w:cs="Times New Roman"/>
          <w:sz w:val="28"/>
          <w:szCs w:val="28"/>
        </w:rPr>
        <w:t>.</w:t>
      </w:r>
      <w:r w:rsidRPr="00F56A0E">
        <w:rPr>
          <w:rFonts w:ascii="Times New Roman" w:hAnsi="Times New Roman" w:cs="Times New Roman"/>
          <w:sz w:val="28"/>
          <w:szCs w:val="28"/>
          <w:lang w:val="uk-UA"/>
        </w:rPr>
        <w:t>C</w:t>
      </w:r>
      <w:r>
        <w:rPr>
          <w:rFonts w:ascii="Times New Roman" w:hAnsi="Times New Roman" w:cs="Times New Roman"/>
          <w:sz w:val="28"/>
          <w:szCs w:val="28"/>
        </w:rPr>
        <w:t xml:space="preserve">. </w:t>
      </w:r>
      <w:r>
        <w:rPr>
          <w:rFonts w:ascii="Times New Roman" w:hAnsi="Times New Roman" w:cs="Times New Roman"/>
          <w:sz w:val="28"/>
          <w:szCs w:val="28"/>
          <w:lang w:val="uk-UA"/>
        </w:rPr>
        <w:t>Andersson</w:t>
      </w:r>
      <w:r w:rsidRPr="00F56A0E">
        <w:rPr>
          <w:rFonts w:ascii="Times New Roman" w:hAnsi="Times New Roman" w:cs="Times New Roman"/>
          <w:sz w:val="28"/>
          <w:szCs w:val="28"/>
          <w:lang w:val="uk-UA"/>
        </w:rPr>
        <w:t xml:space="preserve">, </w:t>
      </w:r>
      <w:r>
        <w:rPr>
          <w:rFonts w:ascii="Times New Roman" w:hAnsi="Times New Roman" w:cs="Times New Roman"/>
          <w:sz w:val="28"/>
          <w:szCs w:val="28"/>
        </w:rPr>
        <w:t xml:space="preserve">J.H. </w:t>
      </w:r>
      <w:r>
        <w:rPr>
          <w:rFonts w:ascii="Times New Roman" w:hAnsi="Times New Roman" w:cs="Times New Roman"/>
          <w:sz w:val="28"/>
          <w:szCs w:val="28"/>
          <w:lang w:val="uk-UA"/>
        </w:rPr>
        <w:t>Meurman</w:t>
      </w:r>
      <w:r w:rsidRPr="00F56A0E">
        <w:rPr>
          <w:rFonts w:ascii="Times New Roman" w:hAnsi="Times New Roman" w:cs="Times New Roman"/>
          <w:sz w:val="28"/>
          <w:szCs w:val="28"/>
          <w:lang w:val="uk-UA"/>
        </w:rPr>
        <w:t>, P</w:t>
      </w:r>
      <w:r>
        <w:rPr>
          <w:rFonts w:ascii="Times New Roman" w:hAnsi="Times New Roman" w:cs="Times New Roman"/>
          <w:sz w:val="28"/>
          <w:szCs w:val="28"/>
        </w:rPr>
        <w:t>.</w:t>
      </w:r>
      <w:r w:rsidRPr="00F56A0E">
        <w:rPr>
          <w:rFonts w:ascii="Times New Roman" w:hAnsi="Times New Roman" w:cs="Times New Roman"/>
          <w:sz w:val="28"/>
          <w:szCs w:val="28"/>
          <w:lang w:val="uk-UA"/>
        </w:rPr>
        <w:t>Ö</w:t>
      </w:r>
      <w:r>
        <w:rPr>
          <w:rFonts w:ascii="Times New Roman" w:hAnsi="Times New Roman" w:cs="Times New Roman"/>
          <w:sz w:val="28"/>
          <w:szCs w:val="28"/>
        </w:rPr>
        <w:t>.</w:t>
      </w:r>
      <w:r w:rsidRPr="00F56A0E">
        <w:rPr>
          <w:rFonts w:ascii="Times New Roman" w:hAnsi="Times New Roman" w:cs="Times New Roman"/>
          <w:sz w:val="28"/>
          <w:szCs w:val="28"/>
          <w:lang w:val="uk-UA"/>
        </w:rPr>
        <w:t xml:space="preserve"> </w:t>
      </w:r>
      <w:r>
        <w:rPr>
          <w:rFonts w:ascii="Times New Roman" w:hAnsi="Times New Roman" w:cs="Times New Roman"/>
          <w:sz w:val="28"/>
          <w:szCs w:val="28"/>
          <w:lang w:val="uk-UA"/>
        </w:rPr>
        <w:t>Söder</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Phil</w:t>
      </w:r>
      <w:r>
        <w:rPr>
          <w:rFonts w:ascii="Times New Roman" w:hAnsi="Times New Roman" w:cs="Times New Roman"/>
          <w:sz w:val="28"/>
          <w:szCs w:val="28"/>
          <w:lang w:val="uk-UA"/>
        </w:rPr>
        <w:t>os Trans R Soc Lond B Biol Sci.</w:t>
      </w:r>
      <w:r>
        <w:rPr>
          <w:rFonts w:ascii="Times New Roman" w:hAnsi="Times New Roman" w:cs="Times New Roman"/>
          <w:sz w:val="28"/>
          <w:szCs w:val="28"/>
        </w:rPr>
        <w:t xml:space="preserve"> – </w:t>
      </w:r>
      <w:r w:rsidR="002767DC" w:rsidRPr="00F56A0E">
        <w:rPr>
          <w:rFonts w:ascii="Times New Roman" w:hAnsi="Times New Roman" w:cs="Times New Roman"/>
          <w:sz w:val="28"/>
          <w:szCs w:val="28"/>
          <w:lang w:val="uk-UA"/>
        </w:rPr>
        <w:t>2015</w:t>
      </w:r>
      <w:r>
        <w:rPr>
          <w:rFonts w:ascii="Times New Roman" w:hAnsi="Times New Roman" w:cs="Times New Roman"/>
          <w:sz w:val="28"/>
          <w:szCs w:val="28"/>
        </w:rPr>
        <w:t>. – Vol.</w:t>
      </w:r>
      <w:r>
        <w:rPr>
          <w:rFonts w:ascii="Times New Roman" w:hAnsi="Times New Roman" w:cs="Times New Roman"/>
          <w:sz w:val="28"/>
          <w:szCs w:val="28"/>
          <w:lang w:val="uk-UA"/>
        </w:rPr>
        <w:t>370</w:t>
      </w:r>
      <w:r>
        <w:rPr>
          <w:rFonts w:ascii="Times New Roman" w:hAnsi="Times New Roman" w:cs="Times New Roman"/>
          <w:sz w:val="28"/>
          <w:szCs w:val="28"/>
        </w:rPr>
        <w:t>. – P.366-382.</w:t>
      </w:r>
    </w:p>
    <w:p w14:paraId="4314FF81" w14:textId="3599702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F56A0E">
        <w:rPr>
          <w:rFonts w:ascii="Times New Roman" w:hAnsi="Times New Roman" w:cs="Times New Roman"/>
          <w:sz w:val="28"/>
          <w:szCs w:val="28"/>
          <w:lang w:val="uk-UA"/>
        </w:rPr>
        <w:t>Söder B</w:t>
      </w:r>
      <w:r>
        <w:rPr>
          <w:rFonts w:ascii="Times New Roman" w:hAnsi="Times New Roman" w:cs="Times New Roman"/>
          <w:sz w:val="28"/>
          <w:szCs w:val="28"/>
          <w:lang w:val="uk-UA"/>
        </w:rPr>
        <w:t>.</w:t>
      </w:r>
      <w:r w:rsidRPr="00F56A0E">
        <w:rPr>
          <w:rFonts w:ascii="Times New Roman" w:hAnsi="Times New Roman" w:cs="Times New Roman"/>
          <w:sz w:val="28"/>
          <w:szCs w:val="28"/>
          <w:lang w:val="uk-UA"/>
        </w:rPr>
        <w:t xml:space="preserve"> Early carotid atherosclerosis in subjects with periodontal diseases</w:t>
      </w:r>
      <w:r>
        <w:rPr>
          <w:rFonts w:ascii="Times New Roman" w:hAnsi="Times New Roman" w:cs="Times New Roman"/>
          <w:sz w:val="28"/>
          <w:szCs w:val="28"/>
          <w:lang w:val="uk-UA"/>
        </w:rPr>
        <w:t xml:space="preserve"> / </w:t>
      </w:r>
      <w:r w:rsidR="00581BE7">
        <w:rPr>
          <w:rFonts w:ascii="Times New Roman" w:hAnsi="Times New Roman" w:cs="Times New Roman"/>
          <w:sz w:val="28"/>
          <w:szCs w:val="28"/>
          <w:lang w:val="uk-UA"/>
        </w:rPr>
        <w:t>P.</w:t>
      </w:r>
      <w:r w:rsidR="00581BE7" w:rsidRPr="00F56A0E">
        <w:rPr>
          <w:rFonts w:ascii="Times New Roman" w:hAnsi="Times New Roman" w:cs="Times New Roman"/>
          <w:sz w:val="28"/>
          <w:szCs w:val="28"/>
          <w:lang w:val="uk-UA"/>
        </w:rPr>
        <w:t>Ö</w:t>
      </w:r>
      <w:r w:rsidR="00581BE7">
        <w:rPr>
          <w:rFonts w:ascii="Times New Roman" w:hAnsi="Times New Roman" w:cs="Times New Roman"/>
          <w:sz w:val="28"/>
          <w:szCs w:val="28"/>
        </w:rPr>
        <w:t>.</w:t>
      </w:r>
      <w:r w:rsidR="00581BE7" w:rsidRPr="00F56A0E">
        <w:rPr>
          <w:rFonts w:ascii="Times New Roman" w:hAnsi="Times New Roman" w:cs="Times New Roman"/>
          <w:sz w:val="28"/>
          <w:szCs w:val="28"/>
          <w:lang w:val="uk-UA"/>
        </w:rPr>
        <w:t xml:space="preserve"> </w:t>
      </w:r>
      <w:r w:rsidRPr="00F56A0E">
        <w:rPr>
          <w:rFonts w:ascii="Times New Roman" w:hAnsi="Times New Roman" w:cs="Times New Roman"/>
          <w:sz w:val="28"/>
          <w:szCs w:val="28"/>
          <w:lang w:val="uk-UA"/>
        </w:rPr>
        <w:t xml:space="preserve">Söder, </w:t>
      </w:r>
      <w:r w:rsidR="00581BE7">
        <w:rPr>
          <w:rFonts w:ascii="Times New Roman" w:hAnsi="Times New Roman" w:cs="Times New Roman"/>
          <w:sz w:val="28"/>
          <w:szCs w:val="28"/>
        </w:rPr>
        <w:t xml:space="preserve">B. </w:t>
      </w:r>
      <w:r w:rsidR="00581BE7">
        <w:rPr>
          <w:rFonts w:ascii="Times New Roman" w:hAnsi="Times New Roman" w:cs="Times New Roman"/>
          <w:sz w:val="28"/>
          <w:szCs w:val="28"/>
          <w:lang w:val="uk-UA"/>
        </w:rPr>
        <w:t>Söder</w:t>
      </w:r>
      <w:r w:rsidRPr="00F56A0E">
        <w:rPr>
          <w:rFonts w:ascii="Times New Roman" w:hAnsi="Times New Roman" w:cs="Times New Roman"/>
          <w:sz w:val="28"/>
          <w:szCs w:val="28"/>
          <w:lang w:val="uk-UA"/>
        </w:rPr>
        <w:t xml:space="preserve">, </w:t>
      </w:r>
      <w:r w:rsidR="00581BE7">
        <w:rPr>
          <w:rFonts w:ascii="Times New Roman" w:hAnsi="Times New Roman" w:cs="Times New Roman"/>
          <w:sz w:val="28"/>
          <w:szCs w:val="28"/>
        </w:rPr>
        <w:t xml:space="preserve">J. </w:t>
      </w:r>
      <w:r w:rsidR="00581BE7">
        <w:rPr>
          <w:rFonts w:ascii="Times New Roman" w:hAnsi="Times New Roman" w:cs="Times New Roman"/>
          <w:sz w:val="28"/>
          <w:szCs w:val="28"/>
          <w:lang w:val="uk-UA"/>
        </w:rPr>
        <w:t>Nowak</w:t>
      </w:r>
      <w:r w:rsidRPr="00F56A0E">
        <w:rPr>
          <w:rFonts w:ascii="Times New Roman" w:hAnsi="Times New Roman" w:cs="Times New Roman"/>
          <w:sz w:val="28"/>
          <w:szCs w:val="28"/>
          <w:lang w:val="uk-UA"/>
        </w:rPr>
        <w:t xml:space="preserve">, </w:t>
      </w:r>
      <w:r w:rsidR="00581BE7">
        <w:rPr>
          <w:rFonts w:ascii="Times New Roman" w:hAnsi="Times New Roman" w:cs="Times New Roman"/>
          <w:sz w:val="28"/>
          <w:szCs w:val="28"/>
        </w:rPr>
        <w:t xml:space="preserve">T. </w:t>
      </w:r>
      <w:r w:rsidR="00581BE7">
        <w:rPr>
          <w:rFonts w:ascii="Times New Roman" w:hAnsi="Times New Roman" w:cs="Times New Roman"/>
          <w:sz w:val="28"/>
          <w:szCs w:val="28"/>
          <w:lang w:val="uk-UA"/>
        </w:rPr>
        <w:t>Jogestrand</w:t>
      </w:r>
      <w:r>
        <w:rPr>
          <w:rFonts w:ascii="Times New Roman" w:hAnsi="Times New Roman" w:cs="Times New Roman"/>
          <w:sz w:val="28"/>
          <w:szCs w:val="28"/>
          <w:lang w:val="uk-UA"/>
        </w:rPr>
        <w:t xml:space="preserve"> // </w:t>
      </w:r>
      <w:r w:rsidRPr="00F56A0E">
        <w:rPr>
          <w:rFonts w:ascii="Times New Roman" w:hAnsi="Times New Roman" w:cs="Times New Roman"/>
          <w:sz w:val="28"/>
          <w:szCs w:val="28"/>
          <w:lang w:val="uk-UA"/>
        </w:rPr>
        <w:t>Stroke</w:t>
      </w:r>
      <w:r>
        <w:rPr>
          <w:rFonts w:ascii="Times New Roman" w:hAnsi="Times New Roman" w:cs="Times New Roman"/>
          <w:sz w:val="28"/>
          <w:szCs w:val="28"/>
          <w:lang w:val="uk-UA"/>
        </w:rPr>
        <w:t xml:space="preserve">. – 2005. – </w:t>
      </w:r>
      <w:r>
        <w:rPr>
          <w:rFonts w:ascii="Times New Roman" w:hAnsi="Times New Roman" w:cs="Times New Roman"/>
          <w:sz w:val="28"/>
          <w:szCs w:val="28"/>
        </w:rPr>
        <w:t>Vol.</w:t>
      </w:r>
      <w:r>
        <w:rPr>
          <w:rFonts w:ascii="Times New Roman" w:hAnsi="Times New Roman" w:cs="Times New Roman"/>
          <w:sz w:val="28"/>
          <w:szCs w:val="28"/>
          <w:lang w:val="uk-UA"/>
        </w:rPr>
        <w:t>36. – Р.</w:t>
      </w:r>
      <w:r w:rsidRPr="00F56A0E">
        <w:rPr>
          <w:rFonts w:ascii="Times New Roman" w:hAnsi="Times New Roman" w:cs="Times New Roman"/>
          <w:sz w:val="28"/>
          <w:szCs w:val="28"/>
          <w:lang w:val="uk-UA"/>
        </w:rPr>
        <w:t>1195–1200</w:t>
      </w:r>
    </w:p>
    <w:p w14:paraId="179ADB5F" w14:textId="08F89026" w:rsidR="002767DC" w:rsidRDefault="00323E9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Mattila K</w:t>
      </w:r>
      <w:r>
        <w:rPr>
          <w:rFonts w:ascii="Times New Roman" w:hAnsi="Times New Roman" w:cs="Times New Roman"/>
          <w:sz w:val="28"/>
          <w:szCs w:val="28"/>
        </w:rPr>
        <w:t>.</w:t>
      </w:r>
      <w:r>
        <w:rPr>
          <w:rFonts w:ascii="Times New Roman" w:hAnsi="Times New Roman" w:cs="Times New Roman"/>
          <w:sz w:val="28"/>
          <w:szCs w:val="28"/>
          <w:lang w:val="uk-UA"/>
        </w:rPr>
        <w:t>J</w:t>
      </w:r>
      <w:r w:rsidR="002767DC" w:rsidRPr="00F56A0E">
        <w:rPr>
          <w:rFonts w:ascii="Times New Roman" w:hAnsi="Times New Roman" w:cs="Times New Roman"/>
          <w:sz w:val="28"/>
          <w:szCs w:val="28"/>
          <w:lang w:val="uk-UA"/>
        </w:rPr>
        <w:t>.</w:t>
      </w:r>
      <w:r w:rsidR="002767DC">
        <w:rPr>
          <w:rFonts w:ascii="Times New Roman" w:hAnsi="Times New Roman" w:cs="Times New Roman"/>
          <w:sz w:val="28"/>
          <w:szCs w:val="28"/>
        </w:rPr>
        <w:t xml:space="preserve"> </w:t>
      </w:r>
      <w:r w:rsidR="002767DC" w:rsidRPr="00F56A0E">
        <w:rPr>
          <w:rFonts w:ascii="Times New Roman" w:hAnsi="Times New Roman" w:cs="Times New Roman"/>
          <w:sz w:val="28"/>
          <w:szCs w:val="28"/>
          <w:lang w:val="uk-UA"/>
        </w:rPr>
        <w:t>Dental infections and ca</w:t>
      </w:r>
      <w:r>
        <w:rPr>
          <w:rFonts w:ascii="Times New Roman" w:hAnsi="Times New Roman" w:cs="Times New Roman"/>
          <w:sz w:val="28"/>
          <w:szCs w:val="28"/>
          <w:lang w:val="uk-UA"/>
        </w:rPr>
        <w:t xml:space="preserve">rdiovascular diseases: a review / </w:t>
      </w:r>
      <w:r w:rsidRPr="00F56A0E">
        <w:rPr>
          <w:rFonts w:ascii="Times New Roman" w:hAnsi="Times New Roman" w:cs="Times New Roman"/>
          <w:sz w:val="28"/>
          <w:szCs w:val="28"/>
          <w:lang w:val="uk-UA"/>
        </w:rPr>
        <w:t>K</w:t>
      </w:r>
      <w:r>
        <w:rPr>
          <w:rFonts w:ascii="Times New Roman" w:hAnsi="Times New Roman" w:cs="Times New Roman"/>
          <w:sz w:val="28"/>
          <w:szCs w:val="28"/>
        </w:rPr>
        <w:t>.</w:t>
      </w:r>
      <w:r w:rsidRPr="00F56A0E">
        <w:rPr>
          <w:rFonts w:ascii="Times New Roman" w:hAnsi="Times New Roman" w:cs="Times New Roman"/>
          <w:sz w:val="28"/>
          <w:szCs w:val="28"/>
          <w:lang w:val="uk-UA"/>
        </w:rPr>
        <w:t>J</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Mattila, P</w:t>
      </w:r>
      <w:r>
        <w:rPr>
          <w:rFonts w:ascii="Times New Roman" w:hAnsi="Times New Roman" w:cs="Times New Roman"/>
          <w:sz w:val="28"/>
          <w:szCs w:val="28"/>
        </w:rPr>
        <w:t>.</w:t>
      </w:r>
      <w:r w:rsidRPr="00F56A0E">
        <w:rPr>
          <w:rFonts w:ascii="Times New Roman" w:hAnsi="Times New Roman" w:cs="Times New Roman"/>
          <w:sz w:val="28"/>
          <w:szCs w:val="28"/>
          <w:lang w:val="uk-UA"/>
        </w:rPr>
        <w:t>J</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Pussinen, S.</w:t>
      </w:r>
      <w:r>
        <w:rPr>
          <w:rFonts w:ascii="Times New Roman" w:hAnsi="Times New Roman" w:cs="Times New Roman"/>
          <w:sz w:val="28"/>
          <w:szCs w:val="28"/>
        </w:rPr>
        <w:t xml:space="preserve"> </w:t>
      </w:r>
      <w:r w:rsidRPr="00F56A0E">
        <w:rPr>
          <w:rFonts w:ascii="Times New Roman" w:hAnsi="Times New Roman" w:cs="Times New Roman"/>
          <w:sz w:val="28"/>
          <w:szCs w:val="28"/>
          <w:lang w:val="uk-UA"/>
        </w:rPr>
        <w:t xml:space="preserve">Paju </w:t>
      </w:r>
      <w:r>
        <w:rPr>
          <w:rFonts w:ascii="Times New Roman" w:hAnsi="Times New Roman" w:cs="Times New Roman"/>
          <w:sz w:val="28"/>
          <w:szCs w:val="28"/>
        </w:rPr>
        <w:t>//</w:t>
      </w:r>
      <w:r w:rsidR="002767DC">
        <w:rPr>
          <w:rFonts w:ascii="Times New Roman" w:hAnsi="Times New Roman" w:cs="Times New Roman"/>
          <w:sz w:val="28"/>
          <w:szCs w:val="28"/>
          <w:lang w:val="uk-UA"/>
        </w:rPr>
        <w:t xml:space="preserve"> </w:t>
      </w:r>
      <w:r w:rsidR="002767DC" w:rsidRPr="00F56A0E">
        <w:rPr>
          <w:rFonts w:ascii="Times New Roman" w:hAnsi="Times New Roman" w:cs="Times New Roman"/>
          <w:sz w:val="28"/>
          <w:szCs w:val="28"/>
          <w:lang w:val="uk-UA"/>
        </w:rPr>
        <w:t xml:space="preserve">J. Periodontol. </w:t>
      </w:r>
      <w:r w:rsidR="002767DC">
        <w:rPr>
          <w:rFonts w:ascii="Times New Roman" w:hAnsi="Times New Roman" w:cs="Times New Roman"/>
          <w:sz w:val="28"/>
          <w:szCs w:val="28"/>
          <w:lang w:val="uk-UA"/>
        </w:rPr>
        <w:t xml:space="preserve">– 2005. </w:t>
      </w:r>
      <w:r>
        <w:rPr>
          <w:rFonts w:ascii="Times New Roman" w:hAnsi="Times New Roman" w:cs="Times New Roman"/>
          <w:sz w:val="28"/>
          <w:szCs w:val="28"/>
          <w:lang w:val="uk-UA"/>
        </w:rPr>
        <w:t>–</w:t>
      </w:r>
      <w:r w:rsidR="002767DC">
        <w:rPr>
          <w:rFonts w:ascii="Times New Roman" w:hAnsi="Times New Roman" w:cs="Times New Roman"/>
          <w:sz w:val="28"/>
          <w:szCs w:val="28"/>
          <w:lang w:val="uk-UA"/>
        </w:rPr>
        <w:t xml:space="preserve"> </w:t>
      </w:r>
      <w:r w:rsidR="002767DC">
        <w:rPr>
          <w:rFonts w:ascii="Times New Roman" w:hAnsi="Times New Roman" w:cs="Times New Roman"/>
          <w:sz w:val="28"/>
          <w:szCs w:val="28"/>
        </w:rPr>
        <w:t>V</w:t>
      </w:r>
      <w:r>
        <w:rPr>
          <w:rFonts w:ascii="Times New Roman" w:hAnsi="Times New Roman" w:cs="Times New Roman"/>
          <w:sz w:val="28"/>
          <w:szCs w:val="28"/>
          <w:lang w:val="uk-UA"/>
        </w:rPr>
        <w:t>ol. 76.</w:t>
      </w:r>
      <w:r>
        <w:rPr>
          <w:rFonts w:ascii="Times New Roman" w:hAnsi="Times New Roman" w:cs="Times New Roman"/>
          <w:sz w:val="28"/>
          <w:szCs w:val="28"/>
        </w:rPr>
        <w:t xml:space="preserve"> </w:t>
      </w:r>
      <w:r>
        <w:rPr>
          <w:rFonts w:ascii="Times New Roman" w:hAnsi="Times New Roman" w:cs="Times New Roman"/>
          <w:sz w:val="28"/>
          <w:szCs w:val="28"/>
          <w:lang w:val="uk-UA"/>
        </w:rPr>
        <w:t>– P</w:t>
      </w:r>
      <w:r w:rsidR="002767DC">
        <w:rPr>
          <w:rFonts w:ascii="Times New Roman" w:hAnsi="Times New Roman" w:cs="Times New Roman"/>
          <w:sz w:val="28"/>
          <w:szCs w:val="28"/>
          <w:lang w:val="uk-UA"/>
        </w:rPr>
        <w:t>. 2085–2088.</w:t>
      </w:r>
    </w:p>
    <w:p w14:paraId="2ADE8762" w14:textId="025D304A" w:rsidR="002767DC" w:rsidRPr="00270C3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Meurman J</w:t>
      </w:r>
      <w:r w:rsidR="00323E9B">
        <w:rPr>
          <w:rFonts w:ascii="Times New Roman" w:hAnsi="Times New Roman" w:cs="Times New Roman"/>
          <w:sz w:val="28"/>
          <w:szCs w:val="28"/>
        </w:rPr>
        <w:t>.</w:t>
      </w:r>
      <w:r>
        <w:rPr>
          <w:rFonts w:ascii="Times New Roman" w:hAnsi="Times New Roman" w:cs="Times New Roman"/>
          <w:sz w:val="28"/>
          <w:szCs w:val="28"/>
          <w:lang w:val="uk-UA"/>
        </w:rPr>
        <w:t>H</w:t>
      </w:r>
      <w:r w:rsidRPr="00F56A0E">
        <w:rPr>
          <w:rFonts w:ascii="Times New Roman" w:hAnsi="Times New Roman" w:cs="Times New Roman"/>
          <w:sz w:val="28"/>
          <w:szCs w:val="28"/>
          <w:lang w:val="uk-UA"/>
        </w:rPr>
        <w:t>.</w:t>
      </w:r>
      <w:r>
        <w:rPr>
          <w:rFonts w:ascii="Times New Roman" w:hAnsi="Times New Roman" w:cs="Times New Roman"/>
          <w:sz w:val="28"/>
          <w:szCs w:val="28"/>
        </w:rPr>
        <w:t xml:space="preserve"> </w:t>
      </w:r>
      <w:r w:rsidRPr="00270C3F">
        <w:rPr>
          <w:rFonts w:ascii="Times New Roman" w:hAnsi="Times New Roman" w:cs="Times New Roman"/>
          <w:sz w:val="28"/>
          <w:szCs w:val="28"/>
        </w:rPr>
        <w:t>Oral health, atheroscleros</w:t>
      </w:r>
      <w:r>
        <w:rPr>
          <w:rFonts w:ascii="Times New Roman" w:hAnsi="Times New Roman" w:cs="Times New Roman"/>
          <w:sz w:val="28"/>
          <w:szCs w:val="28"/>
        </w:rPr>
        <w:t xml:space="preserve">is, and cardiovascular disease / </w:t>
      </w:r>
      <w:r w:rsidR="00323E9B">
        <w:rPr>
          <w:rFonts w:ascii="Times New Roman" w:hAnsi="Times New Roman" w:cs="Times New Roman"/>
          <w:sz w:val="28"/>
          <w:szCs w:val="28"/>
        </w:rPr>
        <w:t xml:space="preserve">J.H. </w:t>
      </w:r>
      <w:r>
        <w:rPr>
          <w:rFonts w:ascii="Times New Roman" w:hAnsi="Times New Roman" w:cs="Times New Roman"/>
          <w:sz w:val="28"/>
          <w:szCs w:val="28"/>
        </w:rPr>
        <w:t xml:space="preserve">Meurman, </w:t>
      </w:r>
      <w:r w:rsidR="00323E9B">
        <w:rPr>
          <w:rFonts w:ascii="Times New Roman" w:hAnsi="Times New Roman" w:cs="Times New Roman"/>
          <w:sz w:val="28"/>
          <w:szCs w:val="28"/>
        </w:rPr>
        <w:t xml:space="preserve">M. </w:t>
      </w:r>
      <w:r>
        <w:rPr>
          <w:rFonts w:ascii="Times New Roman" w:hAnsi="Times New Roman" w:cs="Times New Roman"/>
          <w:sz w:val="28"/>
          <w:szCs w:val="28"/>
        </w:rPr>
        <w:t xml:space="preserve">Sanz, </w:t>
      </w:r>
      <w:r w:rsidR="00323E9B">
        <w:rPr>
          <w:rFonts w:ascii="Times New Roman" w:hAnsi="Times New Roman" w:cs="Times New Roman"/>
          <w:sz w:val="28"/>
          <w:szCs w:val="28"/>
        </w:rPr>
        <w:t xml:space="preserve">S.J. </w:t>
      </w:r>
      <w:r>
        <w:rPr>
          <w:rFonts w:ascii="Times New Roman" w:hAnsi="Times New Roman" w:cs="Times New Roman"/>
          <w:sz w:val="28"/>
          <w:szCs w:val="28"/>
        </w:rPr>
        <w:t xml:space="preserve">Janket // Crit. Rev. Oral Biol. Med.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2004.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Vol. 15. </w:t>
      </w:r>
      <w:r w:rsidR="00323E9B">
        <w:rPr>
          <w:rFonts w:ascii="Times New Roman" w:hAnsi="Times New Roman" w:cs="Times New Roman"/>
          <w:sz w:val="28"/>
          <w:szCs w:val="28"/>
          <w:lang w:val="uk-UA"/>
        </w:rPr>
        <w:t>–</w:t>
      </w:r>
      <w:r>
        <w:rPr>
          <w:rFonts w:ascii="Times New Roman" w:hAnsi="Times New Roman" w:cs="Times New Roman"/>
          <w:sz w:val="28"/>
          <w:szCs w:val="28"/>
        </w:rPr>
        <w:t xml:space="preserve"> P. 403–413.</w:t>
      </w:r>
    </w:p>
    <w:p w14:paraId="35FC7319" w14:textId="509F69A9" w:rsidR="002767DC" w:rsidRPr="00270C3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rPr>
      </w:pPr>
      <w:r w:rsidRPr="00270C3F">
        <w:rPr>
          <w:rFonts w:ascii="Times New Roman" w:hAnsi="Times New Roman" w:cs="Times New Roman"/>
          <w:sz w:val="28"/>
          <w:szCs w:val="28"/>
          <w:lang w:val="uk-UA"/>
        </w:rPr>
        <w:t>Virtanen E</w:t>
      </w:r>
      <w:r w:rsidR="002C2D85">
        <w:rPr>
          <w:rFonts w:ascii="Times New Roman" w:hAnsi="Times New Roman" w:cs="Times New Roman"/>
          <w:sz w:val="28"/>
          <w:szCs w:val="28"/>
        </w:rPr>
        <w:t>.</w:t>
      </w:r>
      <w:r>
        <w:rPr>
          <w:rFonts w:ascii="Times New Roman" w:hAnsi="Times New Roman" w:cs="Times New Roman"/>
          <w:sz w:val="28"/>
          <w:szCs w:val="28"/>
        </w:rPr>
        <w:t xml:space="preserve"> </w:t>
      </w:r>
      <w:r w:rsidRPr="00270C3F">
        <w:rPr>
          <w:rFonts w:ascii="Times New Roman" w:hAnsi="Times New Roman" w:cs="Times New Roman"/>
          <w:sz w:val="28"/>
          <w:szCs w:val="28"/>
        </w:rPr>
        <w:t>History of dental infection associates with cancer in periodontally healthy subjects: a 24-year</w:t>
      </w:r>
      <w:r w:rsidR="002C2D85">
        <w:rPr>
          <w:rFonts w:ascii="Times New Roman" w:hAnsi="Times New Roman" w:cs="Times New Roman"/>
          <w:sz w:val="28"/>
          <w:szCs w:val="28"/>
        </w:rPr>
        <w:t xml:space="preserve"> follow-up study from Sweden / </w:t>
      </w:r>
      <w:r w:rsidR="002C2D85" w:rsidRPr="00270C3F">
        <w:rPr>
          <w:rFonts w:ascii="Times New Roman" w:hAnsi="Times New Roman" w:cs="Times New Roman"/>
          <w:sz w:val="28"/>
          <w:szCs w:val="28"/>
          <w:lang w:val="uk-UA"/>
        </w:rPr>
        <w:t>E</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Virtanen, B</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Söder, L</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C</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Andersson, J</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H</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Meurman</w:t>
      </w:r>
      <w:r w:rsidR="002C2D85">
        <w:rPr>
          <w:rFonts w:ascii="Times New Roman" w:hAnsi="Times New Roman" w:cs="Times New Roman"/>
          <w:sz w:val="28"/>
          <w:szCs w:val="28"/>
          <w:lang w:val="uk-UA"/>
        </w:rPr>
        <w:t>, P.</w:t>
      </w:r>
      <w:r w:rsidR="002C2D85" w:rsidRPr="00270C3F">
        <w:rPr>
          <w:rFonts w:ascii="Times New Roman" w:hAnsi="Times New Roman" w:cs="Times New Roman"/>
          <w:sz w:val="28"/>
          <w:szCs w:val="28"/>
          <w:lang w:val="uk-UA"/>
        </w:rPr>
        <w:t>Ö</w:t>
      </w:r>
      <w:r w:rsidR="002C2D85">
        <w:rPr>
          <w:rFonts w:ascii="Times New Roman" w:hAnsi="Times New Roman" w:cs="Times New Roman"/>
          <w:sz w:val="28"/>
          <w:szCs w:val="28"/>
        </w:rPr>
        <w:t xml:space="preserve">. </w:t>
      </w:r>
      <w:r w:rsidR="002C2D85">
        <w:rPr>
          <w:rFonts w:ascii="Times New Roman" w:hAnsi="Times New Roman" w:cs="Times New Roman"/>
          <w:sz w:val="28"/>
          <w:szCs w:val="28"/>
          <w:lang w:val="uk-UA"/>
        </w:rPr>
        <w:t xml:space="preserve">Söder </w:t>
      </w:r>
      <w:r w:rsidR="002C2D85">
        <w:rPr>
          <w:rFonts w:ascii="Times New Roman" w:hAnsi="Times New Roman" w:cs="Times New Roman"/>
          <w:sz w:val="28"/>
          <w:szCs w:val="28"/>
        </w:rPr>
        <w:t>// J. Cancer. – 2014. – V</w:t>
      </w:r>
      <w:r w:rsidRPr="00270C3F">
        <w:rPr>
          <w:rFonts w:ascii="Times New Roman" w:hAnsi="Times New Roman" w:cs="Times New Roman"/>
          <w:sz w:val="28"/>
          <w:szCs w:val="28"/>
        </w:rPr>
        <w:t>ol. 5</w:t>
      </w:r>
      <w:r w:rsidR="002C2D85">
        <w:rPr>
          <w:rFonts w:ascii="Times New Roman" w:hAnsi="Times New Roman" w:cs="Times New Roman"/>
          <w:sz w:val="28"/>
          <w:szCs w:val="28"/>
        </w:rPr>
        <w:t>. – P. 79–85</w:t>
      </w:r>
      <w:r w:rsidRPr="00270C3F">
        <w:rPr>
          <w:rFonts w:ascii="Times New Roman" w:hAnsi="Times New Roman" w:cs="Times New Roman"/>
          <w:sz w:val="28"/>
          <w:szCs w:val="28"/>
        </w:rPr>
        <w:t xml:space="preserve">. </w:t>
      </w:r>
    </w:p>
    <w:p w14:paraId="30D85E46" w14:textId="1091BC72" w:rsidR="002767DC" w:rsidRPr="00270C3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rPr>
        <w:t>Chia</w:t>
      </w:r>
      <w:r w:rsidR="002C2D85">
        <w:rPr>
          <w:rFonts w:ascii="Times New Roman" w:hAnsi="Times New Roman" w:cs="Times New Roman"/>
          <w:sz w:val="28"/>
          <w:szCs w:val="28"/>
        </w:rPr>
        <w:t xml:space="preserve">n-Yaw Hwang. </w:t>
      </w:r>
      <w:r w:rsidRPr="00270C3F">
        <w:rPr>
          <w:rFonts w:ascii="Times New Roman" w:hAnsi="Times New Roman" w:cs="Times New Roman"/>
          <w:sz w:val="28"/>
          <w:szCs w:val="28"/>
        </w:rPr>
        <w:t>Cancer risk in patients with allergic rhinitis, asthma and atopic dermatitis: a nat</w:t>
      </w:r>
      <w:r w:rsidR="002C2D85">
        <w:rPr>
          <w:rFonts w:ascii="Times New Roman" w:hAnsi="Times New Roman" w:cs="Times New Roman"/>
          <w:sz w:val="28"/>
          <w:szCs w:val="28"/>
        </w:rPr>
        <w:t xml:space="preserve">ionwide cohort study in Taiwan / </w:t>
      </w:r>
      <w:r w:rsidR="002C2D85" w:rsidRPr="00270C3F">
        <w:rPr>
          <w:rFonts w:ascii="Times New Roman" w:hAnsi="Times New Roman" w:cs="Times New Roman"/>
          <w:sz w:val="28"/>
          <w:szCs w:val="28"/>
        </w:rPr>
        <w:t xml:space="preserve">Chian-Yaw Hwang, Yi-Ju Chen, Ming-Wei Lin, Tzeng-Ji Chen, et al. </w:t>
      </w:r>
      <w:r w:rsidR="002C2D85">
        <w:rPr>
          <w:rFonts w:ascii="Times New Roman" w:hAnsi="Times New Roman" w:cs="Times New Roman"/>
          <w:sz w:val="28"/>
          <w:szCs w:val="28"/>
        </w:rPr>
        <w:t>// Int. J. Cancer. – 2012. – V</w:t>
      </w:r>
      <w:r>
        <w:rPr>
          <w:rFonts w:ascii="Times New Roman" w:hAnsi="Times New Roman" w:cs="Times New Roman"/>
          <w:sz w:val="28"/>
          <w:szCs w:val="28"/>
        </w:rPr>
        <w:t>ol</w:t>
      </w:r>
      <w:r w:rsidR="002C2D85">
        <w:rPr>
          <w:rFonts w:ascii="Times New Roman" w:hAnsi="Times New Roman" w:cs="Times New Roman"/>
          <w:sz w:val="28"/>
          <w:szCs w:val="28"/>
        </w:rPr>
        <w:t>. 130. – P. 1160–1167.</w:t>
      </w:r>
    </w:p>
    <w:p w14:paraId="77A57540" w14:textId="346063D4" w:rsidR="002767DC" w:rsidRPr="00270C3F" w:rsidRDefault="002C2D85"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Rosenberger</w:t>
      </w:r>
      <w:r>
        <w:rPr>
          <w:rFonts w:ascii="Times New Roman" w:hAnsi="Times New Roman" w:cs="Times New Roman"/>
          <w:sz w:val="28"/>
          <w:szCs w:val="28"/>
        </w:rPr>
        <w:t xml:space="preserve"> A</w:t>
      </w:r>
      <w:r>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rPr>
        <w:t>Asthma and lung cancer risk: a systematic investigation by the Interna</w:t>
      </w:r>
      <w:r>
        <w:rPr>
          <w:rFonts w:ascii="Times New Roman" w:hAnsi="Times New Roman" w:cs="Times New Roman"/>
          <w:sz w:val="28"/>
          <w:szCs w:val="28"/>
        </w:rPr>
        <w:t xml:space="preserve">tional Lung Cancer Consortium / </w:t>
      </w:r>
      <w:r>
        <w:rPr>
          <w:rFonts w:ascii="Times New Roman" w:hAnsi="Times New Roman" w:cs="Times New Roman"/>
          <w:sz w:val="28"/>
          <w:szCs w:val="28"/>
          <w:lang w:val="uk-UA"/>
        </w:rPr>
        <w:t>A. Rosenberger, H. Bickeböller, V. McCormack, D.</w:t>
      </w:r>
      <w:r w:rsidRPr="00270C3F">
        <w:rPr>
          <w:rFonts w:ascii="Times New Roman" w:hAnsi="Times New Roman" w:cs="Times New Roman"/>
          <w:sz w:val="28"/>
          <w:szCs w:val="28"/>
          <w:lang w:val="uk-UA"/>
        </w:rPr>
        <w:t xml:space="preserve"> R.Brenner, et al.</w:t>
      </w:r>
      <w:r>
        <w:rPr>
          <w:rFonts w:ascii="Times New Roman" w:hAnsi="Times New Roman" w:cs="Times New Roman"/>
          <w:sz w:val="28"/>
          <w:szCs w:val="28"/>
        </w:rPr>
        <w:t xml:space="preserve"> // Carcinogenesis. – 2012. – V</w:t>
      </w:r>
      <w:r w:rsidR="002767DC" w:rsidRPr="00270C3F">
        <w:rPr>
          <w:rFonts w:ascii="Times New Roman" w:hAnsi="Times New Roman" w:cs="Times New Roman"/>
          <w:sz w:val="28"/>
          <w:szCs w:val="28"/>
        </w:rPr>
        <w:t>ol</w:t>
      </w:r>
      <w:r>
        <w:rPr>
          <w:rFonts w:ascii="Times New Roman" w:hAnsi="Times New Roman" w:cs="Times New Roman"/>
          <w:sz w:val="28"/>
          <w:szCs w:val="28"/>
        </w:rPr>
        <w:t>. 33. – P. 587–597.</w:t>
      </w:r>
    </w:p>
    <w:p w14:paraId="218FFF94" w14:textId="70E29D32"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Werneck R. A critical review: an overview of genetic influence on dental caries. / R. Werneck, M. Mira, P. Trevilatto // Oral Dis. – 2010. – V. 16. – P. 613–623</w:t>
      </w:r>
      <w:r w:rsidR="002C2D85">
        <w:rPr>
          <w:rFonts w:ascii="Times New Roman" w:hAnsi="Times New Roman" w:cs="Times New Roman"/>
          <w:sz w:val="28"/>
          <w:szCs w:val="28"/>
        </w:rPr>
        <w:t>.</w:t>
      </w:r>
    </w:p>
    <w:p w14:paraId="2C4C96D3" w14:textId="6FF90EAA" w:rsidR="002767DC" w:rsidRPr="00270C3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Mad</w:t>
      </w:r>
      <w:r w:rsidR="002C2D85">
        <w:rPr>
          <w:rFonts w:ascii="Times New Roman" w:hAnsi="Times New Roman" w:cs="Times New Roman"/>
          <w:sz w:val="28"/>
          <w:szCs w:val="28"/>
          <w:lang w:val="uk-UA"/>
        </w:rPr>
        <w:t>ianos P</w:t>
      </w:r>
      <w:r w:rsidR="002C2D85">
        <w:rPr>
          <w:rFonts w:ascii="Times New Roman" w:hAnsi="Times New Roman" w:cs="Times New Roman"/>
          <w:sz w:val="28"/>
          <w:szCs w:val="28"/>
        </w:rPr>
        <w:t>.</w:t>
      </w:r>
      <w:r w:rsidR="002C2D85">
        <w:rPr>
          <w:rFonts w:ascii="Times New Roman" w:hAnsi="Times New Roman" w:cs="Times New Roman"/>
          <w:sz w:val="28"/>
          <w:szCs w:val="28"/>
          <w:lang w:val="uk-UA"/>
        </w:rPr>
        <w:t>N</w:t>
      </w:r>
      <w:r w:rsidRPr="00270C3F">
        <w:rPr>
          <w:rFonts w:ascii="Times New Roman" w:hAnsi="Times New Roman" w:cs="Times New Roman"/>
          <w:sz w:val="28"/>
          <w:szCs w:val="28"/>
          <w:lang w:val="uk-UA"/>
        </w:rPr>
        <w:t>.</w:t>
      </w:r>
      <w:r>
        <w:rPr>
          <w:rFonts w:ascii="Times New Roman" w:hAnsi="Times New Roman" w:cs="Times New Roman"/>
          <w:sz w:val="28"/>
          <w:szCs w:val="28"/>
        </w:rPr>
        <w:t xml:space="preserve"> </w:t>
      </w:r>
      <w:r w:rsidRPr="00270C3F">
        <w:rPr>
          <w:rFonts w:ascii="Times New Roman" w:hAnsi="Times New Roman" w:cs="Times New Roman"/>
          <w:sz w:val="28"/>
          <w:szCs w:val="28"/>
        </w:rPr>
        <w:t>Generation of inflammatory stimuli: How bacteria set up inflamma</w:t>
      </w:r>
      <w:r w:rsidR="002C2D85">
        <w:rPr>
          <w:rFonts w:ascii="Times New Roman" w:hAnsi="Times New Roman" w:cs="Times New Roman"/>
          <w:sz w:val="28"/>
          <w:szCs w:val="28"/>
        </w:rPr>
        <w:t xml:space="preserve">tory responses in the gingiva / </w:t>
      </w:r>
      <w:r w:rsidR="002C2D85" w:rsidRPr="00270C3F">
        <w:rPr>
          <w:rFonts w:ascii="Times New Roman" w:hAnsi="Times New Roman" w:cs="Times New Roman"/>
          <w:sz w:val="28"/>
          <w:szCs w:val="28"/>
          <w:lang w:val="uk-UA"/>
        </w:rPr>
        <w:t>P</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N</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Madianos, Y</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A</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Bobetsis, D</w:t>
      </w:r>
      <w:r w:rsidR="002C2D85">
        <w:rPr>
          <w:rFonts w:ascii="Times New Roman" w:hAnsi="Times New Roman" w:cs="Times New Roman"/>
          <w:sz w:val="28"/>
          <w:szCs w:val="28"/>
        </w:rPr>
        <w:t>.</w:t>
      </w:r>
      <w:r w:rsidR="002C2D85" w:rsidRPr="00270C3F">
        <w:rPr>
          <w:rFonts w:ascii="Times New Roman" w:hAnsi="Times New Roman" w:cs="Times New Roman"/>
          <w:sz w:val="28"/>
          <w:szCs w:val="28"/>
          <w:lang w:val="uk-UA"/>
        </w:rPr>
        <w:t>F.</w:t>
      </w:r>
      <w:r w:rsidR="002C2D85">
        <w:rPr>
          <w:rFonts w:ascii="Times New Roman" w:hAnsi="Times New Roman" w:cs="Times New Roman"/>
          <w:sz w:val="28"/>
          <w:szCs w:val="28"/>
        </w:rPr>
        <w:t xml:space="preserve"> </w:t>
      </w:r>
      <w:r w:rsidR="002C2D85" w:rsidRPr="00270C3F">
        <w:rPr>
          <w:rFonts w:ascii="Times New Roman" w:hAnsi="Times New Roman" w:cs="Times New Roman"/>
          <w:sz w:val="28"/>
          <w:szCs w:val="28"/>
          <w:lang w:val="uk-UA"/>
        </w:rPr>
        <w:t xml:space="preserve">Kinane </w:t>
      </w:r>
      <w:r w:rsidR="002C2D85">
        <w:rPr>
          <w:rFonts w:ascii="Times New Roman" w:hAnsi="Times New Roman" w:cs="Times New Roman"/>
          <w:sz w:val="28"/>
          <w:szCs w:val="28"/>
        </w:rPr>
        <w:t xml:space="preserve">// J Clin Periodontol.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2005.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Vol. 32.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no. 6.</w:t>
      </w:r>
      <w:r w:rsidR="002C2D85" w:rsidRPr="002C2D85">
        <w:rPr>
          <w:rFonts w:ascii="Times New Roman" w:hAnsi="Times New Roman" w:cs="Times New Roman"/>
          <w:sz w:val="28"/>
          <w:szCs w:val="28"/>
          <w:lang w:val="uk-UA"/>
        </w:rPr>
        <w:t xml:space="preserve"> </w:t>
      </w:r>
      <w:r w:rsidR="002C2D85"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P. 57-71.</w:t>
      </w:r>
    </w:p>
    <w:p w14:paraId="1142F020" w14:textId="2E813333" w:rsidR="002767DC" w:rsidRDefault="002C2D85"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AlRowis R. </w:t>
      </w:r>
      <w:r w:rsidR="002767DC" w:rsidRPr="00270C3F">
        <w:rPr>
          <w:rFonts w:ascii="Times New Roman" w:hAnsi="Times New Roman" w:cs="Times New Roman"/>
          <w:sz w:val="28"/>
          <w:szCs w:val="28"/>
          <w:lang w:val="uk-UA"/>
        </w:rPr>
        <w:t>Oral fluid based biomarkers in periodontal disease – Part</w:t>
      </w:r>
      <w:r>
        <w:rPr>
          <w:rFonts w:ascii="Times New Roman" w:hAnsi="Times New Roman" w:cs="Times New Roman"/>
          <w:sz w:val="28"/>
          <w:szCs w:val="28"/>
          <w:lang w:val="uk-UA"/>
        </w:rPr>
        <w:t xml:space="preserve"> 2. Gingival crevicular fluid / </w:t>
      </w:r>
      <w:r w:rsidRPr="00270C3F">
        <w:rPr>
          <w:rFonts w:ascii="Times New Roman" w:hAnsi="Times New Roman" w:cs="Times New Roman"/>
          <w:sz w:val="28"/>
          <w:szCs w:val="28"/>
          <w:lang w:val="uk-UA"/>
        </w:rPr>
        <w:t>R</w:t>
      </w:r>
      <w:r>
        <w:rPr>
          <w:rFonts w:ascii="Times New Roman" w:hAnsi="Times New Roman" w:cs="Times New Roman"/>
          <w:sz w:val="28"/>
          <w:szCs w:val="28"/>
        </w:rPr>
        <w:t xml:space="preserve">. </w:t>
      </w:r>
      <w:r w:rsidRPr="00270C3F">
        <w:rPr>
          <w:rFonts w:ascii="Times New Roman" w:hAnsi="Times New Roman" w:cs="Times New Roman"/>
          <w:sz w:val="28"/>
          <w:szCs w:val="28"/>
          <w:lang w:val="uk-UA"/>
        </w:rPr>
        <w:t>AlRowis, H</w:t>
      </w:r>
      <w:r>
        <w:rPr>
          <w:rFonts w:ascii="Times New Roman" w:hAnsi="Times New Roman" w:cs="Times New Roman"/>
          <w:sz w:val="28"/>
          <w:szCs w:val="28"/>
        </w:rPr>
        <w:t>.</w:t>
      </w:r>
      <w:r w:rsidRPr="00270C3F">
        <w:rPr>
          <w:rFonts w:ascii="Times New Roman" w:hAnsi="Times New Roman" w:cs="Times New Roman"/>
          <w:sz w:val="28"/>
          <w:szCs w:val="28"/>
          <w:lang w:val="uk-UA"/>
        </w:rPr>
        <w:t>S</w:t>
      </w:r>
      <w:r>
        <w:rPr>
          <w:rFonts w:ascii="Times New Roman" w:hAnsi="Times New Roman" w:cs="Times New Roman"/>
          <w:sz w:val="28"/>
          <w:szCs w:val="28"/>
        </w:rPr>
        <w:t xml:space="preserve">. </w:t>
      </w:r>
      <w:r w:rsidRPr="00270C3F">
        <w:rPr>
          <w:rFonts w:ascii="Times New Roman" w:hAnsi="Times New Roman" w:cs="Times New Roman"/>
          <w:sz w:val="28"/>
          <w:szCs w:val="28"/>
          <w:lang w:val="uk-UA"/>
        </w:rPr>
        <w:t>AlMoharib,</w:t>
      </w:r>
      <w:r w:rsidRPr="002C2D85">
        <w:rPr>
          <w:rFonts w:ascii="Times New Roman" w:hAnsi="Times New Roman" w:cs="Times New Roman"/>
          <w:sz w:val="28"/>
          <w:szCs w:val="28"/>
          <w:lang w:val="uk-UA"/>
        </w:rPr>
        <w:t xml:space="preserve"> </w:t>
      </w:r>
      <w:r w:rsidRPr="00270C3F">
        <w:rPr>
          <w:rFonts w:ascii="Times New Roman" w:hAnsi="Times New Roman" w:cs="Times New Roman"/>
          <w:sz w:val="28"/>
          <w:szCs w:val="28"/>
          <w:lang w:val="uk-UA"/>
        </w:rPr>
        <w:t>A</w:t>
      </w:r>
      <w:r>
        <w:rPr>
          <w:rFonts w:ascii="Times New Roman" w:hAnsi="Times New Roman" w:cs="Times New Roman"/>
          <w:sz w:val="28"/>
          <w:szCs w:val="28"/>
        </w:rPr>
        <w:t>.</w:t>
      </w:r>
      <w:r w:rsidRPr="00270C3F">
        <w:rPr>
          <w:rFonts w:ascii="Times New Roman" w:hAnsi="Times New Roman" w:cs="Times New Roman"/>
          <w:sz w:val="28"/>
          <w:szCs w:val="28"/>
          <w:lang w:val="uk-UA"/>
        </w:rPr>
        <w:t xml:space="preserve"> AlMubarak </w:t>
      </w:r>
      <w:r>
        <w:rPr>
          <w:rFonts w:ascii="Times New Roman" w:hAnsi="Times New Roman" w:cs="Times New Roman"/>
          <w:sz w:val="28"/>
          <w:szCs w:val="28"/>
        </w:rPr>
        <w:t>//</w:t>
      </w:r>
      <w:r>
        <w:rPr>
          <w:rFonts w:ascii="Times New Roman" w:hAnsi="Times New Roman" w:cs="Times New Roman"/>
          <w:sz w:val="28"/>
          <w:szCs w:val="28"/>
          <w:lang w:val="uk-UA"/>
        </w:rPr>
        <w:t xml:space="preserve"> J Int Oral Health.</w:t>
      </w:r>
      <w:r>
        <w:rPr>
          <w:rFonts w:ascii="Times New Roman" w:hAnsi="Times New Roman" w:cs="Times New Roman"/>
          <w:sz w:val="28"/>
          <w:szCs w:val="28"/>
        </w:rPr>
        <w:t xml:space="preserve"> – 2014. – V</w:t>
      </w:r>
      <w:r>
        <w:rPr>
          <w:rFonts w:ascii="Times New Roman" w:hAnsi="Times New Roman" w:cs="Times New Roman"/>
          <w:sz w:val="28"/>
          <w:szCs w:val="28"/>
          <w:lang w:val="uk-UA"/>
        </w:rPr>
        <w:t>ol. 6, no. 5.</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126-35</w:t>
      </w:r>
      <w:r w:rsidR="002767DC" w:rsidRPr="00270C3F">
        <w:rPr>
          <w:rFonts w:ascii="Times New Roman" w:hAnsi="Times New Roman" w:cs="Times New Roman"/>
          <w:sz w:val="28"/>
          <w:szCs w:val="28"/>
          <w:lang w:val="uk-UA"/>
        </w:rPr>
        <w:t>.</w:t>
      </w:r>
    </w:p>
    <w:p w14:paraId="5002BC70" w14:textId="4DAC0C7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Tit</w:t>
      </w:r>
      <w:r w:rsidR="002C2D85">
        <w:rPr>
          <w:rFonts w:ascii="Times New Roman" w:hAnsi="Times New Roman" w:cs="Times New Roman"/>
          <w:sz w:val="28"/>
          <w:szCs w:val="28"/>
          <w:lang w:val="uk-UA"/>
        </w:rPr>
        <w:t>enko-Holland</w:t>
      </w:r>
      <w:r w:rsidR="002C2D85">
        <w:rPr>
          <w:rFonts w:ascii="Times New Roman" w:hAnsi="Times New Roman" w:cs="Times New Roman"/>
          <w:sz w:val="28"/>
          <w:szCs w:val="28"/>
        </w:rPr>
        <w:t xml:space="preserve"> N</w:t>
      </w:r>
      <w:r w:rsidR="002C2D85">
        <w:rPr>
          <w:rFonts w:ascii="Times New Roman" w:hAnsi="Times New Roman" w:cs="Times New Roman"/>
          <w:sz w:val="28"/>
          <w:szCs w:val="28"/>
          <w:lang w:val="uk-UA"/>
        </w:rPr>
        <w:t xml:space="preserve">. </w:t>
      </w:r>
      <w:r w:rsidRPr="00270C3F">
        <w:rPr>
          <w:rFonts w:ascii="Times New Roman" w:hAnsi="Times New Roman" w:cs="Times New Roman"/>
          <w:sz w:val="28"/>
          <w:szCs w:val="28"/>
          <w:lang w:val="uk-UA"/>
        </w:rPr>
        <w:t xml:space="preserve">Micronuclei in lymphocytes and exfoliated buccal cells of postmenopausal women </w:t>
      </w:r>
      <w:r w:rsidR="002C2D85">
        <w:rPr>
          <w:rFonts w:ascii="Times New Roman" w:hAnsi="Times New Roman" w:cs="Times New Roman"/>
          <w:sz w:val="28"/>
          <w:szCs w:val="28"/>
          <w:lang w:val="uk-UA"/>
        </w:rPr>
        <w:t xml:space="preserve">with dietary changes in folate / </w:t>
      </w:r>
      <w:r w:rsidR="002C2D85" w:rsidRPr="00270C3F">
        <w:rPr>
          <w:rFonts w:ascii="Times New Roman" w:hAnsi="Times New Roman" w:cs="Times New Roman"/>
          <w:sz w:val="28"/>
          <w:szCs w:val="28"/>
          <w:lang w:val="uk-UA"/>
        </w:rPr>
        <w:t>N. Titenko-Holland, R.A. Jacob, N. Shang</w:t>
      </w:r>
      <w:r w:rsidR="002C2D85">
        <w:rPr>
          <w:rFonts w:ascii="Times New Roman" w:hAnsi="Times New Roman" w:cs="Times New Roman"/>
          <w:sz w:val="28"/>
          <w:szCs w:val="28"/>
        </w:rPr>
        <w:t xml:space="preserve"> et al. //</w:t>
      </w:r>
      <w:r w:rsidRPr="00270C3F">
        <w:rPr>
          <w:rFonts w:ascii="Times New Roman" w:hAnsi="Times New Roman" w:cs="Times New Roman"/>
          <w:sz w:val="28"/>
          <w:szCs w:val="28"/>
          <w:lang w:val="uk-UA"/>
        </w:rPr>
        <w:t xml:space="preserve"> Genetic Toxycolog</w:t>
      </w:r>
      <w:r w:rsidR="002C2D85">
        <w:rPr>
          <w:rFonts w:ascii="Times New Roman" w:hAnsi="Times New Roman" w:cs="Times New Roman"/>
          <w:sz w:val="28"/>
          <w:szCs w:val="28"/>
          <w:lang w:val="uk-UA"/>
        </w:rPr>
        <w:t>y and Environmental Mutagenesis.</w:t>
      </w:r>
      <w:r w:rsidR="002C2D85">
        <w:rPr>
          <w:rFonts w:ascii="Times New Roman" w:hAnsi="Times New Roman" w:cs="Times New Roman"/>
          <w:sz w:val="28"/>
          <w:szCs w:val="28"/>
        </w:rPr>
        <w:t xml:space="preserve"> – 2008. –</w:t>
      </w:r>
      <w:r w:rsidR="002C2D85">
        <w:rPr>
          <w:rFonts w:ascii="Times New Roman" w:hAnsi="Times New Roman" w:cs="Times New Roman"/>
          <w:sz w:val="28"/>
          <w:szCs w:val="28"/>
          <w:lang w:val="uk-UA"/>
        </w:rPr>
        <w:t xml:space="preserve"> Vol. 417, no. 2.</w:t>
      </w:r>
      <w:r w:rsidR="002C2D85">
        <w:rPr>
          <w:rFonts w:ascii="Times New Roman" w:hAnsi="Times New Roman" w:cs="Times New Roman"/>
          <w:sz w:val="28"/>
          <w:szCs w:val="28"/>
        </w:rPr>
        <w:t xml:space="preserve"> – P.</w:t>
      </w:r>
      <w:r w:rsidR="002C2D85">
        <w:rPr>
          <w:rFonts w:ascii="Times New Roman" w:hAnsi="Times New Roman" w:cs="Times New Roman"/>
          <w:sz w:val="28"/>
          <w:szCs w:val="28"/>
          <w:lang w:val="uk-UA"/>
        </w:rPr>
        <w:t xml:space="preserve"> 101-114</w:t>
      </w:r>
      <w:r w:rsidRPr="00270C3F">
        <w:rPr>
          <w:rFonts w:ascii="Times New Roman" w:hAnsi="Times New Roman" w:cs="Times New Roman"/>
          <w:sz w:val="28"/>
          <w:szCs w:val="28"/>
          <w:lang w:val="uk-UA"/>
        </w:rPr>
        <w:t>.</w:t>
      </w:r>
    </w:p>
    <w:p w14:paraId="1403F31A" w14:textId="0F1B28C2" w:rsidR="002767DC" w:rsidRPr="00270C3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270C3F">
        <w:rPr>
          <w:rFonts w:ascii="Times New Roman" w:hAnsi="Times New Roman" w:cs="Times New Roman"/>
          <w:sz w:val="28"/>
          <w:szCs w:val="28"/>
          <w:lang w:val="uk-UA"/>
        </w:rPr>
        <w:t>Karahalil</w:t>
      </w:r>
      <w:r w:rsidR="002C2D85">
        <w:rPr>
          <w:rFonts w:ascii="Times New Roman" w:hAnsi="Times New Roman" w:cs="Times New Roman"/>
          <w:sz w:val="28"/>
          <w:szCs w:val="28"/>
        </w:rPr>
        <w:t xml:space="preserve"> A. </w:t>
      </w:r>
      <w:r w:rsidRPr="00270C3F">
        <w:rPr>
          <w:rFonts w:ascii="Times New Roman" w:hAnsi="Times New Roman" w:cs="Times New Roman"/>
          <w:sz w:val="28"/>
          <w:szCs w:val="28"/>
          <w:lang w:val="uk-UA"/>
        </w:rPr>
        <w:t>The micronucleus assay in exfoliated buccal cells: application to occupational exposure to po</w:t>
      </w:r>
      <w:r w:rsidR="002C2D85">
        <w:rPr>
          <w:rFonts w:ascii="Times New Roman" w:hAnsi="Times New Roman" w:cs="Times New Roman"/>
          <w:sz w:val="28"/>
          <w:szCs w:val="28"/>
          <w:lang w:val="uk-UA"/>
        </w:rPr>
        <w:t xml:space="preserve">lycyclic aromatic hydrocarbons / </w:t>
      </w:r>
      <w:r w:rsidR="002C2D85" w:rsidRPr="00270C3F">
        <w:rPr>
          <w:rFonts w:ascii="Times New Roman" w:hAnsi="Times New Roman" w:cs="Times New Roman"/>
          <w:sz w:val="28"/>
          <w:szCs w:val="28"/>
          <w:lang w:val="uk-UA"/>
        </w:rPr>
        <w:t>Karahalil, A.E. Karakaya, S. Burgaz</w:t>
      </w:r>
      <w:r w:rsidR="002C2D85">
        <w:rPr>
          <w:rFonts w:ascii="Times New Roman" w:hAnsi="Times New Roman" w:cs="Times New Roman"/>
          <w:sz w:val="28"/>
          <w:szCs w:val="28"/>
        </w:rPr>
        <w:t xml:space="preserve"> /</w:t>
      </w:r>
      <w:r w:rsidRPr="00270C3F">
        <w:rPr>
          <w:rFonts w:ascii="Times New Roman" w:hAnsi="Times New Roman" w:cs="Times New Roman"/>
          <w:sz w:val="28"/>
          <w:szCs w:val="28"/>
          <w:lang w:val="uk-UA"/>
        </w:rPr>
        <w:t>/</w:t>
      </w:r>
      <w:r w:rsidR="002C2D85">
        <w:rPr>
          <w:rFonts w:ascii="Times New Roman" w:hAnsi="Times New Roman" w:cs="Times New Roman"/>
          <w:sz w:val="28"/>
          <w:szCs w:val="28"/>
        </w:rPr>
        <w:t xml:space="preserve"> </w:t>
      </w:r>
      <w:r w:rsidRPr="00270C3F">
        <w:rPr>
          <w:rFonts w:ascii="Times New Roman" w:hAnsi="Times New Roman" w:cs="Times New Roman"/>
          <w:sz w:val="28"/>
          <w:szCs w:val="28"/>
          <w:lang w:val="uk-UA"/>
        </w:rPr>
        <w:t>Genetic Toxicology a</w:t>
      </w:r>
      <w:r w:rsidR="002C2D85">
        <w:rPr>
          <w:rFonts w:ascii="Times New Roman" w:hAnsi="Times New Roman" w:cs="Times New Roman"/>
          <w:sz w:val="28"/>
          <w:szCs w:val="28"/>
          <w:lang w:val="uk-UA"/>
        </w:rPr>
        <w:t xml:space="preserve">nd Environmental Mutagenesis. </w:t>
      </w:r>
      <w:r w:rsidR="002C2D85">
        <w:rPr>
          <w:rFonts w:ascii="Times New Roman" w:hAnsi="Times New Roman" w:cs="Times New Roman"/>
          <w:sz w:val="28"/>
          <w:szCs w:val="28"/>
        </w:rPr>
        <w:t>– 1999. – V</w:t>
      </w:r>
      <w:r w:rsidR="002C2D85">
        <w:rPr>
          <w:rFonts w:ascii="Times New Roman" w:hAnsi="Times New Roman" w:cs="Times New Roman"/>
          <w:sz w:val="28"/>
          <w:szCs w:val="28"/>
          <w:lang w:val="uk-UA"/>
        </w:rPr>
        <w:t xml:space="preserve">ol. 442, no. 1. </w:t>
      </w:r>
      <w:r w:rsidR="002C2D85">
        <w:rPr>
          <w:rFonts w:ascii="Times New Roman" w:hAnsi="Times New Roman" w:cs="Times New Roman"/>
          <w:sz w:val="28"/>
          <w:szCs w:val="28"/>
        </w:rPr>
        <w:t>– P.</w:t>
      </w:r>
      <w:r w:rsidR="002C2D85">
        <w:rPr>
          <w:rFonts w:ascii="Times New Roman" w:hAnsi="Times New Roman" w:cs="Times New Roman"/>
          <w:sz w:val="28"/>
          <w:szCs w:val="28"/>
          <w:lang w:val="uk-UA"/>
        </w:rPr>
        <w:t xml:space="preserve"> 29-35</w:t>
      </w:r>
      <w:r w:rsidRPr="00270C3F">
        <w:rPr>
          <w:rFonts w:ascii="Times New Roman" w:hAnsi="Times New Roman" w:cs="Times New Roman"/>
          <w:sz w:val="28"/>
          <w:szCs w:val="28"/>
          <w:lang w:val="uk-UA"/>
        </w:rPr>
        <w:t xml:space="preserve">. </w:t>
      </w:r>
    </w:p>
    <w:p w14:paraId="7691DAD3" w14:textId="6ACE4174" w:rsidR="002767DC" w:rsidRPr="00967D72" w:rsidRDefault="00E328B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Ramirez</w:t>
      </w:r>
      <w:r w:rsidRPr="00E328BC">
        <w:rPr>
          <w:rFonts w:ascii="Times New Roman" w:hAnsi="Times New Roman" w:cs="Times New Roman"/>
          <w:sz w:val="28"/>
          <w:szCs w:val="28"/>
          <w:lang w:val="uk-UA"/>
        </w:rPr>
        <w:t xml:space="preserve"> </w:t>
      </w:r>
      <w:r>
        <w:rPr>
          <w:rFonts w:ascii="Times New Roman" w:hAnsi="Times New Roman" w:cs="Times New Roman"/>
          <w:sz w:val="28"/>
          <w:szCs w:val="28"/>
        </w:rPr>
        <w:t>A</w:t>
      </w:r>
      <w:r>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lang w:val="uk-UA"/>
        </w:rPr>
        <w:t>Micronucleus investigation of alcoholic</w:t>
      </w:r>
      <w:r>
        <w:rPr>
          <w:rFonts w:ascii="Times New Roman" w:hAnsi="Times New Roman" w:cs="Times New Roman"/>
          <w:sz w:val="28"/>
          <w:szCs w:val="28"/>
          <w:lang w:val="uk-UA"/>
        </w:rPr>
        <w:t xml:space="preserve"> patients with oral carcinomas / A. Ramirez, P.H. Saldanha</w:t>
      </w:r>
      <w:r w:rsidRPr="00E328BC">
        <w:rPr>
          <w:rFonts w:ascii="Times New Roman" w:hAnsi="Times New Roman" w:cs="Times New Roman"/>
          <w:sz w:val="28"/>
          <w:szCs w:val="28"/>
          <w:lang w:val="uk-UA"/>
        </w:rPr>
        <w:t xml:space="preserve"> //</w:t>
      </w:r>
      <w:r w:rsidR="002767DC" w:rsidRPr="00270C3F">
        <w:rPr>
          <w:rFonts w:ascii="Times New Roman" w:hAnsi="Times New Roman" w:cs="Times New Roman"/>
          <w:sz w:val="28"/>
          <w:szCs w:val="28"/>
          <w:lang w:val="uk-UA"/>
        </w:rPr>
        <w:t xml:space="preserve"> Ge</w:t>
      </w:r>
      <w:r>
        <w:rPr>
          <w:rFonts w:ascii="Times New Roman" w:hAnsi="Times New Roman" w:cs="Times New Roman"/>
          <w:sz w:val="28"/>
          <w:szCs w:val="28"/>
          <w:lang w:val="uk-UA"/>
        </w:rPr>
        <w:t>net Mol Res.</w:t>
      </w:r>
      <w:r>
        <w:rPr>
          <w:rFonts w:ascii="Times New Roman" w:hAnsi="Times New Roman" w:cs="Times New Roman"/>
          <w:sz w:val="28"/>
          <w:szCs w:val="28"/>
        </w:rPr>
        <w:t xml:space="preserve"> –</w:t>
      </w:r>
      <w:r w:rsidRPr="00E328BC">
        <w:rPr>
          <w:rFonts w:ascii="Times New Roman" w:hAnsi="Times New Roman" w:cs="Times New Roman"/>
          <w:sz w:val="28"/>
          <w:szCs w:val="28"/>
          <w:lang w:val="uk-UA"/>
        </w:rPr>
        <w:t xml:space="preserve"> 2002.</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Vol. 1, no. 3.</w:t>
      </w:r>
      <w:r w:rsidRPr="00E328BC">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P. 246-260.</w:t>
      </w:r>
    </w:p>
    <w:p w14:paraId="5484BB3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355C6">
        <w:rPr>
          <w:rFonts w:ascii="Times New Roman" w:hAnsi="Times New Roman" w:cs="Times New Roman"/>
          <w:sz w:val="28"/>
          <w:szCs w:val="28"/>
          <w:lang w:val="uk-UA"/>
        </w:rPr>
        <w:t xml:space="preserve">Авдєєв О. В. </w:t>
      </w:r>
      <w:r w:rsidRPr="00967D72">
        <w:rPr>
          <w:rFonts w:ascii="Times New Roman" w:hAnsi="Times New Roman" w:cs="Times New Roman"/>
          <w:sz w:val="28"/>
          <w:szCs w:val="28"/>
          <w:lang w:val="uk-UA"/>
        </w:rPr>
        <w:t>Динаміка показників ротової рідини та клінічного стану тканин пародонта у дітей із гінгівітом під впливом лікувально-профілактичних заходів / О. В. Авдєєв, Ю. К. Змарко, А. Б. Бойків, Р. О. Древніцька // Вісник наукових досліджень. - 2017. - № 1. - С. 102-105.</w:t>
      </w:r>
    </w:p>
    <w:p w14:paraId="030E78C2" w14:textId="07C9ED8B" w:rsidR="002767DC" w:rsidRPr="00B41890"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Ковач І.В. </w:t>
      </w:r>
      <w:r w:rsidRPr="00967D72">
        <w:rPr>
          <w:rFonts w:ascii="Times New Roman" w:hAnsi="Times New Roman" w:cs="Times New Roman"/>
          <w:sz w:val="28"/>
          <w:szCs w:val="28"/>
          <w:lang w:val="uk-UA"/>
        </w:rPr>
        <w:t>Динаміка показників клінічного стану</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тканин зубів та пародонту у дітей</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під впливом лікувально-профілактичних заходів</w:t>
      </w:r>
      <w:r>
        <w:rPr>
          <w:rFonts w:ascii="Times New Roman" w:hAnsi="Times New Roman" w:cs="Times New Roman"/>
          <w:sz w:val="28"/>
          <w:szCs w:val="28"/>
          <w:lang w:val="uk-UA"/>
        </w:rPr>
        <w:t xml:space="preserve"> </w:t>
      </w:r>
      <w:r w:rsidRPr="00967D72">
        <w:rPr>
          <w:rFonts w:ascii="Times New Roman" w:hAnsi="Times New Roman" w:cs="Times New Roman"/>
          <w:sz w:val="28"/>
          <w:szCs w:val="28"/>
          <w:lang w:val="uk-UA"/>
        </w:rPr>
        <w:t>на тлі ортодонтичного лікування</w:t>
      </w:r>
      <w:r>
        <w:rPr>
          <w:rFonts w:ascii="Times New Roman" w:hAnsi="Times New Roman" w:cs="Times New Roman"/>
          <w:sz w:val="28"/>
          <w:szCs w:val="28"/>
          <w:lang w:val="uk-UA"/>
        </w:rPr>
        <w:t xml:space="preserve"> / І.В. Ковач, Я</w:t>
      </w:r>
      <w:r w:rsidRPr="00967D72">
        <w:rPr>
          <w:rFonts w:ascii="Times New Roman" w:hAnsi="Times New Roman" w:cs="Times New Roman"/>
          <w:sz w:val="28"/>
          <w:szCs w:val="28"/>
          <w:lang w:val="uk-UA"/>
        </w:rPr>
        <w:t>.В. Лавренюк</w:t>
      </w:r>
      <w:r>
        <w:rPr>
          <w:rFonts w:ascii="Times New Roman" w:hAnsi="Times New Roman" w:cs="Times New Roman"/>
          <w:sz w:val="28"/>
          <w:szCs w:val="28"/>
          <w:lang w:val="uk-UA"/>
        </w:rPr>
        <w:t xml:space="preserve"> // П</w:t>
      </w:r>
      <w:r w:rsidRPr="00967D72">
        <w:rPr>
          <w:rFonts w:ascii="Times New Roman" w:hAnsi="Times New Roman" w:cs="Times New Roman"/>
          <w:sz w:val="28"/>
          <w:szCs w:val="28"/>
          <w:lang w:val="uk-UA"/>
        </w:rPr>
        <w:t>рофилактическая и детская стоматология</w:t>
      </w:r>
      <w:r>
        <w:rPr>
          <w:rFonts w:ascii="Times New Roman" w:hAnsi="Times New Roman" w:cs="Times New Roman"/>
          <w:sz w:val="28"/>
          <w:szCs w:val="28"/>
          <w:lang w:val="uk-UA"/>
        </w:rPr>
        <w:t>. – 2016. - №1. – С.58-63</w:t>
      </w:r>
      <w:r w:rsidR="00F7701E" w:rsidRPr="00F7701E">
        <w:rPr>
          <w:rFonts w:ascii="Times New Roman" w:hAnsi="Times New Roman" w:cs="Times New Roman"/>
          <w:sz w:val="28"/>
          <w:szCs w:val="28"/>
          <w:lang w:val="uk-UA"/>
        </w:rPr>
        <w:t>.</w:t>
      </w:r>
    </w:p>
    <w:p w14:paraId="5D3B6D29"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41890">
        <w:rPr>
          <w:rFonts w:ascii="Times New Roman" w:hAnsi="Times New Roman" w:cs="Times New Roman"/>
          <w:sz w:val="28"/>
          <w:szCs w:val="28"/>
          <w:lang w:val="uk-UA"/>
        </w:rPr>
        <w:t>Цепов Л.М. Заболевания пародонта: взгляд</w:t>
      </w:r>
      <w:r>
        <w:rPr>
          <w:rFonts w:ascii="Times New Roman" w:hAnsi="Times New Roman" w:cs="Times New Roman"/>
          <w:sz w:val="28"/>
          <w:szCs w:val="28"/>
          <w:lang w:val="uk-UA"/>
        </w:rPr>
        <w:t xml:space="preserve"> </w:t>
      </w:r>
      <w:r w:rsidRPr="00B41890">
        <w:rPr>
          <w:rFonts w:ascii="Times New Roman" w:hAnsi="Times New Roman" w:cs="Times New Roman"/>
          <w:sz w:val="28"/>
          <w:szCs w:val="28"/>
          <w:lang w:val="uk-UA"/>
        </w:rPr>
        <w:t>на проблему. — М.: МЕДпресс-информ, 2006. — 192 с.</w:t>
      </w:r>
    </w:p>
    <w:p w14:paraId="4BD7B110" w14:textId="1D0A8B9E"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Модина Т.Н</w:t>
      </w:r>
      <w:r w:rsidR="002767DC">
        <w:rPr>
          <w:rFonts w:ascii="Times New Roman" w:hAnsi="Times New Roman" w:cs="Times New Roman"/>
          <w:sz w:val="28"/>
          <w:szCs w:val="28"/>
          <w:lang w:val="uk-UA"/>
        </w:rPr>
        <w:t>. Индивиду</w:t>
      </w:r>
      <w:r w:rsidR="002767DC" w:rsidRPr="00B41890">
        <w:rPr>
          <w:rFonts w:ascii="Times New Roman" w:hAnsi="Times New Roman" w:cs="Times New Roman"/>
          <w:sz w:val="28"/>
          <w:szCs w:val="28"/>
          <w:lang w:val="uk-UA"/>
        </w:rPr>
        <w:t>альный подход к комплексному лечению заболеваний</w:t>
      </w:r>
      <w:r w:rsidR="002767DC">
        <w:rPr>
          <w:rFonts w:ascii="Times New Roman" w:hAnsi="Times New Roman" w:cs="Times New Roman"/>
          <w:sz w:val="28"/>
          <w:szCs w:val="28"/>
          <w:lang w:val="uk-UA"/>
        </w:rPr>
        <w:t xml:space="preserve"> </w:t>
      </w:r>
      <w:r w:rsidR="002767DC" w:rsidRPr="00B41890">
        <w:rPr>
          <w:rFonts w:ascii="Times New Roman" w:hAnsi="Times New Roman" w:cs="Times New Roman"/>
          <w:sz w:val="28"/>
          <w:szCs w:val="28"/>
          <w:lang w:val="uk-UA"/>
        </w:rPr>
        <w:t>пародонта</w:t>
      </w:r>
      <w:r w:rsidRPr="00F7701E">
        <w:rPr>
          <w:rFonts w:ascii="Times New Roman" w:hAnsi="Times New Roman" w:cs="Times New Roman"/>
          <w:sz w:val="28"/>
          <w:szCs w:val="28"/>
          <w:lang w:val="ru-RU"/>
        </w:rPr>
        <w:t xml:space="preserve"> / </w:t>
      </w:r>
      <w:r w:rsidRPr="00B41890">
        <w:rPr>
          <w:rFonts w:ascii="Times New Roman" w:hAnsi="Times New Roman" w:cs="Times New Roman"/>
          <w:sz w:val="28"/>
          <w:szCs w:val="28"/>
          <w:lang w:val="uk-UA"/>
        </w:rPr>
        <w:t>Т.Н.</w:t>
      </w:r>
      <w:r w:rsidRPr="00F7701E">
        <w:rPr>
          <w:rFonts w:ascii="Times New Roman" w:hAnsi="Times New Roman" w:cs="Times New Roman"/>
          <w:sz w:val="28"/>
          <w:szCs w:val="28"/>
          <w:lang w:val="ru-RU"/>
        </w:rPr>
        <w:t xml:space="preserve"> </w:t>
      </w:r>
      <w:r w:rsidRPr="00B41890">
        <w:rPr>
          <w:rFonts w:ascii="Times New Roman" w:hAnsi="Times New Roman" w:cs="Times New Roman"/>
          <w:sz w:val="28"/>
          <w:szCs w:val="28"/>
          <w:lang w:val="uk-UA"/>
        </w:rPr>
        <w:t xml:space="preserve">Модина, </w:t>
      </w:r>
      <w:r>
        <w:rPr>
          <w:rFonts w:ascii="Times New Roman" w:hAnsi="Times New Roman" w:cs="Times New Roman"/>
          <w:sz w:val="28"/>
          <w:szCs w:val="28"/>
          <w:lang w:val="uk-UA"/>
        </w:rPr>
        <w:t>С.П.</w:t>
      </w:r>
      <w:r w:rsidRPr="00F7701E">
        <w:rPr>
          <w:rFonts w:ascii="Times New Roman" w:hAnsi="Times New Roman" w:cs="Times New Roman"/>
          <w:sz w:val="28"/>
          <w:szCs w:val="28"/>
          <w:lang w:val="ru-RU"/>
        </w:rPr>
        <w:t xml:space="preserve"> </w:t>
      </w:r>
      <w:r w:rsidRPr="00B41890">
        <w:rPr>
          <w:rFonts w:ascii="Times New Roman" w:hAnsi="Times New Roman" w:cs="Times New Roman"/>
          <w:sz w:val="28"/>
          <w:szCs w:val="28"/>
          <w:lang w:val="uk-UA"/>
        </w:rPr>
        <w:t>Ваа</w:t>
      </w:r>
      <w:r>
        <w:rPr>
          <w:rFonts w:ascii="Times New Roman" w:hAnsi="Times New Roman" w:cs="Times New Roman"/>
          <w:sz w:val="28"/>
          <w:szCs w:val="28"/>
          <w:lang w:val="uk-UA"/>
        </w:rPr>
        <w:t>ль, В.Ю</w:t>
      </w:r>
      <w:r w:rsidRPr="00F7701E">
        <w:rPr>
          <w:rFonts w:ascii="Times New Roman" w:hAnsi="Times New Roman" w:cs="Times New Roman"/>
          <w:sz w:val="28"/>
          <w:szCs w:val="28"/>
          <w:lang w:val="ru-RU"/>
        </w:rPr>
        <w:t>.</w:t>
      </w:r>
      <w:r w:rsidRPr="00B418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Раевская </w:t>
      </w:r>
      <w:r w:rsidR="002767DC" w:rsidRPr="00B41890">
        <w:rPr>
          <w:rFonts w:ascii="Times New Roman" w:hAnsi="Times New Roman" w:cs="Times New Roman"/>
          <w:sz w:val="28"/>
          <w:szCs w:val="28"/>
          <w:lang w:val="uk-UA"/>
        </w:rPr>
        <w:t>// Клин. стоматол. — 2011. — №3 (59). — С. 22–25.</w:t>
      </w:r>
    </w:p>
    <w:p w14:paraId="2CB08443"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41890">
        <w:rPr>
          <w:rFonts w:ascii="Times New Roman" w:hAnsi="Times New Roman" w:cs="Times New Roman"/>
          <w:sz w:val="28"/>
          <w:szCs w:val="28"/>
          <w:lang w:val="uk-UA"/>
        </w:rPr>
        <w:t>Курякина Н. В., Кутепова Т. Ф. Заболевания пародонта. – М.: Медицинская книга, 2003. – 160 с.</w:t>
      </w:r>
    </w:p>
    <w:p w14:paraId="0ACEC2D4" w14:textId="625AB81F"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Мельни</w:t>
      </w:r>
      <w:r w:rsidRPr="00B143B2">
        <w:rPr>
          <w:rFonts w:ascii="Times New Roman" w:hAnsi="Times New Roman" w:cs="Times New Roman"/>
          <w:sz w:val="28"/>
          <w:szCs w:val="28"/>
          <w:lang w:val="uk-UA"/>
        </w:rPr>
        <w:t>чук Г.М., Рожко М.М., Нейко Н.В. Гінгівіт, пародонти, пародонтоз: особливості</w:t>
      </w:r>
      <w:r w:rsidR="00F7701E">
        <w:rPr>
          <w:rFonts w:ascii="Times New Roman" w:hAnsi="Times New Roman" w:cs="Times New Roman"/>
          <w:sz w:val="28"/>
          <w:szCs w:val="28"/>
          <w:lang w:val="uk-UA"/>
        </w:rPr>
        <w:t xml:space="preserve"> лікування: Навчальний посібник </w:t>
      </w:r>
      <w:r w:rsidR="00F7701E" w:rsidRPr="00F7701E">
        <w:rPr>
          <w:rFonts w:ascii="Times New Roman" w:hAnsi="Times New Roman" w:cs="Times New Roman"/>
          <w:sz w:val="28"/>
          <w:szCs w:val="28"/>
          <w:lang w:val="uk-UA"/>
        </w:rPr>
        <w:t xml:space="preserve">/ </w:t>
      </w:r>
      <w:r w:rsidR="00F7701E">
        <w:rPr>
          <w:rFonts w:ascii="Times New Roman" w:hAnsi="Times New Roman" w:cs="Times New Roman"/>
          <w:sz w:val="28"/>
          <w:szCs w:val="28"/>
          <w:lang w:val="uk-UA"/>
        </w:rPr>
        <w:t>Мельни</w:t>
      </w:r>
      <w:r w:rsidR="00F7701E" w:rsidRPr="00B143B2">
        <w:rPr>
          <w:rFonts w:ascii="Times New Roman" w:hAnsi="Times New Roman" w:cs="Times New Roman"/>
          <w:sz w:val="28"/>
          <w:szCs w:val="28"/>
          <w:lang w:val="uk-UA"/>
        </w:rPr>
        <w:t>ч</w:t>
      </w:r>
      <w:r w:rsidR="00F7701E">
        <w:rPr>
          <w:rFonts w:ascii="Times New Roman" w:hAnsi="Times New Roman" w:cs="Times New Roman"/>
          <w:sz w:val="28"/>
          <w:szCs w:val="28"/>
          <w:lang w:val="uk-UA"/>
        </w:rPr>
        <w:t>ук Г.М., Рожко М.М., Нейко Н.В.</w:t>
      </w:r>
      <w:r w:rsidRPr="00B143B2">
        <w:rPr>
          <w:rFonts w:ascii="Times New Roman" w:hAnsi="Times New Roman" w:cs="Times New Roman"/>
          <w:sz w:val="28"/>
          <w:szCs w:val="28"/>
          <w:lang w:val="uk-UA"/>
        </w:rPr>
        <w:t xml:space="preserve"> – Івано-Франківськ: Б.в., 2004. – С. 244-271.</w:t>
      </w:r>
    </w:p>
    <w:p w14:paraId="3914F33E"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Мюллер Ханс-Петер. Пародонтология. – Львов: Галдент, 2004. – С.232-238.</w:t>
      </w:r>
    </w:p>
    <w:p w14:paraId="73C45C26" w14:textId="77777777" w:rsidR="002767DC" w:rsidRPr="00B143B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 xml:space="preserve">Еловикова Т.М. Арифметика пародонтологии. – М.: МЕДпресс- информ, 2007. – 78 с. </w:t>
      </w:r>
    </w:p>
    <w:p w14:paraId="4F101AB6" w14:textId="77777777" w:rsidR="002767DC" w:rsidRPr="00B143B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Курякина Н. В. Заболевания пародонта. – М.: Медицинская книга, 2007. – С. 253-269.</w:t>
      </w:r>
    </w:p>
    <w:p w14:paraId="37DD8A2A"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143B2">
        <w:rPr>
          <w:rFonts w:ascii="Times New Roman" w:hAnsi="Times New Roman" w:cs="Times New Roman"/>
          <w:sz w:val="28"/>
          <w:szCs w:val="28"/>
          <w:lang w:val="uk-UA"/>
        </w:rPr>
        <w:t xml:space="preserve"> Курякина Н.В. Терапевтическая стоматология детского возраста. – М.: Медицинская книга, 2004. – С. 661-743.</w:t>
      </w:r>
    </w:p>
    <w:p w14:paraId="490A4320"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E60BEF">
        <w:rPr>
          <w:rFonts w:ascii="Times New Roman" w:hAnsi="Times New Roman" w:cs="Times New Roman"/>
          <w:sz w:val="28"/>
          <w:szCs w:val="28"/>
          <w:lang w:val="uk-UA"/>
        </w:rPr>
        <w:t>Булгакова А</w:t>
      </w:r>
      <w:r>
        <w:rPr>
          <w:rFonts w:ascii="Times New Roman" w:hAnsi="Times New Roman" w:cs="Times New Roman"/>
          <w:sz w:val="28"/>
          <w:szCs w:val="28"/>
          <w:lang w:val="uk-UA"/>
        </w:rPr>
        <w:t>.И., Медведев Ю.А. Клинико-имму</w:t>
      </w:r>
      <w:r w:rsidRPr="00E60BEF">
        <w:rPr>
          <w:rFonts w:ascii="Times New Roman" w:hAnsi="Times New Roman" w:cs="Times New Roman"/>
          <w:sz w:val="28"/>
          <w:szCs w:val="28"/>
          <w:lang w:val="uk-UA"/>
        </w:rPr>
        <w:t>нологические ас</w:t>
      </w:r>
      <w:r>
        <w:rPr>
          <w:rFonts w:ascii="Times New Roman" w:hAnsi="Times New Roman" w:cs="Times New Roman"/>
          <w:sz w:val="28"/>
          <w:szCs w:val="28"/>
          <w:lang w:val="uk-UA"/>
        </w:rPr>
        <w:t>пекты лечения хронического гене</w:t>
      </w:r>
      <w:r w:rsidRPr="00E60BEF">
        <w:rPr>
          <w:rFonts w:ascii="Times New Roman" w:hAnsi="Times New Roman" w:cs="Times New Roman"/>
          <w:sz w:val="28"/>
          <w:szCs w:val="28"/>
          <w:lang w:val="uk-UA"/>
        </w:rPr>
        <w:t>рализованного пародонтита. — Уфа, 2008. — 112 с.</w:t>
      </w:r>
    </w:p>
    <w:p w14:paraId="29BE029C" w14:textId="7254EE92"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E60BEF">
        <w:rPr>
          <w:rFonts w:ascii="Times New Roman" w:hAnsi="Times New Roman" w:cs="Times New Roman"/>
          <w:sz w:val="28"/>
          <w:szCs w:val="28"/>
          <w:lang w:val="uk-UA"/>
        </w:rPr>
        <w:t>Булкин</w:t>
      </w:r>
      <w:r w:rsidR="00F7701E">
        <w:rPr>
          <w:rFonts w:ascii="Times New Roman" w:hAnsi="Times New Roman" w:cs="Times New Roman"/>
          <w:sz w:val="28"/>
          <w:szCs w:val="28"/>
          <w:lang w:val="uk-UA"/>
        </w:rPr>
        <w:t>а Н.В</w:t>
      </w:r>
      <w:r w:rsidRPr="00E60BEF">
        <w:rPr>
          <w:rFonts w:ascii="Times New Roman" w:hAnsi="Times New Roman" w:cs="Times New Roman"/>
          <w:sz w:val="28"/>
          <w:szCs w:val="28"/>
          <w:lang w:val="uk-UA"/>
        </w:rPr>
        <w:t>. Коморбидность заболеваний пародонта и соматической</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патологии</w:t>
      </w:r>
      <w:r w:rsidR="00F7701E" w:rsidRPr="00F7701E">
        <w:rPr>
          <w:rFonts w:ascii="Times New Roman" w:hAnsi="Times New Roman" w:cs="Times New Roman"/>
          <w:sz w:val="28"/>
          <w:szCs w:val="28"/>
          <w:lang w:val="ru-RU"/>
        </w:rPr>
        <w:t xml:space="preserve"> / </w:t>
      </w:r>
      <w:r w:rsidR="00F7701E" w:rsidRPr="00E60BEF">
        <w:rPr>
          <w:rFonts w:ascii="Times New Roman" w:hAnsi="Times New Roman" w:cs="Times New Roman"/>
          <w:sz w:val="28"/>
          <w:szCs w:val="28"/>
          <w:lang w:val="uk-UA"/>
        </w:rPr>
        <w:t>Н.В.</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Булкина, А.П.</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Ведяева, Е.А.</w:t>
      </w:r>
      <w:r w:rsidR="00F7701E" w:rsidRPr="00F7701E">
        <w:rPr>
          <w:rFonts w:ascii="Times New Roman" w:hAnsi="Times New Roman" w:cs="Times New Roman"/>
          <w:sz w:val="28"/>
          <w:szCs w:val="28"/>
          <w:lang w:val="ru-RU"/>
        </w:rPr>
        <w:t xml:space="preserve"> </w:t>
      </w:r>
      <w:r w:rsidR="00F7701E" w:rsidRPr="00E60BEF">
        <w:rPr>
          <w:rFonts w:ascii="Times New Roman" w:hAnsi="Times New Roman" w:cs="Times New Roman"/>
          <w:sz w:val="28"/>
          <w:szCs w:val="28"/>
          <w:lang w:val="uk-UA"/>
        </w:rPr>
        <w:t xml:space="preserve">Савина </w:t>
      </w:r>
      <w:r w:rsidRPr="00E60BEF">
        <w:rPr>
          <w:rFonts w:ascii="Times New Roman" w:hAnsi="Times New Roman" w:cs="Times New Roman"/>
          <w:sz w:val="28"/>
          <w:szCs w:val="28"/>
          <w:lang w:val="uk-UA"/>
        </w:rPr>
        <w:t>// Мед. вестн. Северн. Кавказа. — 2012. —</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Т. 27, №3. — С. 110–115.</w:t>
      </w:r>
    </w:p>
    <w:p w14:paraId="7976E84B" w14:textId="719192C4"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Хоменко Л.О</w:t>
      </w:r>
      <w:r w:rsidRPr="00E60BEF">
        <w:rPr>
          <w:rFonts w:ascii="Times New Roman" w:hAnsi="Times New Roman" w:cs="Times New Roman"/>
          <w:sz w:val="28"/>
          <w:szCs w:val="28"/>
          <w:lang w:val="uk-UA"/>
        </w:rPr>
        <w:t>. Терапевтична стоматологія дитячого віку. Підручник</w:t>
      </w:r>
      <w:r>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К.: Книга плюс,</w:t>
      </w:r>
      <w:r w:rsidR="00887419">
        <w:rPr>
          <w:rFonts w:ascii="Times New Roman" w:hAnsi="Times New Roman" w:cs="Times New Roman"/>
          <w:sz w:val="28"/>
          <w:szCs w:val="28"/>
          <w:lang w:val="uk-UA"/>
        </w:rPr>
        <w:t xml:space="preserve"> 2001. –</w:t>
      </w:r>
      <w:r w:rsidRPr="00E60BEF">
        <w:rPr>
          <w:rFonts w:ascii="Times New Roman" w:hAnsi="Times New Roman" w:cs="Times New Roman"/>
          <w:sz w:val="28"/>
          <w:szCs w:val="28"/>
          <w:lang w:val="uk-UA"/>
        </w:rPr>
        <w:t xml:space="preserve"> 526</w:t>
      </w:r>
      <w:r w:rsidR="00887419">
        <w:rPr>
          <w:rFonts w:ascii="Times New Roman" w:hAnsi="Times New Roman" w:cs="Times New Roman"/>
          <w:sz w:val="28"/>
          <w:szCs w:val="28"/>
          <w:lang w:val="uk-UA"/>
        </w:rPr>
        <w:t xml:space="preserve"> </w:t>
      </w:r>
      <w:r w:rsidRPr="00E60BEF">
        <w:rPr>
          <w:rFonts w:ascii="Times New Roman" w:hAnsi="Times New Roman" w:cs="Times New Roman"/>
          <w:sz w:val="28"/>
          <w:szCs w:val="28"/>
          <w:lang w:val="uk-UA"/>
        </w:rPr>
        <w:t>с</w:t>
      </w:r>
      <w:r w:rsidR="00887419">
        <w:rPr>
          <w:rFonts w:ascii="Times New Roman" w:hAnsi="Times New Roman" w:cs="Times New Roman"/>
          <w:sz w:val="28"/>
          <w:szCs w:val="28"/>
          <w:lang w:val="uk-UA"/>
        </w:rPr>
        <w:t>.</w:t>
      </w:r>
    </w:p>
    <w:p w14:paraId="61BA8C57"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Carranza's Clinical Periodontolgy. – 9th ed., edited by M.G. Newman, H.H. Takei, F.A. Carranza. – 2002. – 1033 p.</w:t>
      </w:r>
    </w:p>
    <w:p w14:paraId="4CA6D2A0" w14:textId="2F616DB4"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Григорьян А.С. </w:t>
      </w:r>
      <w:r w:rsidR="002767DC" w:rsidRPr="00C102C9">
        <w:rPr>
          <w:rFonts w:ascii="Times New Roman" w:hAnsi="Times New Roman" w:cs="Times New Roman"/>
          <w:sz w:val="28"/>
          <w:szCs w:val="28"/>
          <w:lang w:val="uk-UA"/>
        </w:rPr>
        <w:t xml:space="preserve">Болезни пародонта. Патогенез, диагностика, </w:t>
      </w:r>
      <w:r w:rsidR="002767DC">
        <w:rPr>
          <w:rFonts w:ascii="Times New Roman" w:hAnsi="Times New Roman" w:cs="Times New Roman"/>
          <w:sz w:val="28"/>
          <w:szCs w:val="28"/>
          <w:lang w:val="uk-UA"/>
        </w:rPr>
        <w:t>лечение / Григор</w:t>
      </w:r>
      <w:r>
        <w:rPr>
          <w:rFonts w:ascii="Times New Roman" w:hAnsi="Times New Roman" w:cs="Times New Roman"/>
          <w:sz w:val="28"/>
          <w:szCs w:val="28"/>
          <w:lang w:val="uk-UA"/>
        </w:rPr>
        <w:t>ь</w:t>
      </w:r>
      <w:r w:rsidR="002767DC">
        <w:rPr>
          <w:rFonts w:ascii="Times New Roman" w:hAnsi="Times New Roman" w:cs="Times New Roman"/>
          <w:sz w:val="28"/>
          <w:szCs w:val="28"/>
          <w:lang w:val="uk-UA"/>
        </w:rPr>
        <w:t>ян А.С., Грудя</w:t>
      </w:r>
      <w:r w:rsidR="002767DC" w:rsidRPr="00C102C9">
        <w:rPr>
          <w:rFonts w:ascii="Times New Roman" w:hAnsi="Times New Roman" w:cs="Times New Roman"/>
          <w:sz w:val="28"/>
          <w:szCs w:val="28"/>
          <w:lang w:val="uk-UA"/>
        </w:rPr>
        <w:t>нов А.И.; Рабухина Н.А., Фролова О.А. – М.: Медицинское информационн</w:t>
      </w:r>
      <w:r w:rsidR="002767DC">
        <w:rPr>
          <w:rFonts w:ascii="Times New Roman" w:hAnsi="Times New Roman" w:cs="Times New Roman"/>
          <w:sz w:val="28"/>
          <w:szCs w:val="28"/>
          <w:lang w:val="uk-UA"/>
        </w:rPr>
        <w:t xml:space="preserve">ое агентство, 2004. – 320 с. </w:t>
      </w:r>
    </w:p>
    <w:p w14:paraId="36EB28FB" w14:textId="50610BD3" w:rsidR="002767DC" w:rsidRPr="00171E82"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Куцевляк В.Ф. </w:t>
      </w:r>
      <w:r w:rsidR="002767DC" w:rsidRPr="00171E82">
        <w:rPr>
          <w:rFonts w:ascii="Times New Roman" w:hAnsi="Times New Roman" w:cs="Times New Roman"/>
          <w:sz w:val="28"/>
          <w:szCs w:val="28"/>
          <w:lang w:val="uk-UA"/>
        </w:rPr>
        <w:t xml:space="preserve">Протимікробна активність препарату Гівалекс при лікуванні хворих на пародонтит / В. Ф. Куцевляк, Є. М. Бабич, К. В. Божко [та ін.] // Імплантологія. Пародонтологія. Остеологія. – 2008. – № 2. – С. 10. </w:t>
      </w:r>
    </w:p>
    <w:p w14:paraId="768FEB63" w14:textId="0DEDC38B" w:rsidR="002767DC" w:rsidRPr="00171E82" w:rsidRDefault="002767DC" w:rsidP="00436EF9">
      <w:pPr>
        <w:pStyle w:val="ListParagraph"/>
        <w:numPr>
          <w:ilvl w:val="0"/>
          <w:numId w:val="9"/>
        </w:numPr>
        <w:tabs>
          <w:tab w:val="left" w:pos="0"/>
        </w:tabs>
        <w:spacing w:after="0" w:line="360" w:lineRule="auto"/>
        <w:ind w:left="142" w:hanging="426"/>
        <w:jc w:val="both"/>
        <w:rPr>
          <w:rFonts w:ascii="Times New Roman" w:hAnsi="Times New Roman" w:cs="Times New Roman"/>
          <w:sz w:val="28"/>
          <w:szCs w:val="28"/>
          <w:lang w:val="uk-UA"/>
        </w:rPr>
      </w:pPr>
      <w:r w:rsidRPr="00171E82">
        <w:rPr>
          <w:rFonts w:ascii="Times New Roman" w:hAnsi="Times New Roman" w:cs="Times New Roman"/>
          <w:sz w:val="28"/>
          <w:szCs w:val="28"/>
          <w:lang w:val="uk-UA"/>
        </w:rPr>
        <w:t xml:space="preserve">Цепов Л. М. </w:t>
      </w:r>
      <w:r w:rsidR="00436EF9" w:rsidRPr="00436EF9">
        <w:rPr>
          <w:rFonts w:ascii="Times New Roman" w:hAnsi="Times New Roman" w:cs="Times New Roman"/>
          <w:sz w:val="28"/>
          <w:szCs w:val="28"/>
          <w:lang w:val="uk-UA"/>
        </w:rPr>
        <w:t>Диагностика, лечение и профилактика заболеваний пародонта</w:t>
      </w:r>
      <w:r w:rsidRPr="00171E82">
        <w:rPr>
          <w:rFonts w:ascii="Times New Roman" w:hAnsi="Times New Roman" w:cs="Times New Roman"/>
          <w:sz w:val="28"/>
          <w:szCs w:val="28"/>
          <w:lang w:val="uk-UA"/>
        </w:rPr>
        <w:t xml:space="preserve"> / </w:t>
      </w:r>
      <w:r w:rsidR="00436EF9" w:rsidRPr="00436EF9">
        <w:rPr>
          <w:rFonts w:ascii="Times New Roman" w:hAnsi="Times New Roman" w:cs="Times New Roman"/>
          <w:sz w:val="28"/>
          <w:szCs w:val="28"/>
          <w:lang w:val="uk-UA"/>
        </w:rPr>
        <w:t>Л.М. Цепов, А.И. Николаев, Е.А. Михеева</w:t>
      </w:r>
      <w:r w:rsidR="00436EF9">
        <w:rPr>
          <w:rFonts w:ascii="Times New Roman" w:hAnsi="Times New Roman" w:cs="Times New Roman"/>
          <w:sz w:val="28"/>
          <w:szCs w:val="28"/>
          <w:lang w:val="uk-UA"/>
        </w:rPr>
        <w:t xml:space="preserve">. – Смоленск : Б. И., </w:t>
      </w:r>
      <w:r w:rsidR="00436EF9" w:rsidRPr="00436EF9">
        <w:rPr>
          <w:rFonts w:ascii="Times New Roman" w:hAnsi="Times New Roman" w:cs="Times New Roman"/>
          <w:sz w:val="28"/>
          <w:szCs w:val="28"/>
          <w:lang w:val="ru-RU"/>
        </w:rPr>
        <w:t>2005</w:t>
      </w:r>
      <w:r w:rsidRPr="00171E82">
        <w:rPr>
          <w:rFonts w:ascii="Times New Roman" w:hAnsi="Times New Roman" w:cs="Times New Roman"/>
          <w:sz w:val="28"/>
          <w:szCs w:val="28"/>
          <w:lang w:val="uk-UA"/>
        </w:rPr>
        <w:t xml:space="preserve">. – 58 с. </w:t>
      </w:r>
    </w:p>
    <w:p w14:paraId="0A463CBD" w14:textId="77777777" w:rsidR="002767DC" w:rsidRPr="00171E8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71E82">
        <w:rPr>
          <w:rFonts w:ascii="Times New Roman" w:hAnsi="Times New Roman" w:cs="Times New Roman"/>
          <w:sz w:val="28"/>
          <w:szCs w:val="28"/>
          <w:lang w:val="uk-UA"/>
        </w:rPr>
        <w:t>Франк А. Запалення пародонта: від гінгівіту до системного захворювання / А. Франк, І. Сканапіско // Современная стоматология. – 2008. – № 1. – С. 62-65.</w:t>
      </w:r>
    </w:p>
    <w:p w14:paraId="4394D73B"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 xml:space="preserve">Данилевский Н.Ф., Борисенко А.В. Заболевания пародонта. – </w:t>
      </w:r>
      <w:r>
        <w:rPr>
          <w:rFonts w:ascii="Times New Roman" w:hAnsi="Times New Roman" w:cs="Times New Roman"/>
          <w:sz w:val="28"/>
          <w:szCs w:val="28"/>
          <w:lang w:val="uk-UA"/>
        </w:rPr>
        <w:t xml:space="preserve">К.: Здоров'я, 2000. – 464 с. </w:t>
      </w:r>
    </w:p>
    <w:p w14:paraId="4011D198" w14:textId="769D83CB"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Орехова Л.Ю. </w:t>
      </w:r>
      <w:r w:rsidR="002767DC" w:rsidRPr="00C102C9">
        <w:rPr>
          <w:rFonts w:ascii="Times New Roman" w:hAnsi="Times New Roman" w:cs="Times New Roman"/>
          <w:sz w:val="28"/>
          <w:szCs w:val="28"/>
          <w:lang w:val="uk-UA"/>
        </w:rPr>
        <w:t>Заболевания пародонта / Под общей редакци</w:t>
      </w:r>
      <w:r w:rsidR="002767DC">
        <w:rPr>
          <w:rFonts w:ascii="Times New Roman" w:hAnsi="Times New Roman" w:cs="Times New Roman"/>
          <w:sz w:val="28"/>
          <w:szCs w:val="28"/>
          <w:lang w:val="uk-UA"/>
        </w:rPr>
        <w:t>ей Ореховой Л.Ю. – М.: Поли Ме</w:t>
      </w:r>
      <w:r w:rsidR="002767DC" w:rsidRPr="00C102C9">
        <w:rPr>
          <w:rFonts w:ascii="Times New Roman" w:hAnsi="Times New Roman" w:cs="Times New Roman"/>
          <w:sz w:val="28"/>
          <w:szCs w:val="28"/>
          <w:lang w:val="uk-UA"/>
        </w:rPr>
        <w:t>диа Пресс. – 2004. – 432 с.</w:t>
      </w:r>
    </w:p>
    <w:p w14:paraId="06A281E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C102C9">
        <w:rPr>
          <w:rFonts w:ascii="Times New Roman" w:hAnsi="Times New Roman" w:cs="Times New Roman"/>
          <w:sz w:val="28"/>
          <w:szCs w:val="28"/>
          <w:lang w:val="uk-UA"/>
        </w:rPr>
        <w:t>Глыбина Т. А. Сравнительное клиническое исследование применения геля «Гликодент» и современных хлоргексидинсодержащих препаратов при лечении пародонтита / Т. А. Глыбина, Л. А. Дмитриева, Д. А. Кострюков, // Пародонтол</w:t>
      </w:r>
      <w:r>
        <w:rPr>
          <w:rFonts w:ascii="Times New Roman" w:hAnsi="Times New Roman" w:cs="Times New Roman"/>
          <w:sz w:val="28"/>
          <w:szCs w:val="28"/>
          <w:lang w:val="uk-UA"/>
        </w:rPr>
        <w:t>огия. – 2007. – №2 (43). – С.2-7</w:t>
      </w:r>
    </w:p>
    <w:p w14:paraId="235EFC13" w14:textId="7A4F44AB"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Ярова С.П. </w:t>
      </w:r>
      <w:r w:rsidR="002767DC" w:rsidRPr="00C102C9">
        <w:rPr>
          <w:rFonts w:ascii="Times New Roman" w:hAnsi="Times New Roman" w:cs="Times New Roman"/>
          <w:sz w:val="28"/>
          <w:szCs w:val="28"/>
          <w:lang w:val="uk-UA"/>
        </w:rPr>
        <w:t>Медикаментозне лікування захворювань тканин пародонту / С. П. Ярова, Н. В. Мозгова, І. В. Чайковська [та ін.]. – Донецьк, 2007. -70 с.</w:t>
      </w:r>
    </w:p>
    <w:p w14:paraId="0DF9275E" w14:textId="4E0A4C9B"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Савельева Н.Н. </w:t>
      </w:r>
      <w:r w:rsidR="002767DC" w:rsidRPr="00C102C9">
        <w:rPr>
          <w:rFonts w:ascii="Times New Roman" w:hAnsi="Times New Roman" w:cs="Times New Roman"/>
          <w:sz w:val="28"/>
          <w:szCs w:val="28"/>
          <w:lang w:val="uk-UA"/>
        </w:rPr>
        <w:t xml:space="preserve">Опыт применения препарата «Ротокан» в комплексном лечении пародонтита / </w:t>
      </w:r>
      <w:r w:rsidR="002767DC">
        <w:rPr>
          <w:rFonts w:ascii="Times New Roman" w:hAnsi="Times New Roman" w:cs="Times New Roman"/>
          <w:sz w:val="28"/>
          <w:szCs w:val="28"/>
          <w:lang w:val="uk-UA"/>
        </w:rPr>
        <w:t>Н. Н. Савельева, Т. В. Баглык</w:t>
      </w:r>
      <w:r w:rsidR="002767DC" w:rsidRPr="00171E82">
        <w:rPr>
          <w:rFonts w:ascii="Times New Roman" w:hAnsi="Times New Roman" w:cs="Times New Roman"/>
          <w:sz w:val="28"/>
          <w:szCs w:val="28"/>
          <w:lang w:val="uk-UA"/>
        </w:rPr>
        <w:t xml:space="preserve"> А. Ф. Пиминов // Стоматолог. </w:t>
      </w:r>
      <w:r w:rsidR="002767DC">
        <w:rPr>
          <w:rFonts w:ascii="Times New Roman" w:hAnsi="Times New Roman" w:cs="Times New Roman"/>
          <w:sz w:val="28"/>
          <w:szCs w:val="28"/>
          <w:lang w:val="uk-UA"/>
        </w:rPr>
        <w:t xml:space="preserve">– 2004. – №11 (79). – С. 27. </w:t>
      </w:r>
    </w:p>
    <w:p w14:paraId="2A67F90C" w14:textId="050863B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Чорній Н.В. З</w:t>
      </w:r>
      <w:r w:rsidRPr="00C102C9">
        <w:rPr>
          <w:rFonts w:ascii="Times New Roman" w:hAnsi="Times New Roman" w:cs="Times New Roman"/>
          <w:sz w:val="28"/>
          <w:szCs w:val="28"/>
          <w:lang w:val="uk-UA"/>
        </w:rPr>
        <w:t>астосування комбінованої фармакотерапії для лікування захворювань пародонта у осіб на тлі хронічного панкреатиту</w:t>
      </w:r>
      <w:r>
        <w:rPr>
          <w:rFonts w:ascii="Times New Roman" w:hAnsi="Times New Roman" w:cs="Times New Roman"/>
          <w:sz w:val="28"/>
          <w:szCs w:val="28"/>
          <w:lang w:val="uk-UA"/>
        </w:rPr>
        <w:t xml:space="preserve"> / </w:t>
      </w:r>
      <w:r w:rsidRPr="00C102C9">
        <w:rPr>
          <w:rFonts w:ascii="Times New Roman" w:hAnsi="Times New Roman" w:cs="Times New Roman"/>
          <w:sz w:val="28"/>
          <w:szCs w:val="28"/>
          <w:lang w:val="uk-UA"/>
        </w:rPr>
        <w:t>Н. В. Чорній</w:t>
      </w:r>
      <w:r>
        <w:rPr>
          <w:rFonts w:ascii="Times New Roman" w:hAnsi="Times New Roman" w:cs="Times New Roman"/>
          <w:sz w:val="28"/>
          <w:szCs w:val="28"/>
          <w:lang w:val="uk-UA"/>
        </w:rPr>
        <w:t xml:space="preserve"> // </w:t>
      </w:r>
      <w:r w:rsidRPr="00C102C9">
        <w:rPr>
          <w:rFonts w:ascii="Times New Roman" w:hAnsi="Times New Roman" w:cs="Times New Roman"/>
          <w:sz w:val="28"/>
          <w:szCs w:val="28"/>
          <w:lang w:val="uk-UA"/>
        </w:rPr>
        <w:t>Вісник проблем біології і медицини</w:t>
      </w:r>
      <w:r w:rsidR="00E328BC">
        <w:rPr>
          <w:rFonts w:ascii="Times New Roman" w:hAnsi="Times New Roman" w:cs="Times New Roman"/>
          <w:sz w:val="28"/>
          <w:szCs w:val="28"/>
          <w:lang w:val="uk-UA"/>
        </w:rPr>
        <w:t>.</w:t>
      </w:r>
      <w:r w:rsidRPr="00C102C9">
        <w:rPr>
          <w:rFonts w:ascii="Times New Roman" w:hAnsi="Times New Roman" w:cs="Times New Roman"/>
          <w:sz w:val="28"/>
          <w:szCs w:val="28"/>
          <w:lang w:val="uk-UA"/>
        </w:rPr>
        <w:t xml:space="preserve"> – 2014</w:t>
      </w:r>
      <w:r w:rsidR="00F7701E">
        <w:rPr>
          <w:rFonts w:ascii="Times New Roman" w:hAnsi="Times New Roman" w:cs="Times New Roman"/>
          <w:sz w:val="28"/>
          <w:szCs w:val="28"/>
          <w:lang w:val="uk-UA"/>
        </w:rPr>
        <w:t>.</w:t>
      </w:r>
      <w:r w:rsidRPr="00C102C9">
        <w:rPr>
          <w:rFonts w:ascii="Times New Roman" w:hAnsi="Times New Roman" w:cs="Times New Roman"/>
          <w:sz w:val="28"/>
          <w:szCs w:val="28"/>
          <w:lang w:val="uk-UA"/>
        </w:rPr>
        <w:t xml:space="preserve"> – Вип. 2, Том 2 (108</w:t>
      </w:r>
      <w:r>
        <w:rPr>
          <w:rFonts w:ascii="Times New Roman" w:hAnsi="Times New Roman" w:cs="Times New Roman"/>
          <w:sz w:val="28"/>
          <w:szCs w:val="28"/>
          <w:lang w:val="uk-UA"/>
        </w:rPr>
        <w:t>). – С. 217-220</w:t>
      </w:r>
      <w:r w:rsidR="00E328BC" w:rsidRPr="00E328BC">
        <w:rPr>
          <w:rFonts w:ascii="Times New Roman" w:hAnsi="Times New Roman" w:cs="Times New Roman"/>
          <w:sz w:val="28"/>
          <w:szCs w:val="28"/>
          <w:lang w:val="uk-UA"/>
        </w:rPr>
        <w:t>.</w:t>
      </w:r>
    </w:p>
    <w:p w14:paraId="71CA082A" w14:textId="0A2035C6"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Карпищенко А.И. </w:t>
      </w:r>
      <w:r w:rsidR="002767DC" w:rsidRPr="00080071">
        <w:rPr>
          <w:rFonts w:ascii="Times New Roman" w:hAnsi="Times New Roman" w:cs="Times New Roman"/>
          <w:sz w:val="28"/>
          <w:szCs w:val="28"/>
          <w:lang w:val="uk-UA"/>
        </w:rPr>
        <w:t>Спекторофотометрическое определение продуктов перекисного ок</w:t>
      </w:r>
      <w:r>
        <w:rPr>
          <w:rFonts w:ascii="Times New Roman" w:hAnsi="Times New Roman" w:cs="Times New Roman"/>
          <w:sz w:val="28"/>
          <w:szCs w:val="28"/>
          <w:lang w:val="uk-UA"/>
        </w:rPr>
        <w:t>исления липидов // Медицинская</w:t>
      </w:r>
      <w:r w:rsidR="002767DC" w:rsidRPr="00080071">
        <w:rPr>
          <w:rFonts w:ascii="Times New Roman" w:hAnsi="Times New Roman" w:cs="Times New Roman"/>
          <w:sz w:val="28"/>
          <w:szCs w:val="28"/>
          <w:lang w:val="uk-UA"/>
        </w:rPr>
        <w:t xml:space="preserve"> лабораторная диагнос</w:t>
      </w:r>
      <w:r w:rsidR="00E328BC">
        <w:rPr>
          <w:rFonts w:ascii="Times New Roman" w:hAnsi="Times New Roman" w:cs="Times New Roman"/>
          <w:sz w:val="28"/>
          <w:szCs w:val="28"/>
          <w:lang w:val="uk-UA"/>
        </w:rPr>
        <w:t>тика  (программы и алгоритмы)</w:t>
      </w:r>
      <w:r w:rsidR="002767DC" w:rsidRPr="00080071">
        <w:rPr>
          <w:rFonts w:ascii="Times New Roman" w:hAnsi="Times New Roman" w:cs="Times New Roman"/>
          <w:sz w:val="28"/>
          <w:szCs w:val="28"/>
          <w:lang w:val="uk-UA"/>
        </w:rPr>
        <w:t xml:space="preserve"> (под редакцией профессора А.И.Карпищенко) // Санкт-Петербург "Интермедика".</w:t>
      </w:r>
      <w:r>
        <w:rPr>
          <w:rFonts w:ascii="Times New Roman" w:hAnsi="Times New Roman" w:cs="Times New Roman"/>
          <w:sz w:val="28"/>
          <w:szCs w:val="28"/>
          <w:lang w:val="uk-UA"/>
        </w:rPr>
        <w:t xml:space="preserve"> </w:t>
      </w:r>
      <w:r w:rsidRPr="00C102C9">
        <w:rPr>
          <w:rFonts w:ascii="Times New Roman" w:hAnsi="Times New Roman" w:cs="Times New Roman"/>
          <w:sz w:val="28"/>
          <w:szCs w:val="28"/>
          <w:lang w:val="uk-UA"/>
        </w:rPr>
        <w:t>–</w:t>
      </w:r>
      <w:r w:rsidR="00436EF9">
        <w:rPr>
          <w:rFonts w:ascii="Times New Roman" w:hAnsi="Times New Roman" w:cs="Times New Roman"/>
          <w:sz w:val="28"/>
          <w:szCs w:val="28"/>
          <w:lang w:val="uk-UA"/>
        </w:rPr>
        <w:t xml:space="preserve"> 2003</w:t>
      </w:r>
      <w:r w:rsidR="002767DC" w:rsidRPr="0008007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102C9">
        <w:rPr>
          <w:rFonts w:ascii="Times New Roman" w:hAnsi="Times New Roman" w:cs="Times New Roman"/>
          <w:sz w:val="28"/>
          <w:szCs w:val="28"/>
          <w:lang w:val="uk-UA"/>
        </w:rPr>
        <w:t>–</w:t>
      </w:r>
      <w:r w:rsidR="002767DC" w:rsidRPr="00080071">
        <w:rPr>
          <w:rFonts w:ascii="Times New Roman" w:hAnsi="Times New Roman" w:cs="Times New Roman"/>
          <w:sz w:val="28"/>
          <w:szCs w:val="28"/>
          <w:lang w:val="uk-UA"/>
        </w:rPr>
        <w:t xml:space="preserve"> С. 48-52.</w:t>
      </w:r>
    </w:p>
    <w:p w14:paraId="6EA8260C" w14:textId="4EB59AEC" w:rsidR="002767DC" w:rsidRPr="00E328BC" w:rsidRDefault="00E328BC" w:rsidP="00E328BC">
      <w:pPr>
        <w:pStyle w:val="ListParagraph"/>
        <w:numPr>
          <w:ilvl w:val="0"/>
          <w:numId w:val="9"/>
        </w:numPr>
        <w:spacing w:line="360" w:lineRule="auto"/>
        <w:ind w:left="0" w:hanging="426"/>
        <w:jc w:val="both"/>
        <w:rPr>
          <w:rFonts w:ascii="Times New Roman" w:hAnsi="Times New Roman" w:cs="Times New Roman"/>
          <w:sz w:val="28"/>
          <w:szCs w:val="28"/>
          <w:lang w:val="uk-UA"/>
        </w:rPr>
      </w:pPr>
      <w:r w:rsidRPr="00E328BC">
        <w:rPr>
          <w:rFonts w:ascii="Times New Roman" w:hAnsi="Times New Roman" w:cs="Times New Roman"/>
          <w:sz w:val="28"/>
          <w:szCs w:val="28"/>
          <w:lang w:val="uk-UA"/>
        </w:rPr>
        <w:t>Барабой В.А., Сутковой Д.А. Окислительно-антиоксидантный гемостаз в норме и патологии / Под ред. акад. АМН Украины Ю.А. Зозули.—</w:t>
      </w:r>
      <w:r w:rsidR="00436EF9">
        <w:rPr>
          <w:rFonts w:ascii="Times New Roman" w:hAnsi="Times New Roman" w:cs="Times New Roman"/>
          <w:sz w:val="28"/>
          <w:szCs w:val="28"/>
          <w:lang w:val="uk-UA"/>
        </w:rPr>
        <w:t xml:space="preserve"> К.: Чернобыль-интеринформ, </w:t>
      </w:r>
      <w:r w:rsidR="00436EF9" w:rsidRPr="00436EF9">
        <w:rPr>
          <w:rFonts w:ascii="Times New Roman" w:hAnsi="Times New Roman" w:cs="Times New Roman"/>
          <w:sz w:val="28"/>
          <w:szCs w:val="28"/>
          <w:lang w:val="ru-RU"/>
        </w:rPr>
        <w:t>2001</w:t>
      </w:r>
      <w:r w:rsidRPr="00E328BC">
        <w:rPr>
          <w:rFonts w:ascii="Times New Roman" w:hAnsi="Times New Roman" w:cs="Times New Roman"/>
          <w:sz w:val="28"/>
          <w:szCs w:val="28"/>
          <w:lang w:val="uk-UA"/>
        </w:rPr>
        <w:t>.— Ч. 1, 2.</w:t>
      </w:r>
      <w:r w:rsidR="00F7701E" w:rsidRPr="00E328BC">
        <w:rPr>
          <w:rFonts w:ascii="Times New Roman" w:hAnsi="Times New Roman" w:cs="Times New Roman"/>
          <w:sz w:val="28"/>
          <w:szCs w:val="28"/>
          <w:lang w:val="uk-UA"/>
        </w:rPr>
        <w:t xml:space="preserve"> – </w:t>
      </w:r>
      <w:r w:rsidR="002767DC" w:rsidRPr="00E328BC">
        <w:rPr>
          <w:rFonts w:ascii="Times New Roman" w:hAnsi="Times New Roman" w:cs="Times New Roman"/>
          <w:sz w:val="28"/>
          <w:szCs w:val="28"/>
          <w:lang w:val="uk-UA"/>
        </w:rPr>
        <w:t>С. 52-75.</w:t>
      </w:r>
    </w:p>
    <w:p w14:paraId="43C87EB0" w14:textId="2198598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80071">
        <w:rPr>
          <w:rFonts w:ascii="Times New Roman" w:hAnsi="Times New Roman" w:cs="Times New Roman"/>
          <w:sz w:val="28"/>
          <w:szCs w:val="28"/>
          <w:lang w:val="uk-UA"/>
        </w:rPr>
        <w:t>Костюк В.А. Простой и чувствительный метод определения активности супероксиддисмутазы, основанный на реакции окисления кверцетина</w:t>
      </w:r>
      <w:r w:rsidR="00F7701E">
        <w:rPr>
          <w:rFonts w:ascii="Times New Roman" w:hAnsi="Times New Roman" w:cs="Times New Roman"/>
          <w:sz w:val="28"/>
          <w:szCs w:val="28"/>
          <w:lang w:val="uk-UA"/>
        </w:rPr>
        <w:t xml:space="preserve"> / </w:t>
      </w:r>
      <w:r w:rsidR="00F7701E" w:rsidRPr="00080071">
        <w:rPr>
          <w:rFonts w:ascii="Times New Roman" w:hAnsi="Times New Roman" w:cs="Times New Roman"/>
          <w:sz w:val="28"/>
          <w:szCs w:val="28"/>
          <w:lang w:val="uk-UA"/>
        </w:rPr>
        <w:t>В.А.</w:t>
      </w:r>
      <w:r w:rsidR="00F7701E">
        <w:rPr>
          <w:rFonts w:ascii="Times New Roman" w:hAnsi="Times New Roman" w:cs="Times New Roman"/>
          <w:sz w:val="28"/>
          <w:szCs w:val="28"/>
          <w:lang w:val="uk-UA"/>
        </w:rPr>
        <w:t xml:space="preserve"> </w:t>
      </w:r>
      <w:r w:rsidR="00F7701E" w:rsidRPr="00080071">
        <w:rPr>
          <w:rFonts w:ascii="Times New Roman" w:hAnsi="Times New Roman" w:cs="Times New Roman"/>
          <w:sz w:val="28"/>
          <w:szCs w:val="28"/>
          <w:lang w:val="uk-UA"/>
        </w:rPr>
        <w:t>Костюк,</w:t>
      </w:r>
      <w:r w:rsidR="00F7701E">
        <w:rPr>
          <w:rFonts w:ascii="Times New Roman" w:hAnsi="Times New Roman" w:cs="Times New Roman"/>
          <w:sz w:val="28"/>
          <w:szCs w:val="28"/>
          <w:lang w:val="uk-UA"/>
        </w:rPr>
        <w:t xml:space="preserve"> А.И. Потапович, Ж.В. Ковалева </w:t>
      </w:r>
      <w:r w:rsidRPr="00080071">
        <w:rPr>
          <w:rFonts w:ascii="Times New Roman" w:hAnsi="Times New Roman" w:cs="Times New Roman"/>
          <w:sz w:val="28"/>
          <w:szCs w:val="28"/>
          <w:lang w:val="uk-UA"/>
        </w:rPr>
        <w:t xml:space="preserve">// Вопр. мед. химии.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1990.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N 2.</w:t>
      </w:r>
      <w:r w:rsidR="00F7701E">
        <w:rPr>
          <w:rFonts w:ascii="Times New Roman" w:hAnsi="Times New Roman" w:cs="Times New Roman"/>
          <w:sz w:val="28"/>
          <w:szCs w:val="28"/>
          <w:lang w:val="uk-UA"/>
        </w:rPr>
        <w:t xml:space="preserve"> </w:t>
      </w:r>
      <w:r w:rsidR="00F7701E" w:rsidRPr="00C102C9">
        <w:rPr>
          <w:rFonts w:ascii="Times New Roman" w:hAnsi="Times New Roman" w:cs="Times New Roman"/>
          <w:sz w:val="28"/>
          <w:szCs w:val="28"/>
          <w:lang w:val="uk-UA"/>
        </w:rPr>
        <w:t>–</w:t>
      </w:r>
      <w:r w:rsidRPr="00080071">
        <w:rPr>
          <w:rFonts w:ascii="Times New Roman" w:hAnsi="Times New Roman" w:cs="Times New Roman"/>
          <w:sz w:val="28"/>
          <w:szCs w:val="28"/>
          <w:lang w:val="uk-UA"/>
        </w:rPr>
        <w:t xml:space="preserve"> C.88-91.</w:t>
      </w:r>
    </w:p>
    <w:p w14:paraId="7DB1082A" w14:textId="5F0DB50B"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Левицкий А.П. </w:t>
      </w:r>
      <w:r w:rsidR="002767DC" w:rsidRPr="00080071">
        <w:rPr>
          <w:rFonts w:ascii="Times New Roman" w:hAnsi="Times New Roman" w:cs="Times New Roman"/>
          <w:sz w:val="28"/>
          <w:szCs w:val="28"/>
          <w:lang w:val="uk-UA"/>
        </w:rPr>
        <w:t xml:space="preserve">Ферментативный метод определения дисбиоза полости рта для скрининга про- и пребиотиков: Метод. </w:t>
      </w:r>
      <w:r w:rsidRPr="00080071">
        <w:rPr>
          <w:rFonts w:ascii="Times New Roman" w:hAnsi="Times New Roman" w:cs="Times New Roman"/>
          <w:sz w:val="28"/>
          <w:szCs w:val="28"/>
          <w:lang w:val="uk-UA"/>
        </w:rPr>
        <w:t>Р</w:t>
      </w:r>
      <w:r w:rsidR="002767DC" w:rsidRPr="00080071">
        <w:rPr>
          <w:rFonts w:ascii="Times New Roman" w:hAnsi="Times New Roman" w:cs="Times New Roman"/>
          <w:sz w:val="28"/>
          <w:szCs w:val="28"/>
          <w:lang w:val="uk-UA"/>
        </w:rPr>
        <w:t>екоменда</w:t>
      </w:r>
      <w:r>
        <w:rPr>
          <w:rFonts w:ascii="Times New Roman" w:hAnsi="Times New Roman" w:cs="Times New Roman"/>
          <w:sz w:val="28"/>
          <w:szCs w:val="28"/>
          <w:lang w:val="uk-UA"/>
        </w:rPr>
        <w:t xml:space="preserve">ции / </w:t>
      </w:r>
      <w:r w:rsidRPr="00080071">
        <w:rPr>
          <w:rFonts w:ascii="Times New Roman" w:hAnsi="Times New Roman" w:cs="Times New Roman"/>
          <w:sz w:val="28"/>
          <w:szCs w:val="28"/>
          <w:lang w:val="uk-UA"/>
        </w:rPr>
        <w:t>А.П. Левицкий, О.А. Макар</w:t>
      </w:r>
      <w:r>
        <w:rPr>
          <w:rFonts w:ascii="Times New Roman" w:hAnsi="Times New Roman" w:cs="Times New Roman"/>
          <w:sz w:val="28"/>
          <w:szCs w:val="28"/>
          <w:lang w:val="uk-UA"/>
        </w:rPr>
        <w:t xml:space="preserve">енко, И.А. Селиванская [и др.]. </w:t>
      </w:r>
      <w:r w:rsidRPr="00C102C9">
        <w:rPr>
          <w:rFonts w:ascii="Times New Roman" w:hAnsi="Times New Roman" w:cs="Times New Roman"/>
          <w:sz w:val="28"/>
          <w:szCs w:val="28"/>
          <w:lang w:val="uk-UA"/>
        </w:rPr>
        <w:t>–</w:t>
      </w:r>
      <w:r>
        <w:rPr>
          <w:rFonts w:ascii="Times New Roman" w:hAnsi="Times New Roman" w:cs="Times New Roman"/>
          <w:sz w:val="28"/>
          <w:szCs w:val="28"/>
          <w:lang w:val="uk-UA"/>
        </w:rPr>
        <w:t xml:space="preserve"> Киев: ГФЦ, 2007 –</w:t>
      </w:r>
      <w:r w:rsidR="002767DC" w:rsidRPr="00080071">
        <w:rPr>
          <w:rFonts w:ascii="Times New Roman" w:hAnsi="Times New Roman" w:cs="Times New Roman"/>
          <w:sz w:val="28"/>
          <w:szCs w:val="28"/>
          <w:lang w:val="uk-UA"/>
        </w:rPr>
        <w:t xml:space="preserve"> 26</w:t>
      </w:r>
      <w:r>
        <w:rPr>
          <w:rFonts w:ascii="Times New Roman" w:hAnsi="Times New Roman" w:cs="Times New Roman"/>
          <w:sz w:val="28"/>
          <w:szCs w:val="28"/>
          <w:lang w:val="uk-UA"/>
        </w:rPr>
        <w:t>с</w:t>
      </w:r>
      <w:r w:rsidR="002767DC" w:rsidRPr="00080071">
        <w:rPr>
          <w:rFonts w:ascii="Times New Roman" w:hAnsi="Times New Roman" w:cs="Times New Roman"/>
          <w:sz w:val="28"/>
          <w:szCs w:val="28"/>
          <w:lang w:val="uk-UA"/>
        </w:rPr>
        <w:t>.</w:t>
      </w:r>
    </w:p>
    <w:p w14:paraId="0B93387C" w14:textId="1D8C7E7B" w:rsidR="002767DC" w:rsidRDefault="00F7701E"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Стрелец Е.В.</w:t>
      </w:r>
      <w:r w:rsidR="002767DC" w:rsidRPr="00080071">
        <w:rPr>
          <w:rFonts w:ascii="Times New Roman" w:hAnsi="Times New Roman" w:cs="Times New Roman"/>
          <w:sz w:val="28"/>
          <w:szCs w:val="28"/>
          <w:lang w:val="uk-UA"/>
        </w:rPr>
        <w:t xml:space="preserve"> Способ количественного определения муцина </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Е.В.</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Стрелец, Е.Н.</w:t>
      </w:r>
      <w:r>
        <w:rPr>
          <w:rFonts w:ascii="Times New Roman" w:hAnsi="Times New Roman" w:cs="Times New Roman"/>
          <w:sz w:val="28"/>
          <w:szCs w:val="28"/>
          <w:lang w:val="uk-UA"/>
        </w:rPr>
        <w:t xml:space="preserve"> </w:t>
      </w:r>
      <w:r w:rsidRPr="00080071">
        <w:rPr>
          <w:rFonts w:ascii="Times New Roman" w:hAnsi="Times New Roman" w:cs="Times New Roman"/>
          <w:sz w:val="28"/>
          <w:szCs w:val="28"/>
          <w:lang w:val="uk-UA"/>
        </w:rPr>
        <w:t xml:space="preserve">Егорова </w:t>
      </w:r>
      <w:r w:rsidR="002767DC" w:rsidRPr="00080071">
        <w:rPr>
          <w:rFonts w:ascii="Times New Roman" w:hAnsi="Times New Roman" w:cs="Times New Roman"/>
          <w:sz w:val="28"/>
          <w:szCs w:val="28"/>
          <w:lang w:val="uk-UA"/>
        </w:rPr>
        <w:t>// Патент РФ № 2250465, опубл. 20.04.2005</w:t>
      </w:r>
      <w:r>
        <w:rPr>
          <w:rFonts w:ascii="Times New Roman" w:hAnsi="Times New Roman" w:cs="Times New Roman"/>
          <w:sz w:val="28"/>
          <w:szCs w:val="28"/>
          <w:lang w:val="uk-UA"/>
        </w:rPr>
        <w:t>.</w:t>
      </w:r>
    </w:p>
    <w:p w14:paraId="29EA9F07" w14:textId="712F42C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 xml:space="preserve">Kim H. </w:t>
      </w:r>
      <w:r w:rsidRPr="00080071">
        <w:rPr>
          <w:rFonts w:ascii="Times New Roman" w:hAnsi="Times New Roman" w:cs="Times New Roman"/>
          <w:sz w:val="28"/>
          <w:szCs w:val="28"/>
          <w:lang w:val="uk-UA"/>
        </w:rPr>
        <w:t>Antiasthmatic effects of schizandrae fructus extract in mice with asthma</w:t>
      </w:r>
      <w:r>
        <w:rPr>
          <w:rFonts w:ascii="Times New Roman" w:hAnsi="Times New Roman" w:cs="Times New Roman"/>
          <w:sz w:val="28"/>
          <w:szCs w:val="28"/>
        </w:rPr>
        <w:t xml:space="preserve"> / </w:t>
      </w:r>
      <w:r>
        <w:rPr>
          <w:rFonts w:ascii="Times New Roman" w:hAnsi="Times New Roman" w:cs="Times New Roman"/>
          <w:sz w:val="28"/>
          <w:szCs w:val="28"/>
          <w:lang w:val="uk-UA"/>
        </w:rPr>
        <w:t>Hyungwoo Kim, Yong-Tae Ahn, Youn Sook Kim, Su In Cho,</w:t>
      </w:r>
      <w:r w:rsidRPr="00080071">
        <w:rPr>
          <w:rFonts w:ascii="Times New Roman" w:hAnsi="Times New Roman" w:cs="Times New Roman"/>
          <w:sz w:val="28"/>
          <w:szCs w:val="28"/>
          <w:lang w:val="uk-UA"/>
        </w:rPr>
        <w:t xml:space="preserve"> and Won Gun </w:t>
      </w:r>
      <w:r>
        <w:rPr>
          <w:rFonts w:ascii="Times New Roman" w:hAnsi="Times New Roman" w:cs="Times New Roman"/>
          <w:sz w:val="28"/>
          <w:szCs w:val="28"/>
          <w:lang w:val="uk-UA"/>
        </w:rPr>
        <w:t xml:space="preserve">An // </w:t>
      </w:r>
      <w:r w:rsidRPr="00AC685E">
        <w:rPr>
          <w:rFonts w:ascii="Times New Roman" w:hAnsi="Times New Roman" w:cs="Times New Roman"/>
          <w:sz w:val="28"/>
          <w:szCs w:val="28"/>
          <w:lang w:val="uk-UA"/>
        </w:rPr>
        <w:t xml:space="preserve">Pharmacogn Mag. </w:t>
      </w:r>
      <w:r w:rsidR="00F7701E">
        <w:rPr>
          <w:rFonts w:ascii="Times New Roman" w:hAnsi="Times New Roman" w:cs="Times New Roman"/>
          <w:sz w:val="28"/>
          <w:szCs w:val="28"/>
          <w:lang w:val="uk-UA"/>
        </w:rPr>
        <w:t>– 2014</w:t>
      </w:r>
      <w:r w:rsidR="00F7701E">
        <w:rPr>
          <w:rFonts w:ascii="Times New Roman" w:hAnsi="Times New Roman" w:cs="Times New Roman"/>
          <w:sz w:val="28"/>
          <w:szCs w:val="28"/>
        </w:rPr>
        <w:t>. –Vol.</w:t>
      </w:r>
      <w:r w:rsidR="00F7701E">
        <w:rPr>
          <w:rFonts w:ascii="Times New Roman" w:hAnsi="Times New Roman" w:cs="Times New Roman"/>
          <w:sz w:val="28"/>
          <w:szCs w:val="28"/>
          <w:lang w:val="uk-UA"/>
        </w:rPr>
        <w:t xml:space="preserve"> 10(Suppl 1).</w:t>
      </w:r>
      <w:r w:rsidR="00F7701E">
        <w:rPr>
          <w:rFonts w:ascii="Times New Roman" w:hAnsi="Times New Roman" w:cs="Times New Roman"/>
          <w:sz w:val="28"/>
          <w:szCs w:val="28"/>
        </w:rPr>
        <w:t xml:space="preserve"> – P.</w:t>
      </w:r>
      <w:r w:rsidR="00F7701E">
        <w:rPr>
          <w:rFonts w:ascii="Times New Roman" w:hAnsi="Times New Roman" w:cs="Times New Roman"/>
          <w:sz w:val="28"/>
          <w:szCs w:val="28"/>
          <w:lang w:val="uk-UA"/>
        </w:rPr>
        <w:t xml:space="preserve"> 80–</w:t>
      </w:r>
      <w:r w:rsidRPr="00AC685E">
        <w:rPr>
          <w:rFonts w:ascii="Times New Roman" w:hAnsi="Times New Roman" w:cs="Times New Roman"/>
          <w:sz w:val="28"/>
          <w:szCs w:val="28"/>
          <w:lang w:val="uk-UA"/>
        </w:rPr>
        <w:t>85.</w:t>
      </w:r>
    </w:p>
    <w:p w14:paraId="28E388F1"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C685E">
        <w:rPr>
          <w:rFonts w:ascii="Times New Roman" w:hAnsi="Times New Roman" w:cs="Times New Roman"/>
          <w:sz w:val="28"/>
          <w:szCs w:val="28"/>
          <w:lang w:val="uk-UA"/>
        </w:rPr>
        <w:t>Shckorbatov Yu. The state of chromatin as an integrative indicator of cell stress / Yu. Shckorbatov. In: New Developments in Chromatin Research // N.M. Simpson V.J. Stewart [Ed.]. – New York: Nova Publishers. – 2012. – P. 123–144.</w:t>
      </w:r>
    </w:p>
    <w:p w14:paraId="3C093E46" w14:textId="1DCD62C5" w:rsidR="002767DC" w:rsidRDefault="00E3549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Claire Mulot. </w:t>
      </w:r>
      <w:r w:rsidR="002767DC" w:rsidRPr="00AC685E">
        <w:rPr>
          <w:rFonts w:ascii="Times New Roman" w:hAnsi="Times New Roman" w:cs="Times New Roman"/>
          <w:sz w:val="28"/>
          <w:szCs w:val="28"/>
          <w:lang w:val="uk-UA"/>
        </w:rPr>
        <w:t>Collection of Human Genomic DNA From Buccal Cells for Genetics Studies: Comparison Between Cytobrush, Mouthwash, and Treated Card</w:t>
      </w:r>
      <w:r>
        <w:rPr>
          <w:rFonts w:ascii="Times New Roman" w:hAnsi="Times New Roman" w:cs="Times New Roman"/>
          <w:sz w:val="28"/>
          <w:szCs w:val="28"/>
        </w:rPr>
        <w:t xml:space="preserve"> / </w:t>
      </w:r>
      <w:r w:rsidRPr="00AC685E">
        <w:rPr>
          <w:rFonts w:ascii="Times New Roman" w:hAnsi="Times New Roman" w:cs="Times New Roman"/>
          <w:sz w:val="28"/>
          <w:szCs w:val="28"/>
          <w:lang w:val="uk-UA"/>
        </w:rPr>
        <w:t>Claire Mulot, Isabelle Stucker, Jacqueline Clavel, Philippe Beaune, Marie-Anne Loriot</w:t>
      </w:r>
      <w:r w:rsidR="002767DC" w:rsidRPr="00AC685E">
        <w:rPr>
          <w:rFonts w:ascii="Times New Roman" w:hAnsi="Times New Roman" w:cs="Times New Roman"/>
          <w:sz w:val="28"/>
          <w:szCs w:val="28"/>
          <w:lang w:val="uk-UA"/>
        </w:rPr>
        <w:t xml:space="preserve"> // Journal of Biomedicine and Biotechnology</w:t>
      </w:r>
      <w:r>
        <w:rPr>
          <w:rFonts w:ascii="Times New Roman" w:hAnsi="Times New Roman" w:cs="Times New Roman"/>
          <w:sz w:val="28"/>
          <w:szCs w:val="28"/>
        </w:rPr>
        <w:t>. –</w:t>
      </w:r>
      <w:r>
        <w:rPr>
          <w:rFonts w:ascii="Times New Roman" w:hAnsi="Times New Roman" w:cs="Times New Roman"/>
          <w:sz w:val="28"/>
          <w:szCs w:val="28"/>
          <w:lang w:val="uk-UA"/>
        </w:rPr>
        <w:t xml:space="preserve"> 2005.</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3. </w:t>
      </w:r>
      <w:r>
        <w:rPr>
          <w:rFonts w:ascii="Times New Roman" w:hAnsi="Times New Roman" w:cs="Times New Roman"/>
          <w:sz w:val="28"/>
          <w:szCs w:val="28"/>
        </w:rPr>
        <w:t>– P.</w:t>
      </w:r>
      <w:r w:rsidR="002767DC" w:rsidRPr="00AC685E">
        <w:rPr>
          <w:rFonts w:ascii="Times New Roman" w:hAnsi="Times New Roman" w:cs="Times New Roman"/>
          <w:sz w:val="28"/>
          <w:szCs w:val="28"/>
          <w:lang w:val="uk-UA"/>
        </w:rPr>
        <w:t>291–296</w:t>
      </w:r>
      <w:r>
        <w:rPr>
          <w:rFonts w:ascii="Times New Roman" w:hAnsi="Times New Roman" w:cs="Times New Roman"/>
          <w:sz w:val="28"/>
          <w:szCs w:val="28"/>
        </w:rPr>
        <w:t>.</w:t>
      </w:r>
    </w:p>
    <w:p w14:paraId="49A6CA29" w14:textId="4F7BE134" w:rsidR="002767DC" w:rsidRDefault="00E3549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Bau D. T</w:t>
      </w:r>
      <w:r w:rsidR="002767DC" w:rsidRPr="00AC685E">
        <w:rPr>
          <w:rFonts w:ascii="Times New Roman" w:hAnsi="Times New Roman" w:cs="Times New Roman"/>
          <w:sz w:val="28"/>
          <w:szCs w:val="28"/>
          <w:lang w:val="uk-UA"/>
        </w:rPr>
        <w:t>. Association of p53 and p21(CDKN1A/WAF1/CIP1) polymorphisms with</w:t>
      </w:r>
      <w:r>
        <w:rPr>
          <w:rFonts w:ascii="Times New Roman" w:hAnsi="Times New Roman" w:cs="Times New Roman"/>
          <w:sz w:val="28"/>
          <w:szCs w:val="28"/>
          <w:lang w:val="uk-UA"/>
        </w:rPr>
        <w:t xml:space="preserve"> oral cancer in Taiwan patients / </w:t>
      </w:r>
      <w:r w:rsidRPr="00AC685E">
        <w:rPr>
          <w:rFonts w:ascii="Times New Roman" w:hAnsi="Times New Roman" w:cs="Times New Roman"/>
          <w:sz w:val="28"/>
          <w:szCs w:val="28"/>
          <w:lang w:val="uk-UA"/>
        </w:rPr>
        <w:t>D. T.</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Bau, M. H.</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Tsai, Y. L.</w:t>
      </w:r>
      <w:r>
        <w:rPr>
          <w:rFonts w:ascii="Times New Roman" w:hAnsi="Times New Roman" w:cs="Times New Roman"/>
          <w:sz w:val="28"/>
          <w:szCs w:val="28"/>
        </w:rPr>
        <w:t xml:space="preserve"> </w:t>
      </w:r>
      <w:r w:rsidRPr="00AC685E">
        <w:rPr>
          <w:rFonts w:ascii="Times New Roman" w:hAnsi="Times New Roman" w:cs="Times New Roman"/>
          <w:sz w:val="28"/>
          <w:szCs w:val="28"/>
          <w:lang w:val="uk-UA"/>
        </w:rPr>
        <w:t xml:space="preserve">Lo </w:t>
      </w:r>
      <w:r w:rsidR="002767DC" w:rsidRPr="00AC685E">
        <w:rPr>
          <w:rFonts w:ascii="Times New Roman" w:hAnsi="Times New Roman" w:cs="Times New Roman"/>
          <w:sz w:val="28"/>
          <w:szCs w:val="28"/>
          <w:lang w:val="uk-UA"/>
        </w:rPr>
        <w:t xml:space="preserve">// Anticancer Res. </w:t>
      </w:r>
      <w:r>
        <w:rPr>
          <w:rFonts w:ascii="Times New Roman" w:hAnsi="Times New Roman" w:cs="Times New Roman"/>
          <w:sz w:val="28"/>
          <w:szCs w:val="28"/>
        </w:rPr>
        <w:t xml:space="preserve">– </w:t>
      </w:r>
      <w:r w:rsidR="002767DC" w:rsidRPr="00AC685E">
        <w:rPr>
          <w:rFonts w:ascii="Times New Roman" w:hAnsi="Times New Roman" w:cs="Times New Roman"/>
          <w:sz w:val="28"/>
          <w:szCs w:val="28"/>
          <w:lang w:val="uk-UA"/>
        </w:rPr>
        <w:t>2007</w:t>
      </w:r>
      <w:r>
        <w:rPr>
          <w:rFonts w:ascii="Times New Roman" w:hAnsi="Times New Roman" w:cs="Times New Roman"/>
          <w:sz w:val="28"/>
          <w:szCs w:val="28"/>
        </w:rPr>
        <w:t>. – Vol.</w:t>
      </w:r>
      <w:r>
        <w:rPr>
          <w:rFonts w:ascii="Times New Roman" w:hAnsi="Times New Roman" w:cs="Times New Roman"/>
          <w:sz w:val="28"/>
          <w:szCs w:val="28"/>
          <w:lang w:val="uk-UA"/>
        </w:rPr>
        <w:t xml:space="preserve">27(3B). </w:t>
      </w:r>
      <w:r>
        <w:rPr>
          <w:rFonts w:ascii="Times New Roman" w:hAnsi="Times New Roman" w:cs="Times New Roman"/>
          <w:sz w:val="28"/>
          <w:szCs w:val="28"/>
        </w:rPr>
        <w:t>– P.</w:t>
      </w:r>
      <w:r w:rsidR="002767DC" w:rsidRPr="00AC685E">
        <w:rPr>
          <w:rFonts w:ascii="Times New Roman" w:hAnsi="Times New Roman" w:cs="Times New Roman"/>
          <w:sz w:val="28"/>
          <w:szCs w:val="28"/>
          <w:lang w:val="uk-UA"/>
        </w:rPr>
        <w:t>1559-1564.</w:t>
      </w:r>
    </w:p>
    <w:p w14:paraId="1EA672B8" w14:textId="0E57C4C7" w:rsidR="002767DC" w:rsidRDefault="00D730B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Rongxin Chen</w:t>
      </w:r>
      <w:r w:rsidR="002767DC" w:rsidRPr="00314A65">
        <w:rPr>
          <w:rFonts w:ascii="Times New Roman" w:hAnsi="Times New Roman" w:cs="Times New Roman"/>
          <w:sz w:val="28"/>
          <w:szCs w:val="28"/>
          <w:lang w:val="uk-UA"/>
        </w:rPr>
        <w:t>. Association of p53 rs1042522, MDM2 rs2279744, and p21 rs1801270 polymorphisms with retinoblastoma risk and invasion in a Chinese population</w:t>
      </w:r>
      <w:r>
        <w:rPr>
          <w:rFonts w:ascii="Times New Roman" w:hAnsi="Times New Roman" w:cs="Times New Roman"/>
          <w:sz w:val="28"/>
          <w:szCs w:val="28"/>
        </w:rPr>
        <w:t xml:space="preserve"> / </w:t>
      </w:r>
      <w:r w:rsidRPr="00314A65">
        <w:rPr>
          <w:rFonts w:ascii="Times New Roman" w:hAnsi="Times New Roman" w:cs="Times New Roman"/>
          <w:sz w:val="28"/>
          <w:szCs w:val="28"/>
          <w:lang w:val="uk-UA"/>
        </w:rPr>
        <w:t>Rongxin Chen, Shu Li</w:t>
      </w:r>
      <w:r>
        <w:rPr>
          <w:rFonts w:ascii="Times New Roman" w:hAnsi="Times New Roman" w:cs="Times New Roman"/>
          <w:sz w:val="28"/>
          <w:szCs w:val="28"/>
          <w:lang w:val="uk-UA"/>
        </w:rPr>
        <w:t>u, Huijing Ye, Jiali Li, et al.</w:t>
      </w:r>
      <w:r w:rsidR="002767DC" w:rsidRPr="00314A65">
        <w:rPr>
          <w:rFonts w:ascii="Times New Roman" w:hAnsi="Times New Roman" w:cs="Times New Roman"/>
          <w:sz w:val="28"/>
          <w:szCs w:val="28"/>
          <w:lang w:val="uk-UA"/>
        </w:rPr>
        <w:t xml:space="preserve"> // Scientific RepoRts. – 2015. </w:t>
      </w:r>
      <w:r>
        <w:rPr>
          <w:rFonts w:ascii="Times New Roman" w:hAnsi="Times New Roman" w:cs="Times New Roman"/>
          <w:sz w:val="28"/>
          <w:szCs w:val="28"/>
          <w:lang w:val="uk-UA"/>
        </w:rPr>
        <w:t>–</w:t>
      </w:r>
      <w:r w:rsidR="002767DC" w:rsidRPr="00314A65">
        <w:rPr>
          <w:rFonts w:ascii="Times New Roman" w:hAnsi="Times New Roman" w:cs="Times New Roman"/>
          <w:sz w:val="28"/>
          <w:szCs w:val="28"/>
          <w:lang w:val="uk-UA"/>
        </w:rPr>
        <w:t xml:space="preserve"> </w:t>
      </w:r>
      <w:r>
        <w:rPr>
          <w:rFonts w:ascii="Times New Roman" w:hAnsi="Times New Roman" w:cs="Times New Roman"/>
          <w:sz w:val="28"/>
          <w:szCs w:val="28"/>
        </w:rPr>
        <w:t>Vol.</w:t>
      </w:r>
      <w:r>
        <w:rPr>
          <w:rFonts w:ascii="Times New Roman" w:hAnsi="Times New Roman" w:cs="Times New Roman"/>
          <w:sz w:val="28"/>
          <w:szCs w:val="28"/>
          <w:lang w:val="uk-UA"/>
        </w:rPr>
        <w:t xml:space="preserve">5. </w:t>
      </w:r>
      <w:r>
        <w:rPr>
          <w:rFonts w:ascii="Times New Roman" w:hAnsi="Times New Roman" w:cs="Times New Roman"/>
          <w:sz w:val="28"/>
          <w:szCs w:val="28"/>
        </w:rPr>
        <w:t>– P.</w:t>
      </w:r>
      <w:r w:rsidR="002767DC" w:rsidRPr="00314A65">
        <w:rPr>
          <w:rFonts w:ascii="Times New Roman" w:hAnsi="Times New Roman" w:cs="Times New Roman"/>
          <w:sz w:val="28"/>
          <w:szCs w:val="28"/>
          <w:lang w:val="uk-UA"/>
        </w:rPr>
        <w:t>133</w:t>
      </w:r>
      <w:r>
        <w:rPr>
          <w:rFonts w:ascii="Times New Roman" w:hAnsi="Times New Roman" w:cs="Times New Roman"/>
          <w:sz w:val="28"/>
          <w:szCs w:val="28"/>
        </w:rPr>
        <w:t>-140</w:t>
      </w:r>
      <w:r w:rsidR="002767DC" w:rsidRPr="00314A65">
        <w:rPr>
          <w:rFonts w:ascii="Times New Roman" w:hAnsi="Times New Roman" w:cs="Times New Roman"/>
          <w:sz w:val="28"/>
          <w:szCs w:val="28"/>
          <w:lang w:val="uk-UA"/>
        </w:rPr>
        <w:t>.</w:t>
      </w:r>
    </w:p>
    <w:p w14:paraId="728BBEEE" w14:textId="77777777" w:rsidR="002767DC" w:rsidRPr="000E34CA"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C685E">
        <w:rPr>
          <w:rFonts w:ascii="Times New Roman" w:hAnsi="Times New Roman" w:cs="Times New Roman"/>
          <w:sz w:val="28"/>
          <w:szCs w:val="28"/>
          <w:lang w:val="uk-UA"/>
        </w:rPr>
        <w:t>Oral health surveys: basic methods - 5th edition</w:t>
      </w:r>
      <w:r>
        <w:rPr>
          <w:rFonts w:ascii="Times New Roman" w:hAnsi="Times New Roman" w:cs="Times New Roman"/>
          <w:sz w:val="28"/>
          <w:szCs w:val="28"/>
        </w:rPr>
        <w:t xml:space="preserve"> / </w:t>
      </w:r>
      <w:r w:rsidRPr="00AC685E">
        <w:rPr>
          <w:rFonts w:ascii="Times New Roman" w:hAnsi="Times New Roman" w:cs="Times New Roman"/>
          <w:sz w:val="28"/>
          <w:szCs w:val="28"/>
        </w:rPr>
        <w:t>World Health Organization</w:t>
      </w:r>
      <w:r>
        <w:rPr>
          <w:rFonts w:ascii="Times New Roman" w:hAnsi="Times New Roman" w:cs="Times New Roman"/>
          <w:sz w:val="28"/>
          <w:szCs w:val="28"/>
        </w:rPr>
        <w:t>, 2013. – 125 p.</w:t>
      </w:r>
    </w:p>
    <w:p w14:paraId="7628923D" w14:textId="4637ED58"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34CA">
        <w:rPr>
          <w:rFonts w:ascii="Times New Roman" w:hAnsi="Times New Roman" w:cs="Times New Roman"/>
          <w:sz w:val="28"/>
          <w:szCs w:val="28"/>
          <w:lang w:val="uk-UA"/>
        </w:rPr>
        <w:t>Зюзін В.О. Статистичні методи в охороні здоров’я та медицині / В.О.</w:t>
      </w:r>
      <w:r w:rsidR="00D730B8" w:rsidRPr="00D730B8">
        <w:rPr>
          <w:rFonts w:ascii="Times New Roman" w:hAnsi="Times New Roman" w:cs="Times New Roman"/>
          <w:sz w:val="28"/>
          <w:szCs w:val="28"/>
          <w:lang w:val="ru-RU"/>
        </w:rPr>
        <w:t xml:space="preserve"> </w:t>
      </w:r>
      <w:r w:rsidRPr="000E34CA">
        <w:rPr>
          <w:rFonts w:ascii="Times New Roman" w:hAnsi="Times New Roman" w:cs="Times New Roman"/>
          <w:sz w:val="28"/>
          <w:szCs w:val="28"/>
          <w:lang w:val="uk-UA"/>
        </w:rPr>
        <w:t>Зюзін. –</w:t>
      </w:r>
      <w:r w:rsidR="00D730B8">
        <w:rPr>
          <w:rFonts w:ascii="Times New Roman" w:hAnsi="Times New Roman" w:cs="Times New Roman"/>
          <w:sz w:val="28"/>
          <w:szCs w:val="28"/>
          <w:lang w:val="uk-UA"/>
        </w:rPr>
        <w:t xml:space="preserve"> Полтава: УМСА, 1995. – 112 с.</w:t>
      </w:r>
    </w:p>
    <w:p w14:paraId="0D7F3004" w14:textId="62CF1514" w:rsidR="002767DC" w:rsidRDefault="00D730B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Aldrich J. Fisher and Regression / J</w:t>
      </w:r>
      <w:r w:rsidRPr="000E34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Aldrich </w:t>
      </w:r>
      <w:r w:rsidRPr="00D730B8">
        <w:rPr>
          <w:rFonts w:ascii="Times New Roman" w:hAnsi="Times New Roman" w:cs="Times New Roman"/>
          <w:sz w:val="28"/>
          <w:szCs w:val="28"/>
          <w:lang w:val="uk-UA"/>
        </w:rPr>
        <w:t xml:space="preserve">// </w:t>
      </w:r>
      <w:r w:rsidR="002767DC" w:rsidRPr="000E34CA">
        <w:rPr>
          <w:rFonts w:ascii="Times New Roman" w:hAnsi="Times New Roman" w:cs="Times New Roman"/>
          <w:sz w:val="28"/>
          <w:szCs w:val="28"/>
          <w:lang w:val="uk-UA"/>
        </w:rPr>
        <w:t>Statistical Science.</w:t>
      </w:r>
      <w:r w:rsidRPr="00D730B8">
        <w:rPr>
          <w:rFonts w:ascii="Times New Roman" w:hAnsi="Times New Roman" w:cs="Times New Roman"/>
          <w:sz w:val="28"/>
          <w:szCs w:val="28"/>
          <w:lang w:val="uk-UA"/>
        </w:rPr>
        <w:t xml:space="preserve"> – 2005. – </w:t>
      </w:r>
      <w:r>
        <w:rPr>
          <w:rFonts w:ascii="Times New Roman" w:hAnsi="Times New Roman" w:cs="Times New Roman"/>
          <w:sz w:val="28"/>
          <w:szCs w:val="28"/>
        </w:rPr>
        <w:t>Vol</w:t>
      </w:r>
      <w:r w:rsidRPr="00D730B8">
        <w:rPr>
          <w:rFonts w:ascii="Times New Roman" w:hAnsi="Times New Roman" w:cs="Times New Roman"/>
          <w:sz w:val="28"/>
          <w:szCs w:val="28"/>
          <w:lang w:val="uk-UA"/>
        </w:rPr>
        <w:t>.</w:t>
      </w:r>
      <w:r>
        <w:rPr>
          <w:rFonts w:ascii="Times New Roman" w:hAnsi="Times New Roman" w:cs="Times New Roman"/>
          <w:sz w:val="28"/>
          <w:szCs w:val="28"/>
          <w:lang w:val="uk-UA"/>
        </w:rPr>
        <w:t xml:space="preserve"> 20 (4).</w:t>
      </w:r>
      <w:r w:rsidRPr="00D730B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P.</w:t>
      </w:r>
      <w:r w:rsidR="002767DC" w:rsidRPr="000E34CA">
        <w:rPr>
          <w:rFonts w:ascii="Times New Roman" w:hAnsi="Times New Roman" w:cs="Times New Roman"/>
          <w:sz w:val="28"/>
          <w:szCs w:val="28"/>
          <w:lang w:val="uk-UA"/>
        </w:rPr>
        <w:t xml:space="preserve"> 401–417.</w:t>
      </w:r>
    </w:p>
    <w:p w14:paraId="6361B4AF" w14:textId="3D687E87" w:rsidR="002767DC" w:rsidRPr="00974C00"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r w:rsidR="00D730B8" w:rsidRPr="00D730B8">
        <w:rPr>
          <w:rFonts w:ascii="Times New Roman" w:eastAsia="Times New Roman" w:hAnsi="Times New Roman"/>
          <w:sz w:val="28"/>
          <w:szCs w:val="28"/>
          <w:lang w:val="ru-RU" w:eastAsia="ar-SA"/>
        </w:rPr>
        <w:t>.</w:t>
      </w:r>
    </w:p>
    <w:p w14:paraId="365D965C" w14:textId="14F5363A" w:rsidR="002767DC" w:rsidRPr="00974C00"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142D9">
        <w:rPr>
          <w:rFonts w:ascii="Times New Roman" w:eastAsia="Times New Roman" w:hAnsi="Times New Roman"/>
          <w:sz w:val="28"/>
          <w:szCs w:val="28"/>
          <w:lang w:val="uk-UA" w:eastAsia="ar-SA"/>
        </w:rPr>
        <w:t xml:space="preserve">Назарян Р. С. Тканевая активность синтазы оксида азота в ротовой полости при атопической патологии / Р. С. Назарян, Л. С. Кривенко, В. В. Гаргин // Morphologia.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2016.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Т. 10, № 3. </w:t>
      </w:r>
      <w:r w:rsidR="00E328BC" w:rsidRPr="00DD39D0">
        <w:rPr>
          <w:rFonts w:ascii="Times New Roman" w:eastAsia="Times New Roman" w:hAnsi="Times New Roman"/>
          <w:sz w:val="28"/>
          <w:szCs w:val="28"/>
          <w:lang w:val="uk-UA" w:eastAsia="ar-SA"/>
        </w:rPr>
        <w:t>–</w:t>
      </w:r>
      <w:r w:rsidRPr="00D142D9">
        <w:rPr>
          <w:rFonts w:ascii="Times New Roman" w:eastAsia="Times New Roman" w:hAnsi="Times New Roman"/>
          <w:sz w:val="28"/>
          <w:szCs w:val="28"/>
          <w:lang w:val="uk-UA" w:eastAsia="ar-SA"/>
        </w:rPr>
        <w:t xml:space="preserve"> С. 212-216</w:t>
      </w:r>
      <w:r w:rsidRPr="00DD39D0">
        <w:rPr>
          <w:rFonts w:ascii="Times New Roman" w:eastAsia="Times New Roman" w:hAnsi="Times New Roman"/>
          <w:sz w:val="28"/>
          <w:szCs w:val="28"/>
          <w:lang w:val="uk-UA" w:eastAsia="ar-SA"/>
        </w:rPr>
        <w:t>.</w:t>
      </w:r>
    </w:p>
    <w:p w14:paraId="3F5E19C5" w14:textId="77777777" w:rsidR="002767DC" w:rsidRPr="00D142D9"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sz w:val="28"/>
          <w:szCs w:val="28"/>
          <w:lang w:eastAsia="ar-SA"/>
        </w:rPr>
        <w:t>Kri</w:t>
      </w:r>
      <w:r w:rsidRPr="00974C00">
        <w:rPr>
          <w:rFonts w:ascii="Times New Roman" w:eastAsia="Times New Roman" w:hAnsi="Times New Roman"/>
          <w:sz w:val="28"/>
          <w:szCs w:val="28"/>
          <w:lang w:eastAsia="ar-SA"/>
        </w:rPr>
        <w:t>venko</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Influence</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of</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maternal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pathology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and</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atopic</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diseases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on</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development</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of</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oral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cavity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pathology</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in</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children</w:t>
      </w:r>
      <w:r w:rsidRPr="00974C00">
        <w:rPr>
          <w:rFonts w:ascii="Times New Roman" w:eastAsia="Times New Roman" w:hAnsi="Times New Roman"/>
          <w:sz w:val="28"/>
          <w:szCs w:val="28"/>
          <w:lang w:val="uk-UA" w:eastAsia="ar-SA"/>
        </w:rPr>
        <w:t xml:space="preserve"> / </w:t>
      </w:r>
      <w:r w:rsidRPr="00974C00">
        <w:rPr>
          <w:rFonts w:ascii="Times New Roman" w:eastAsia="Times New Roman" w:hAnsi="Times New Roman"/>
          <w:sz w:val="28"/>
          <w:szCs w:val="28"/>
          <w:lang w:eastAsia="ar-SA"/>
        </w:rPr>
        <w:t>L</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Pr="00974C00">
        <w:rPr>
          <w:rFonts w:ascii="Times New Roman" w:eastAsia="Times New Roman" w:hAnsi="Times New Roman"/>
          <w:sz w:val="28"/>
          <w:szCs w:val="28"/>
          <w:lang w:eastAsia="ar-SA"/>
        </w:rPr>
        <w:t>venko</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val="uk-UA" w:eastAsia="ar-SA"/>
        </w:rPr>
        <w:br/>
      </w:r>
      <w:r w:rsidRPr="00974C00">
        <w:rPr>
          <w:rFonts w:ascii="Times New Roman" w:eastAsia="Times New Roman" w:hAnsi="Times New Roman"/>
          <w:sz w:val="28"/>
          <w:szCs w:val="28"/>
          <w:lang w:eastAsia="ar-SA"/>
        </w:rPr>
        <w:t>R</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S</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Nazaryan</w:t>
      </w:r>
      <w:r w:rsidRPr="00974C00">
        <w:rPr>
          <w:rFonts w:ascii="Times New Roman" w:eastAsia="Times New Roman" w:hAnsi="Times New Roman"/>
          <w:sz w:val="28"/>
          <w:szCs w:val="28"/>
          <w:lang w:val="uk-UA" w:eastAsia="ar-SA"/>
        </w:rPr>
        <w:t xml:space="preserve"> // </w:t>
      </w:r>
      <w:r w:rsidRPr="00974C00">
        <w:rPr>
          <w:rFonts w:ascii="Times New Roman" w:eastAsia="Times New Roman" w:hAnsi="Times New Roman"/>
          <w:sz w:val="28"/>
          <w:szCs w:val="28"/>
          <w:lang w:eastAsia="ar-SA"/>
        </w:rPr>
        <w:t>Inter</w:t>
      </w:r>
      <w:r w:rsidRPr="00974C00">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eastAsia="ar-SA"/>
        </w:rPr>
        <w:t>collegas</w:t>
      </w:r>
      <w:r w:rsidRPr="00974C00">
        <w:rPr>
          <w:rFonts w:ascii="Times New Roman" w:eastAsia="Times New Roman" w:hAnsi="Times New Roman"/>
          <w:sz w:val="28"/>
          <w:szCs w:val="28"/>
          <w:lang w:val="uk-UA" w:eastAsia="ar-SA"/>
        </w:rPr>
        <w:t xml:space="preserve">. – 2015. – 3 (4). – </w:t>
      </w:r>
      <w:r w:rsidRPr="00974C00">
        <w:rPr>
          <w:rFonts w:ascii="Times New Roman" w:eastAsia="Times New Roman" w:hAnsi="Times New Roman"/>
          <w:sz w:val="28"/>
          <w:szCs w:val="28"/>
          <w:lang w:eastAsia="ar-SA"/>
        </w:rPr>
        <w:t>p</w:t>
      </w:r>
      <w:r w:rsidRPr="00974C00">
        <w:rPr>
          <w:rFonts w:ascii="Times New Roman" w:eastAsia="Times New Roman" w:hAnsi="Times New Roman"/>
          <w:sz w:val="28"/>
          <w:szCs w:val="28"/>
          <w:lang w:val="uk-UA" w:eastAsia="ar-SA"/>
        </w:rPr>
        <w:t>.386-391.</w:t>
      </w:r>
    </w:p>
    <w:p w14:paraId="180F65F2" w14:textId="77777777" w:rsidR="002767DC" w:rsidRPr="00D142D9"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sz w:val="28"/>
          <w:szCs w:val="28"/>
          <w:lang w:eastAsia="ar-SA"/>
        </w:rPr>
        <w:t>Nazaryan 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role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nitric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synthase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modulation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immune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response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Gargin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sidRPr="00DD39D0">
        <w:rPr>
          <w:rFonts w:ascii="Times New Roman" w:eastAsia="Times New Roman" w:hAnsi="Times New Roman"/>
          <w:sz w:val="28"/>
          <w:szCs w:val="28"/>
          <w:lang w:val="uk-UA" w:eastAsia="ar-SA"/>
        </w:rPr>
        <w:t xml:space="preserve">.11. – №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w:t>
      </w:r>
      <w:r>
        <w:rPr>
          <w:rFonts w:ascii="Times New Roman" w:eastAsia="Times New Roman" w:hAnsi="Times New Roman"/>
          <w:sz w:val="28"/>
          <w:szCs w:val="28"/>
          <w:lang w:eastAsia="ar-SA"/>
        </w:rPr>
        <w:t>.</w:t>
      </w:r>
    </w:p>
    <w:p w14:paraId="21C6C46A" w14:textId="77777777" w:rsidR="002767DC"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w:t>
      </w:r>
    </w:p>
    <w:p w14:paraId="6169E5A1" w14:textId="77777777" w:rsidR="002767DC"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369B4A80" w14:textId="6CCAC7D9" w:rsidR="002767DC"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DD39D0">
        <w:rPr>
          <w:rFonts w:ascii="Times New Roman" w:eastAsia="Times New Roman" w:hAnsi="Times New Roman"/>
          <w:sz w:val="28"/>
          <w:szCs w:val="28"/>
          <w:lang w:val="uk-UA" w:eastAsia="ar-SA"/>
        </w:rPr>
        <w:br/>
        <w:t>Л. С. Кривенко // Новини стоматології. – 2017. – №4 (93). – С.72-74</w:t>
      </w:r>
      <w:r w:rsidR="00D730B8" w:rsidRPr="00D730B8">
        <w:rPr>
          <w:rFonts w:ascii="Times New Roman" w:eastAsia="Times New Roman" w:hAnsi="Times New Roman"/>
          <w:sz w:val="28"/>
          <w:szCs w:val="28"/>
          <w:lang w:val="ru-RU" w:eastAsia="ar-SA"/>
        </w:rPr>
        <w:t>.</w:t>
      </w:r>
    </w:p>
    <w:p w14:paraId="7E85D162" w14:textId="3A61C29F" w:rsidR="002767DC"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r w:rsidR="00D730B8" w:rsidRPr="00D730B8">
        <w:rPr>
          <w:rFonts w:ascii="Times New Roman" w:eastAsia="Times New Roman" w:hAnsi="Times New Roman"/>
          <w:sz w:val="28"/>
          <w:szCs w:val="28"/>
          <w:lang w:val="uk-UA" w:eastAsia="ar-SA"/>
        </w:rPr>
        <w:t>.</w:t>
      </w:r>
    </w:p>
    <w:p w14:paraId="6EBEA857" w14:textId="53743217" w:rsidR="002767DC" w:rsidRPr="00DD39D0" w:rsidRDefault="002767DC" w:rsidP="002767DC">
      <w:pPr>
        <w:widowControl w:val="0"/>
        <w:numPr>
          <w:ilvl w:val="0"/>
          <w:numId w:val="9"/>
        </w:numPr>
        <w:tabs>
          <w:tab w:val="left" w:pos="0"/>
        </w:tabs>
        <w:suppressAutoHyphens/>
        <w:autoSpaceDE w:val="0"/>
        <w:spacing w:after="0" w:line="360" w:lineRule="auto"/>
        <w:ind w:left="0"/>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r w:rsidR="00D730B8">
        <w:rPr>
          <w:rFonts w:ascii="Times New Roman" w:eastAsia="Times New Roman" w:hAnsi="Times New Roman"/>
          <w:sz w:val="28"/>
          <w:szCs w:val="28"/>
          <w:lang w:eastAsia="ar-SA"/>
        </w:rPr>
        <w:t>.</w:t>
      </w:r>
    </w:p>
    <w:p w14:paraId="234D08AB" w14:textId="2BB27E83" w:rsidR="002767DC"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sidRPr="00974C00">
        <w:rPr>
          <w:rFonts w:ascii="Times New Roman" w:eastAsia="Times New Roman" w:hAnsi="Times New Roman"/>
          <w:sz w:val="28"/>
          <w:szCs w:val="28"/>
          <w:lang w:val="uk-UA" w:eastAsia="ar-SA"/>
        </w:rPr>
        <w:t xml:space="preserve">Kryvenko L. S. Salivary oxidative analysis and periodontal status in Ukrainian children with atopy / L. S. Kryvenko, R. S. Nazaryan // Interventional Medicine &amp; Applied Science. – 2017. – Vol. 9, №4. – P. 199-203. </w:t>
      </w:r>
      <w:r>
        <w:rPr>
          <w:rFonts w:ascii="Times New Roman" w:eastAsia="Times New Roman" w:hAnsi="Times New Roman"/>
          <w:sz w:val="28"/>
          <w:szCs w:val="28"/>
          <w:lang w:val="uk-UA" w:eastAsia="ar-SA"/>
        </w:rPr>
        <w:t>https://doi.org/10.1556/1646.9.2017.32</w:t>
      </w:r>
      <w:r w:rsidR="00D730B8">
        <w:rPr>
          <w:rFonts w:ascii="Times New Roman" w:eastAsia="Times New Roman" w:hAnsi="Times New Roman"/>
          <w:sz w:val="28"/>
          <w:szCs w:val="28"/>
          <w:lang w:eastAsia="ar-SA"/>
        </w:rPr>
        <w:t>.</w:t>
      </w:r>
    </w:p>
    <w:p w14:paraId="5D5253B9" w14:textId="77777777" w:rsidR="002767DC" w:rsidRPr="001A2EBE" w:rsidRDefault="002767DC" w:rsidP="002767DC">
      <w:pPr>
        <w:pStyle w:val="ListParagraph"/>
        <w:numPr>
          <w:ilvl w:val="0"/>
          <w:numId w:val="9"/>
        </w:numPr>
        <w:tabs>
          <w:tab w:val="left" w:pos="0"/>
        </w:tabs>
        <w:spacing w:after="0" w:line="360" w:lineRule="auto"/>
        <w:ind w:left="0"/>
        <w:jc w:val="both"/>
        <w:rPr>
          <w:rFonts w:ascii="Times New Roman" w:eastAsia="Times New Roman" w:hAnsi="Times New Roman"/>
          <w:sz w:val="28"/>
          <w:szCs w:val="28"/>
          <w:lang w:val="uk-UA" w:eastAsia="ar-SA"/>
        </w:rPr>
      </w:pPr>
      <w:r>
        <w:rPr>
          <w:rFonts w:ascii="Times New Roman" w:eastAsia="Times New Roman" w:hAnsi="Times New Roman"/>
          <w:sz w:val="28"/>
          <w:szCs w:val="28"/>
          <w:lang w:val="uk-UA" w:eastAsia="ar-SA"/>
        </w:rPr>
        <w:t>Bezruk</w:t>
      </w:r>
      <w:r>
        <w:rPr>
          <w:rFonts w:ascii="Times New Roman" w:eastAsia="Times New Roman" w:hAnsi="Times New Roman"/>
          <w:sz w:val="28"/>
          <w:szCs w:val="28"/>
          <w:lang w:eastAsia="ar-SA"/>
        </w:rPr>
        <w:t xml:space="preserve"> V.M</w:t>
      </w:r>
      <w:r>
        <w:rPr>
          <w:rFonts w:ascii="Times New Roman" w:eastAsia="Times New Roman" w:hAnsi="Times New Roman"/>
          <w:sz w:val="28"/>
          <w:szCs w:val="28"/>
          <w:lang w:val="uk-UA" w:eastAsia="ar-SA"/>
        </w:rPr>
        <w:t xml:space="preserve">. </w:t>
      </w:r>
      <w:r w:rsidRPr="00974C00">
        <w:rPr>
          <w:rFonts w:ascii="Times New Roman" w:eastAsia="Times New Roman" w:hAnsi="Times New Roman"/>
          <w:sz w:val="28"/>
          <w:szCs w:val="28"/>
          <w:lang w:val="uk-UA" w:eastAsia="ar-SA"/>
        </w:rPr>
        <w:t xml:space="preserve">The Pareto chart for caries intensity evaluation in children with </w:t>
      </w:r>
      <w:r>
        <w:rPr>
          <w:rFonts w:ascii="Times New Roman" w:eastAsia="Times New Roman" w:hAnsi="Times New Roman"/>
          <w:sz w:val="28"/>
          <w:szCs w:val="28"/>
          <w:lang w:val="uk-UA" w:eastAsia="ar-SA"/>
        </w:rPr>
        <w:t>allergic diseases /</w:t>
      </w:r>
      <w:r w:rsidRPr="00C26477">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V.M.Bezruk</w:t>
      </w:r>
      <w:r w:rsidRPr="00974C00">
        <w:rPr>
          <w:rFonts w:ascii="Times New Roman" w:eastAsia="Times New Roman" w:hAnsi="Times New Roman"/>
          <w:sz w:val="28"/>
          <w:szCs w:val="28"/>
          <w:lang w:val="uk-UA" w:eastAsia="ar-SA"/>
        </w:rPr>
        <w:t>, S.S.Kryvenko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r>
        <w:rPr>
          <w:rFonts w:ascii="Times New Roman" w:eastAsia="Times New Roman" w:hAnsi="Times New Roman"/>
          <w:sz w:val="28"/>
          <w:szCs w:val="28"/>
          <w:lang w:eastAsia="ar-SA"/>
        </w:rPr>
        <w:t>.</w:t>
      </w:r>
    </w:p>
    <w:p w14:paraId="3A62C49D"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ru-RU"/>
        </w:rPr>
      </w:pPr>
      <w:r w:rsidRPr="00974C00">
        <w:rPr>
          <w:rFonts w:ascii="Times New Roman" w:hAnsi="Times New Roman"/>
          <w:color w:val="000000" w:themeColor="text1"/>
          <w:sz w:val="28"/>
          <w:szCs w:val="28"/>
          <w:lang w:val="ru-RU"/>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 – 2017. – № 2. – С.57-61.</w:t>
      </w:r>
    </w:p>
    <w:p w14:paraId="7A1D7DCB" w14:textId="600C2DF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 xml:space="preserve">Кривенко Л. С. Характеристика антиоксидантної системи дітей з гінгівітом на тлі атопічних захворювань / Л. С. Кривенко // Вісник проблем біології і </w:t>
      </w:r>
      <w:r w:rsidR="00D730B8">
        <w:rPr>
          <w:rFonts w:ascii="Times New Roman" w:hAnsi="Times New Roman"/>
          <w:color w:val="000000" w:themeColor="text1"/>
          <w:sz w:val="28"/>
          <w:szCs w:val="28"/>
          <w:lang w:val="uk-UA"/>
        </w:rPr>
        <w:t>медицини. - №1 (135). -2017. – C</w:t>
      </w:r>
      <w:r w:rsidRPr="00974C00">
        <w:rPr>
          <w:rFonts w:ascii="Times New Roman" w:hAnsi="Times New Roman"/>
          <w:color w:val="000000" w:themeColor="text1"/>
          <w:sz w:val="28"/>
          <w:szCs w:val="28"/>
          <w:lang w:val="uk-UA"/>
        </w:rPr>
        <w:t>. 326-327.</w:t>
      </w:r>
    </w:p>
    <w:p w14:paraId="586FCEE1" w14:textId="77777777" w:rsidR="002767DC" w:rsidRPr="001A2EBE"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Kryvenko L. S. Salivary lipid peroxidation and periodontal status detection in Ukrainian atopic children with Convolutional Neural Networks / L. S. Kryvenko, V. N. Bezruk, S. A. Krivenko // 2017 4th International Scientific-Practical Conference “Problems of Infocommunications. Science and Technology”. – 2017. – P.122-125.</w:t>
      </w:r>
    </w:p>
    <w:p w14:paraId="54606A93" w14:textId="77777777" w:rsidR="002767DC" w:rsidRPr="001A2EBE"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Динаміка біомаркерів ротової рідини при лікуванні хронічного гінгівіту у дітей з атопічними захворюванням / Л. С. Кривенко // Український журнал медицини, біології та спорту. – 2017. – №3(5). – С.145-149.</w:t>
      </w:r>
    </w:p>
    <w:p w14:paraId="11E5654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Изменение иммунологических показателей при лечении хронического гингивита детей на фоне атопических заболеваний / Л. С. Кривенко // Стоматолог (Беларусь). – 2017. – № 4(27). – С.26-30.</w:t>
      </w:r>
    </w:p>
    <w:p w14:paraId="286AAFB5"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1FE3699B"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974C00">
        <w:rPr>
          <w:rFonts w:ascii="Times New Roman" w:hAnsi="Times New Roman"/>
          <w:color w:val="000000" w:themeColor="text1"/>
          <w:sz w:val="28"/>
          <w:szCs w:val="28"/>
          <w:lang w:val="uk-U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72571148"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olor w:val="000000" w:themeColor="text1"/>
          <w:sz w:val="28"/>
          <w:szCs w:val="28"/>
          <w:lang w:val="uk-UA"/>
        </w:rPr>
      </w:pPr>
      <w:r w:rsidRPr="0013742D">
        <w:rPr>
          <w:rFonts w:ascii="Times New Roman" w:hAnsi="Times New Roman"/>
          <w:color w:val="000000" w:themeColor="text1"/>
          <w:sz w:val="28"/>
          <w:szCs w:val="28"/>
          <w:lang w:val="uk-UA"/>
        </w:rPr>
        <w:t>Кривенко Л. С. Характеристика клітин букального епітелію дітей, хворих на атопічні захворювання, та їх стоматологічний статус / Л. С. Кривенко // Актуальні проблеми сучасної медицини: Вісник Української медичної стоматологічної академії. - 2017. – № 4 (60), том 17. – С. 134-137.</w:t>
      </w:r>
    </w:p>
    <w:p w14:paraId="113EFD48" w14:textId="77777777" w:rsidR="002767DC" w:rsidRPr="009860F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 xml:space="preserve">Кривенко Л. С. Перспектива використання поліморфізму гена MUC5B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p>
    <w:p w14:paraId="38876C07" w14:textId="77777777" w:rsidR="002767DC" w:rsidRPr="00125153"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860FF">
        <w:rPr>
          <w:rFonts w:ascii="Times New Roman" w:hAnsi="Times New Roman" w:cs="Times New Roman"/>
          <w:sz w:val="28"/>
          <w:szCs w:val="28"/>
          <w:lang w:val="uk-UA"/>
        </w:rPr>
        <w:t>Кривенко Л. С. Можливості використання генетичних предикторів гінгівіту у дітей на тлі атопічних захворювань / Л. С. Кривенко, Р. С. Назарян, Н. Є. Волкова, О. В. Горенська // Новини стоматології. – 2017. – №2 (91). – С. 89-92.</w:t>
      </w:r>
    </w:p>
    <w:p w14:paraId="11E7BB87" w14:textId="77777777" w:rsidR="00A12FF7" w:rsidRPr="00A12FF7" w:rsidRDefault="002767DC" w:rsidP="00A12FF7">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34CA">
        <w:rPr>
          <w:rFonts w:ascii="Times New Roman" w:hAnsi="Times New Roman" w:cs="Times New Roman"/>
          <w:sz w:val="28"/>
          <w:szCs w:val="28"/>
          <w:lang w:val="uk-UA"/>
        </w:rPr>
        <w:t>Bronwen L. The Ensembl gene a</w:t>
      </w:r>
      <w:r w:rsidR="00A65749">
        <w:rPr>
          <w:rFonts w:ascii="Times New Roman" w:hAnsi="Times New Roman" w:cs="Times New Roman"/>
          <w:sz w:val="28"/>
          <w:szCs w:val="28"/>
          <w:lang w:val="uk-UA"/>
        </w:rPr>
        <w:t xml:space="preserve">nnotation system / </w:t>
      </w:r>
      <w:r w:rsidR="00A65749" w:rsidRPr="000E34CA">
        <w:rPr>
          <w:rFonts w:ascii="Times New Roman" w:hAnsi="Times New Roman" w:cs="Times New Roman"/>
          <w:sz w:val="28"/>
          <w:szCs w:val="28"/>
          <w:lang w:val="uk-UA"/>
        </w:rPr>
        <w:t xml:space="preserve">Bronwen L. Aken, Sarah Ayling, Daniel Barrell, Laura Clarke, et al. </w:t>
      </w:r>
      <w:r w:rsidR="00A65749">
        <w:rPr>
          <w:rFonts w:ascii="Times New Roman" w:hAnsi="Times New Roman" w:cs="Times New Roman"/>
          <w:sz w:val="28"/>
          <w:szCs w:val="28"/>
        </w:rPr>
        <w:t>//</w:t>
      </w:r>
      <w:r w:rsidR="00A65749">
        <w:rPr>
          <w:rFonts w:ascii="Times New Roman" w:hAnsi="Times New Roman" w:cs="Times New Roman"/>
          <w:sz w:val="28"/>
          <w:szCs w:val="28"/>
          <w:lang w:val="uk-UA"/>
        </w:rPr>
        <w:t xml:space="preserve"> Database 2016</w:t>
      </w:r>
      <w:r w:rsidR="00A65749">
        <w:rPr>
          <w:rFonts w:ascii="Times New Roman" w:hAnsi="Times New Roman" w:cs="Times New Roman"/>
          <w:sz w:val="28"/>
          <w:szCs w:val="28"/>
        </w:rPr>
        <w:t>.</w:t>
      </w:r>
      <w:r w:rsidR="00A65749">
        <w:rPr>
          <w:rFonts w:ascii="Times New Roman" w:hAnsi="Times New Roman" w:cs="Times New Roman"/>
          <w:sz w:val="28"/>
          <w:szCs w:val="28"/>
          <w:lang w:val="uk-UA"/>
        </w:rPr>
        <w:t xml:space="preserve"> </w:t>
      </w:r>
      <w:r w:rsidRPr="000E34CA">
        <w:rPr>
          <w:rFonts w:ascii="Times New Roman" w:hAnsi="Times New Roman" w:cs="Times New Roman"/>
          <w:sz w:val="28"/>
          <w:szCs w:val="28"/>
          <w:lang w:val="uk-UA"/>
        </w:rPr>
        <w:t>doi: 10.1093/database/baw093</w:t>
      </w:r>
      <w:r w:rsidR="00D730B8">
        <w:rPr>
          <w:rFonts w:ascii="Times New Roman" w:hAnsi="Times New Roman" w:cs="Times New Roman"/>
          <w:sz w:val="28"/>
          <w:szCs w:val="28"/>
        </w:rPr>
        <w:t>.</w:t>
      </w:r>
    </w:p>
    <w:p w14:paraId="2AC96420" w14:textId="6831B7E0" w:rsidR="00A12FF7" w:rsidRPr="00A12FF7" w:rsidRDefault="00A12FF7" w:rsidP="00A12FF7">
      <w:pPr>
        <w:pStyle w:val="ListParagraph"/>
        <w:numPr>
          <w:ilvl w:val="0"/>
          <w:numId w:val="9"/>
        </w:numPr>
        <w:tabs>
          <w:tab w:val="left" w:pos="0"/>
        </w:tabs>
        <w:spacing w:after="0" w:line="360" w:lineRule="auto"/>
        <w:ind w:left="0"/>
        <w:jc w:val="both"/>
        <w:rPr>
          <w:rFonts w:ascii="Times New Roman" w:hAnsi="Times New Roman" w:cs="Times New Roman"/>
          <w:i/>
          <w:sz w:val="28"/>
          <w:szCs w:val="28"/>
          <w:lang w:val="uk-UA"/>
        </w:rPr>
      </w:pPr>
      <w:r w:rsidRPr="00A12FF7">
        <w:rPr>
          <w:rFonts w:ascii="Times New Roman" w:hAnsi="Times New Roman" w:cs="Times New Roman"/>
          <w:color w:val="303030"/>
          <w:sz w:val="28"/>
          <w:szCs w:val="28"/>
          <w:shd w:val="clear" w:color="auto" w:fill="FFFFFF"/>
        </w:rPr>
        <w:t xml:space="preserve">Su L. P53 (codon 72) and P21 (codon 31) polymorphisms alter in vivo mRNA expression of p21 / L. </w:t>
      </w:r>
      <w:r w:rsidRPr="00A12FF7">
        <w:rPr>
          <w:rStyle w:val="Emphasis"/>
          <w:rFonts w:ascii="Times New Roman" w:hAnsi="Times New Roman" w:cs="Times New Roman"/>
          <w:i w:val="0"/>
          <w:color w:val="303030"/>
          <w:sz w:val="28"/>
          <w:szCs w:val="28"/>
        </w:rPr>
        <w:t>Su, Y. Sai, R. Fan R et al. // Lung Cancer. – 2003. – Vol. 40(3). – P.259-266.</w:t>
      </w:r>
    </w:p>
    <w:p w14:paraId="55FD5B5D" w14:textId="0B12E743" w:rsidR="002767DC" w:rsidRDefault="00A12FF7" w:rsidP="00A12FF7">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5749">
        <w:rPr>
          <w:rFonts w:ascii="Times New Roman" w:hAnsi="Times New Roman" w:cs="Times New Roman"/>
          <w:sz w:val="28"/>
          <w:szCs w:val="28"/>
          <w:lang w:val="uk-UA"/>
        </w:rPr>
        <w:t>Davies J.R.</w:t>
      </w:r>
      <w:r w:rsidR="002767DC" w:rsidRPr="0011708F">
        <w:rPr>
          <w:rFonts w:ascii="Times New Roman" w:hAnsi="Times New Roman" w:cs="Times New Roman"/>
          <w:sz w:val="28"/>
          <w:szCs w:val="28"/>
          <w:lang w:val="uk-UA"/>
        </w:rPr>
        <w:t xml:space="preserve"> Respiratory tract mucins: st</w:t>
      </w:r>
      <w:r w:rsidR="00A65749">
        <w:rPr>
          <w:rFonts w:ascii="Times New Roman" w:hAnsi="Times New Roman" w:cs="Times New Roman"/>
          <w:sz w:val="28"/>
          <w:szCs w:val="28"/>
          <w:lang w:val="uk-UA"/>
        </w:rPr>
        <w:t xml:space="preserve">ructure and expression patterns / </w:t>
      </w:r>
      <w:r w:rsidR="00A65749" w:rsidRPr="0011708F">
        <w:rPr>
          <w:rFonts w:ascii="Times New Roman" w:hAnsi="Times New Roman" w:cs="Times New Roman"/>
          <w:sz w:val="28"/>
          <w:szCs w:val="28"/>
          <w:lang w:val="uk-UA"/>
        </w:rPr>
        <w:t>J.R</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Davies, </w:t>
      </w:r>
      <w:r w:rsidR="00A65749" w:rsidRPr="0011708F">
        <w:rPr>
          <w:rFonts w:ascii="Times New Roman" w:hAnsi="Times New Roman" w:cs="Times New Roman"/>
          <w:sz w:val="28"/>
          <w:szCs w:val="28"/>
          <w:lang w:val="uk-UA"/>
        </w:rPr>
        <w:t>A.</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Herrmann, </w:t>
      </w:r>
      <w:r w:rsidR="00A65749" w:rsidRPr="0011708F">
        <w:rPr>
          <w:rFonts w:ascii="Times New Roman" w:hAnsi="Times New Roman" w:cs="Times New Roman"/>
          <w:sz w:val="28"/>
          <w:szCs w:val="28"/>
          <w:lang w:val="uk-UA"/>
        </w:rPr>
        <w:t>W.</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Russell</w:t>
      </w:r>
      <w:r w:rsidR="00A65749">
        <w:rPr>
          <w:rFonts w:ascii="Times New Roman" w:hAnsi="Times New Roman" w:cs="Times New Roman"/>
          <w:sz w:val="28"/>
          <w:szCs w:val="28"/>
        </w:rPr>
        <w:t xml:space="preserve"> et al.</w:t>
      </w:r>
      <w:r w:rsidR="00A65749" w:rsidRPr="0011708F">
        <w:rPr>
          <w:rFonts w:ascii="Times New Roman" w:hAnsi="Times New Roman" w:cs="Times New Roman"/>
          <w:sz w:val="28"/>
          <w:szCs w:val="28"/>
          <w:lang w:val="uk-UA"/>
        </w:rPr>
        <w:t xml:space="preserve"> </w:t>
      </w:r>
      <w:r w:rsidR="00A65749">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Novartis Found Symp.</w:t>
      </w:r>
      <w:r w:rsidR="00A65749">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 xml:space="preserve"> 2002</w:t>
      </w:r>
      <w:r w:rsidR="00A65749">
        <w:rPr>
          <w:rFonts w:ascii="Times New Roman" w:hAnsi="Times New Roman" w:cs="Times New Roman"/>
          <w:sz w:val="28"/>
          <w:szCs w:val="28"/>
        </w:rPr>
        <w:t>. – Vol.</w:t>
      </w:r>
      <w:r w:rsidR="00A65749">
        <w:rPr>
          <w:rFonts w:ascii="Times New Roman" w:hAnsi="Times New Roman" w:cs="Times New Roman"/>
          <w:sz w:val="28"/>
          <w:szCs w:val="28"/>
          <w:lang w:val="uk-UA"/>
        </w:rPr>
        <w:t xml:space="preserve">248. </w:t>
      </w:r>
      <w:r w:rsidR="00A65749">
        <w:rPr>
          <w:rFonts w:ascii="Times New Roman" w:hAnsi="Times New Roman" w:cs="Times New Roman"/>
          <w:sz w:val="28"/>
          <w:szCs w:val="28"/>
        </w:rPr>
        <w:t xml:space="preserve">– P. </w:t>
      </w:r>
      <w:r w:rsidR="002767DC" w:rsidRPr="0011708F">
        <w:rPr>
          <w:rFonts w:ascii="Times New Roman" w:hAnsi="Times New Roman" w:cs="Times New Roman"/>
          <w:sz w:val="28"/>
          <w:szCs w:val="28"/>
          <w:lang w:val="uk-UA"/>
        </w:rPr>
        <w:t>76–88</w:t>
      </w:r>
      <w:r w:rsidR="00A65749">
        <w:rPr>
          <w:rFonts w:ascii="Times New Roman" w:hAnsi="Times New Roman" w:cs="Times New Roman"/>
          <w:sz w:val="28"/>
          <w:szCs w:val="28"/>
        </w:rPr>
        <w:t>.</w:t>
      </w:r>
    </w:p>
    <w:p w14:paraId="73A6D985" w14:textId="6303AA15"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1708F">
        <w:rPr>
          <w:rFonts w:ascii="Times New Roman" w:hAnsi="Times New Roman" w:cs="Times New Roman"/>
          <w:sz w:val="28"/>
          <w:szCs w:val="28"/>
          <w:lang w:val="uk-UA"/>
        </w:rPr>
        <w:t>Vinal</w:t>
      </w:r>
      <w:r w:rsidR="00A65749">
        <w:rPr>
          <w:rFonts w:ascii="Times New Roman" w:hAnsi="Times New Roman" w:cs="Times New Roman"/>
          <w:sz w:val="28"/>
          <w:szCs w:val="28"/>
          <w:lang w:val="uk-UA"/>
        </w:rPr>
        <w:t>l, L.E.</w:t>
      </w:r>
      <w:r w:rsidRPr="0011708F">
        <w:rPr>
          <w:rFonts w:ascii="Times New Roman" w:hAnsi="Times New Roman" w:cs="Times New Roman"/>
          <w:sz w:val="28"/>
          <w:szCs w:val="28"/>
          <w:lang w:val="uk-UA"/>
        </w:rPr>
        <w:t xml:space="preserve"> Polymorphism of human mucin genes in chest disease: possible s</w:t>
      </w:r>
      <w:r w:rsidR="00A65749">
        <w:rPr>
          <w:rFonts w:ascii="Times New Roman" w:hAnsi="Times New Roman" w:cs="Times New Roman"/>
          <w:sz w:val="28"/>
          <w:szCs w:val="28"/>
          <w:lang w:val="uk-UA"/>
        </w:rPr>
        <w:t>ignificance of MUC2</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 L.E. </w:t>
      </w:r>
      <w:r w:rsidR="00A65749" w:rsidRPr="0011708F">
        <w:rPr>
          <w:rFonts w:ascii="Times New Roman" w:hAnsi="Times New Roman" w:cs="Times New Roman"/>
          <w:sz w:val="28"/>
          <w:szCs w:val="28"/>
          <w:lang w:val="uk-UA"/>
        </w:rPr>
        <w:t>Vinall, J.C.</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 xml:space="preserve">Fowler, </w:t>
      </w:r>
      <w:r w:rsidR="00A65749" w:rsidRPr="0011708F">
        <w:rPr>
          <w:rFonts w:ascii="Times New Roman" w:hAnsi="Times New Roman" w:cs="Times New Roman"/>
          <w:sz w:val="28"/>
          <w:szCs w:val="28"/>
          <w:lang w:val="uk-UA"/>
        </w:rPr>
        <w:t>A.L.</w:t>
      </w:r>
      <w:r w:rsidR="00A65749">
        <w:rPr>
          <w:rFonts w:ascii="Times New Roman" w:hAnsi="Times New Roman" w:cs="Times New Roman"/>
          <w:sz w:val="28"/>
          <w:szCs w:val="28"/>
        </w:rPr>
        <w:t xml:space="preserve"> </w:t>
      </w:r>
      <w:r w:rsidR="00A65749">
        <w:rPr>
          <w:rFonts w:ascii="Times New Roman" w:hAnsi="Times New Roman" w:cs="Times New Roman"/>
          <w:sz w:val="28"/>
          <w:szCs w:val="28"/>
          <w:lang w:val="uk-UA"/>
        </w:rPr>
        <w:t>Jones</w:t>
      </w:r>
      <w:r w:rsidR="00A65749">
        <w:rPr>
          <w:rFonts w:ascii="Times New Roman" w:hAnsi="Times New Roman" w:cs="Times New Roman"/>
          <w:sz w:val="28"/>
          <w:szCs w:val="28"/>
        </w:rPr>
        <w:t xml:space="preserve"> et al. //</w:t>
      </w:r>
      <w:r w:rsidRPr="0011708F">
        <w:rPr>
          <w:rFonts w:ascii="Times New Roman" w:hAnsi="Times New Roman" w:cs="Times New Roman"/>
          <w:sz w:val="28"/>
          <w:szCs w:val="28"/>
          <w:lang w:val="uk-UA"/>
        </w:rPr>
        <w:t xml:space="preserve"> Am. J. Respir. Cell Mol. Biol.</w:t>
      </w:r>
      <w:r w:rsidR="00A65749">
        <w:rPr>
          <w:rFonts w:ascii="Times New Roman" w:hAnsi="Times New Roman" w:cs="Times New Roman"/>
          <w:sz w:val="28"/>
          <w:szCs w:val="28"/>
        </w:rPr>
        <w:t xml:space="preserve"> – 2000. – Vol.</w:t>
      </w:r>
      <w:r w:rsidR="00A65749">
        <w:rPr>
          <w:rFonts w:ascii="Times New Roman" w:hAnsi="Times New Roman" w:cs="Times New Roman"/>
          <w:sz w:val="28"/>
          <w:szCs w:val="28"/>
          <w:lang w:val="uk-UA"/>
        </w:rPr>
        <w:t xml:space="preserve"> 23(5).- P. </w:t>
      </w:r>
      <w:r w:rsidRPr="0011708F">
        <w:rPr>
          <w:rFonts w:ascii="Times New Roman" w:hAnsi="Times New Roman" w:cs="Times New Roman"/>
          <w:sz w:val="28"/>
          <w:szCs w:val="28"/>
          <w:lang w:val="uk-UA"/>
        </w:rPr>
        <w:t>678–686</w:t>
      </w:r>
      <w:r w:rsidR="00A65749">
        <w:rPr>
          <w:rFonts w:ascii="Times New Roman" w:hAnsi="Times New Roman" w:cs="Times New Roman"/>
          <w:sz w:val="28"/>
          <w:szCs w:val="28"/>
        </w:rPr>
        <w:t>.</w:t>
      </w:r>
    </w:p>
    <w:p w14:paraId="62F3C23E" w14:textId="674483FA" w:rsidR="002767DC" w:rsidRPr="0011708F" w:rsidRDefault="00A65749"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Kirkbride H.J</w:t>
      </w:r>
      <w:r w:rsidR="002767DC" w:rsidRPr="0011708F">
        <w:rPr>
          <w:rFonts w:ascii="Times New Roman" w:hAnsi="Times New Roman" w:cs="Times New Roman"/>
          <w:sz w:val="28"/>
          <w:szCs w:val="28"/>
          <w:lang w:val="uk-UA"/>
        </w:rPr>
        <w:t>. Genetic polymorphism of MUC7: allele frequencies and association wi</w:t>
      </w:r>
      <w:r>
        <w:rPr>
          <w:rFonts w:ascii="Times New Roman" w:hAnsi="Times New Roman" w:cs="Times New Roman"/>
          <w:sz w:val="28"/>
          <w:szCs w:val="28"/>
          <w:lang w:val="uk-UA"/>
        </w:rPr>
        <w:t xml:space="preserve">th asthma / </w:t>
      </w:r>
      <w:r w:rsidRPr="0011708F">
        <w:rPr>
          <w:rFonts w:ascii="Times New Roman" w:hAnsi="Times New Roman" w:cs="Times New Roman"/>
          <w:sz w:val="28"/>
          <w:szCs w:val="28"/>
          <w:lang w:val="uk-UA"/>
        </w:rPr>
        <w:t>H.J.</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Kirkbride, </w:t>
      </w:r>
      <w:r w:rsidRPr="0011708F">
        <w:rPr>
          <w:rFonts w:ascii="Times New Roman" w:hAnsi="Times New Roman" w:cs="Times New Roman"/>
          <w:sz w:val="28"/>
          <w:szCs w:val="28"/>
          <w:lang w:val="uk-UA"/>
        </w:rPr>
        <w:t>J.G.</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Bolscher, </w:t>
      </w:r>
      <w:r w:rsidRPr="0011708F">
        <w:rPr>
          <w:rFonts w:ascii="Times New Roman" w:hAnsi="Times New Roman" w:cs="Times New Roman"/>
          <w:sz w:val="28"/>
          <w:szCs w:val="28"/>
          <w:lang w:val="uk-UA"/>
        </w:rPr>
        <w:t>K.</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Nazmi </w:t>
      </w:r>
      <w:r>
        <w:rPr>
          <w:rFonts w:ascii="Times New Roman" w:hAnsi="Times New Roman" w:cs="Times New Roman"/>
          <w:sz w:val="28"/>
          <w:szCs w:val="28"/>
        </w:rPr>
        <w:t>et al. //</w:t>
      </w:r>
      <w:r w:rsidR="002767DC" w:rsidRPr="0011708F">
        <w:rPr>
          <w:rFonts w:ascii="Times New Roman" w:hAnsi="Times New Roman" w:cs="Times New Roman"/>
          <w:sz w:val="28"/>
          <w:szCs w:val="28"/>
          <w:lang w:val="uk-UA"/>
        </w:rPr>
        <w:t xml:space="preserve"> Eur. J. Hum. Genet.</w:t>
      </w:r>
      <w:r>
        <w:rPr>
          <w:rFonts w:ascii="Times New Roman" w:hAnsi="Times New Roman" w:cs="Times New Roman"/>
          <w:sz w:val="28"/>
          <w:szCs w:val="28"/>
        </w:rPr>
        <w:t xml:space="preserve"> – 2001. – Vol.</w:t>
      </w:r>
      <w:r>
        <w:rPr>
          <w:rFonts w:ascii="Times New Roman" w:hAnsi="Times New Roman" w:cs="Times New Roman"/>
          <w:sz w:val="28"/>
          <w:szCs w:val="28"/>
          <w:lang w:val="uk-UA"/>
        </w:rPr>
        <w:t xml:space="preserve"> 9(5).</w:t>
      </w:r>
      <w:r>
        <w:rPr>
          <w:rFonts w:ascii="Times New Roman" w:hAnsi="Times New Roman" w:cs="Times New Roman"/>
          <w:sz w:val="28"/>
          <w:szCs w:val="28"/>
        </w:rPr>
        <w:t xml:space="preserve"> – P.</w:t>
      </w:r>
      <w:r w:rsidR="002767DC" w:rsidRPr="0011708F">
        <w:rPr>
          <w:rFonts w:ascii="Times New Roman" w:hAnsi="Times New Roman" w:cs="Times New Roman"/>
          <w:sz w:val="28"/>
          <w:szCs w:val="28"/>
          <w:lang w:val="uk-UA"/>
        </w:rPr>
        <w:t xml:space="preserve"> 347–354.</w:t>
      </w:r>
    </w:p>
    <w:p w14:paraId="3C6FB956" w14:textId="4AEC04B9" w:rsidR="002767DC" w:rsidRPr="0011708F"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11708F">
        <w:rPr>
          <w:rFonts w:ascii="Times New Roman" w:hAnsi="Times New Roman" w:cs="Times New Roman"/>
          <w:sz w:val="28"/>
          <w:szCs w:val="28"/>
          <w:lang w:val="uk-UA"/>
        </w:rPr>
        <w:t xml:space="preserve"> R</w:t>
      </w:r>
      <w:r w:rsidR="00A65749">
        <w:rPr>
          <w:rFonts w:ascii="Times New Roman" w:hAnsi="Times New Roman" w:cs="Times New Roman"/>
          <w:sz w:val="28"/>
          <w:szCs w:val="28"/>
          <w:lang w:val="uk-UA"/>
        </w:rPr>
        <w:t>ose M.C</w:t>
      </w:r>
      <w:r w:rsidRPr="0011708F">
        <w:rPr>
          <w:rFonts w:ascii="Times New Roman" w:hAnsi="Times New Roman" w:cs="Times New Roman"/>
          <w:sz w:val="28"/>
          <w:szCs w:val="28"/>
          <w:lang w:val="uk-UA"/>
        </w:rPr>
        <w:t>. Respiratory tract mucin genes and mucin glyc</w:t>
      </w:r>
      <w:r w:rsidR="00A65749">
        <w:rPr>
          <w:rFonts w:ascii="Times New Roman" w:hAnsi="Times New Roman" w:cs="Times New Roman"/>
          <w:sz w:val="28"/>
          <w:szCs w:val="28"/>
          <w:lang w:val="uk-UA"/>
        </w:rPr>
        <w:t>oproteins in health and disease / M.C. Rose</w:t>
      </w:r>
      <w:r w:rsidR="00A65749" w:rsidRPr="0011708F">
        <w:rPr>
          <w:rFonts w:ascii="Times New Roman" w:hAnsi="Times New Roman" w:cs="Times New Roman"/>
          <w:sz w:val="28"/>
          <w:szCs w:val="28"/>
          <w:lang w:val="uk-UA"/>
        </w:rPr>
        <w:t xml:space="preserve">, J.A. Voynow </w:t>
      </w:r>
      <w:r w:rsidR="00A65749">
        <w:rPr>
          <w:rFonts w:ascii="Times New Roman" w:hAnsi="Times New Roman" w:cs="Times New Roman"/>
          <w:sz w:val="28"/>
          <w:szCs w:val="28"/>
        </w:rPr>
        <w:t>//</w:t>
      </w:r>
      <w:r w:rsidRPr="0011708F">
        <w:rPr>
          <w:rFonts w:ascii="Times New Roman" w:hAnsi="Times New Roman" w:cs="Times New Roman"/>
          <w:sz w:val="28"/>
          <w:szCs w:val="28"/>
          <w:lang w:val="uk-UA"/>
        </w:rPr>
        <w:t xml:space="preserve"> Physiol </w:t>
      </w:r>
      <w:r>
        <w:rPr>
          <w:rFonts w:ascii="Times New Roman" w:hAnsi="Times New Roman" w:cs="Times New Roman"/>
          <w:sz w:val="28"/>
          <w:szCs w:val="28"/>
          <w:lang w:val="uk-UA"/>
        </w:rPr>
        <w:t xml:space="preserve">Rev. </w:t>
      </w:r>
      <w:r w:rsidR="00A65749">
        <w:rPr>
          <w:rFonts w:ascii="Times New Roman" w:hAnsi="Times New Roman" w:cs="Times New Roman"/>
          <w:sz w:val="28"/>
          <w:szCs w:val="28"/>
        </w:rPr>
        <w:t xml:space="preserve">– 2006. – Vol. </w:t>
      </w:r>
      <w:r w:rsidR="00A65749">
        <w:rPr>
          <w:rFonts w:ascii="Times New Roman" w:hAnsi="Times New Roman" w:cs="Times New Roman"/>
          <w:sz w:val="28"/>
          <w:szCs w:val="28"/>
          <w:lang w:val="uk-UA"/>
        </w:rPr>
        <w:t>86(1).</w:t>
      </w:r>
      <w:r w:rsidR="00A65749">
        <w:rPr>
          <w:rFonts w:ascii="Times New Roman" w:hAnsi="Times New Roman" w:cs="Times New Roman"/>
          <w:sz w:val="28"/>
          <w:szCs w:val="28"/>
        </w:rPr>
        <w:t xml:space="preserve"> – P.</w:t>
      </w:r>
      <w:r>
        <w:rPr>
          <w:rFonts w:ascii="Times New Roman" w:hAnsi="Times New Roman" w:cs="Times New Roman"/>
          <w:sz w:val="28"/>
          <w:szCs w:val="28"/>
          <w:lang w:val="uk-UA"/>
        </w:rPr>
        <w:t xml:space="preserve"> 245–278</w:t>
      </w:r>
      <w:r w:rsidRPr="0011708F">
        <w:rPr>
          <w:rFonts w:ascii="Times New Roman" w:hAnsi="Times New Roman" w:cs="Times New Roman"/>
          <w:sz w:val="28"/>
          <w:szCs w:val="28"/>
          <w:lang w:val="uk-UA"/>
        </w:rPr>
        <w:t>.</w:t>
      </w:r>
    </w:p>
    <w:p w14:paraId="2525F8E7" w14:textId="422050C2" w:rsidR="002767DC" w:rsidRDefault="00A65749"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Evans C.M</w:t>
      </w:r>
      <w:r w:rsidR="002767DC" w:rsidRPr="0011708F">
        <w:rPr>
          <w:rFonts w:ascii="Times New Roman" w:hAnsi="Times New Roman" w:cs="Times New Roman"/>
          <w:sz w:val="28"/>
          <w:szCs w:val="28"/>
          <w:lang w:val="uk-UA"/>
        </w:rPr>
        <w:t>. Airway mucus: The good, the bad, t</w:t>
      </w:r>
      <w:r>
        <w:rPr>
          <w:rFonts w:ascii="Times New Roman" w:hAnsi="Times New Roman" w:cs="Times New Roman"/>
          <w:sz w:val="28"/>
          <w:szCs w:val="28"/>
          <w:lang w:val="uk-UA"/>
        </w:rPr>
        <w:t>he sticky / C.M.</w:t>
      </w:r>
      <w:r>
        <w:rPr>
          <w:rFonts w:ascii="Times New Roman" w:hAnsi="Times New Roman" w:cs="Times New Roman"/>
          <w:sz w:val="28"/>
          <w:szCs w:val="28"/>
        </w:rPr>
        <w:t xml:space="preserve"> </w:t>
      </w:r>
      <w:r>
        <w:rPr>
          <w:rFonts w:ascii="Times New Roman" w:hAnsi="Times New Roman" w:cs="Times New Roman"/>
          <w:sz w:val="28"/>
          <w:szCs w:val="28"/>
          <w:lang w:val="uk-UA"/>
        </w:rPr>
        <w:t>Evans,</w:t>
      </w:r>
      <w:r w:rsidRPr="0011708F">
        <w:rPr>
          <w:rFonts w:ascii="Times New Roman" w:hAnsi="Times New Roman" w:cs="Times New Roman"/>
          <w:sz w:val="28"/>
          <w:szCs w:val="28"/>
          <w:lang w:val="uk-UA"/>
        </w:rPr>
        <w:t xml:space="preserve"> J.S.</w:t>
      </w:r>
      <w:r>
        <w:rPr>
          <w:rFonts w:ascii="Times New Roman" w:hAnsi="Times New Roman" w:cs="Times New Roman"/>
          <w:sz w:val="28"/>
          <w:szCs w:val="28"/>
        </w:rPr>
        <w:t xml:space="preserve"> </w:t>
      </w:r>
      <w:r w:rsidRPr="0011708F">
        <w:rPr>
          <w:rFonts w:ascii="Times New Roman" w:hAnsi="Times New Roman" w:cs="Times New Roman"/>
          <w:sz w:val="28"/>
          <w:szCs w:val="28"/>
          <w:lang w:val="uk-UA"/>
        </w:rPr>
        <w:t>Koo</w:t>
      </w:r>
      <w:r>
        <w:rPr>
          <w:rFonts w:ascii="Times New Roman" w:hAnsi="Times New Roman" w:cs="Times New Roman"/>
          <w:sz w:val="28"/>
          <w:szCs w:val="28"/>
        </w:rPr>
        <w:t xml:space="preserve"> // </w:t>
      </w:r>
      <w:r>
        <w:rPr>
          <w:rFonts w:ascii="Times New Roman" w:hAnsi="Times New Roman" w:cs="Times New Roman"/>
          <w:sz w:val="28"/>
          <w:szCs w:val="28"/>
          <w:lang w:val="uk-UA"/>
        </w:rPr>
        <w:t>Pharmacol. Therapeut. – 2009.</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 121. – P.</w:t>
      </w:r>
      <w:r w:rsidR="002767DC">
        <w:rPr>
          <w:rFonts w:ascii="Times New Roman" w:hAnsi="Times New Roman" w:cs="Times New Roman"/>
          <w:sz w:val="28"/>
          <w:szCs w:val="28"/>
          <w:lang w:val="uk-UA"/>
        </w:rPr>
        <w:t>332–348</w:t>
      </w:r>
      <w:r w:rsidR="002767DC" w:rsidRPr="0011708F">
        <w:rPr>
          <w:rFonts w:ascii="Times New Roman" w:hAnsi="Times New Roman" w:cs="Times New Roman"/>
          <w:sz w:val="28"/>
          <w:szCs w:val="28"/>
          <w:lang w:val="uk-UA"/>
        </w:rPr>
        <w:t>.</w:t>
      </w:r>
    </w:p>
    <w:p w14:paraId="3CCA7588" w14:textId="63C66F6C" w:rsidR="002767DC" w:rsidRPr="0011708F" w:rsidRDefault="00A65749"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Peacocke J</w:t>
      </w:r>
      <w:r w:rsidR="002767DC" w:rsidRPr="0011708F">
        <w:rPr>
          <w:rFonts w:ascii="Times New Roman" w:hAnsi="Times New Roman" w:cs="Times New Roman"/>
          <w:sz w:val="28"/>
          <w:szCs w:val="28"/>
          <w:lang w:val="uk-UA"/>
        </w:rPr>
        <w:t>. The role of crude saliva and purified salivary mucins in the inhibition of the Huma</w:t>
      </w:r>
      <w:r>
        <w:rPr>
          <w:rFonts w:ascii="Times New Roman" w:hAnsi="Times New Roman" w:cs="Times New Roman"/>
          <w:sz w:val="28"/>
          <w:szCs w:val="28"/>
          <w:lang w:val="uk-UA"/>
        </w:rPr>
        <w:t>n Immunodeficiency Virus type 1 / J.</w:t>
      </w:r>
      <w:r>
        <w:rPr>
          <w:rFonts w:ascii="Times New Roman" w:hAnsi="Times New Roman" w:cs="Times New Roman"/>
          <w:sz w:val="28"/>
          <w:szCs w:val="28"/>
        </w:rPr>
        <w:t xml:space="preserve"> </w:t>
      </w:r>
      <w:r w:rsidRPr="0011708F">
        <w:rPr>
          <w:rFonts w:ascii="Times New Roman" w:hAnsi="Times New Roman" w:cs="Times New Roman"/>
          <w:sz w:val="28"/>
          <w:szCs w:val="28"/>
          <w:lang w:val="uk-UA"/>
        </w:rPr>
        <w:t>Peaco</w:t>
      </w:r>
      <w:r>
        <w:rPr>
          <w:rFonts w:ascii="Times New Roman" w:hAnsi="Times New Roman" w:cs="Times New Roman"/>
          <w:sz w:val="28"/>
          <w:szCs w:val="28"/>
          <w:lang w:val="uk-UA"/>
        </w:rPr>
        <w:t>cke, Z.</w:t>
      </w:r>
      <w:r>
        <w:rPr>
          <w:rFonts w:ascii="Times New Roman" w:hAnsi="Times New Roman" w:cs="Times New Roman"/>
          <w:sz w:val="28"/>
          <w:szCs w:val="28"/>
        </w:rPr>
        <w:t xml:space="preserve"> </w:t>
      </w:r>
      <w:r>
        <w:rPr>
          <w:rFonts w:ascii="Times New Roman" w:hAnsi="Times New Roman" w:cs="Times New Roman"/>
          <w:sz w:val="28"/>
          <w:szCs w:val="28"/>
          <w:lang w:val="uk-UA"/>
        </w:rPr>
        <w:t>Lotz, 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de Beer </w:t>
      </w:r>
      <w:r>
        <w:rPr>
          <w:rFonts w:ascii="Times New Roman" w:hAnsi="Times New Roman" w:cs="Times New Roman"/>
          <w:sz w:val="28"/>
          <w:szCs w:val="28"/>
        </w:rPr>
        <w:t>et al. //</w:t>
      </w:r>
      <w:r w:rsidR="002767DC" w:rsidRPr="0011708F">
        <w:rPr>
          <w:rFonts w:ascii="Times New Roman" w:hAnsi="Times New Roman" w:cs="Times New Roman"/>
          <w:sz w:val="28"/>
          <w:szCs w:val="28"/>
          <w:lang w:val="uk-UA"/>
        </w:rPr>
        <w:t xml:space="preserve"> Virology Journal.</w:t>
      </w:r>
      <w:r>
        <w:rPr>
          <w:rFonts w:ascii="Times New Roman" w:hAnsi="Times New Roman" w:cs="Times New Roman"/>
          <w:sz w:val="28"/>
          <w:szCs w:val="28"/>
        </w:rPr>
        <w:t xml:space="preserve"> –</w:t>
      </w:r>
      <w:r w:rsidR="002767DC" w:rsidRPr="0011708F">
        <w:rPr>
          <w:rFonts w:ascii="Times New Roman" w:hAnsi="Times New Roman" w:cs="Times New Roman"/>
          <w:sz w:val="28"/>
          <w:szCs w:val="28"/>
          <w:lang w:val="uk-UA"/>
        </w:rPr>
        <w:t xml:space="preserve"> 2012</w:t>
      </w:r>
      <w:r>
        <w:rPr>
          <w:rFonts w:ascii="Times New Roman" w:hAnsi="Times New Roman" w:cs="Times New Roman"/>
          <w:sz w:val="28"/>
          <w:szCs w:val="28"/>
        </w:rPr>
        <w:t>. – Vol.</w:t>
      </w:r>
      <w:r>
        <w:rPr>
          <w:rFonts w:ascii="Times New Roman" w:hAnsi="Times New Roman" w:cs="Times New Roman"/>
          <w:sz w:val="28"/>
          <w:szCs w:val="28"/>
          <w:lang w:val="uk-UA"/>
        </w:rPr>
        <w:t xml:space="preserve"> 9. </w:t>
      </w:r>
      <w:r>
        <w:rPr>
          <w:rFonts w:ascii="Times New Roman" w:hAnsi="Times New Roman" w:cs="Times New Roman"/>
          <w:sz w:val="28"/>
          <w:szCs w:val="28"/>
        </w:rPr>
        <w:t>– P.</w:t>
      </w:r>
      <w:r w:rsidR="002767DC" w:rsidRPr="0011708F">
        <w:rPr>
          <w:rFonts w:ascii="Times New Roman" w:hAnsi="Times New Roman" w:cs="Times New Roman"/>
          <w:sz w:val="28"/>
          <w:szCs w:val="28"/>
          <w:lang w:val="uk-UA"/>
        </w:rPr>
        <w:t>177</w:t>
      </w:r>
    </w:p>
    <w:p w14:paraId="3E0BC46A" w14:textId="23A36D0D" w:rsidR="002767DC" w:rsidRPr="00D87B5E" w:rsidRDefault="00FD017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Voynow J.A</w:t>
      </w:r>
      <w:r w:rsidR="002767DC" w:rsidRPr="00D87B5E">
        <w:rPr>
          <w:rFonts w:ascii="Times New Roman" w:hAnsi="Times New Roman" w:cs="Times New Roman"/>
          <w:sz w:val="28"/>
          <w:szCs w:val="28"/>
          <w:lang w:val="uk-UA"/>
        </w:rPr>
        <w:t>. What does mucin have to do with lung disease?</w:t>
      </w:r>
      <w:r>
        <w:rPr>
          <w:rFonts w:ascii="Times New Roman" w:hAnsi="Times New Roman" w:cs="Times New Roman"/>
          <w:sz w:val="28"/>
          <w:szCs w:val="28"/>
        </w:rPr>
        <w:t xml:space="preserve"> / </w:t>
      </w:r>
      <w:r w:rsidRPr="00D87B5E">
        <w:rPr>
          <w:rFonts w:ascii="Times New Roman" w:hAnsi="Times New Roman" w:cs="Times New Roman"/>
          <w:sz w:val="28"/>
          <w:szCs w:val="28"/>
          <w:lang w:val="uk-UA"/>
        </w:rPr>
        <w:t>J.A</w:t>
      </w:r>
      <w:r>
        <w:rPr>
          <w:rFonts w:ascii="Times New Roman" w:hAnsi="Times New Roman" w:cs="Times New Roman"/>
          <w:sz w:val="28"/>
          <w:szCs w:val="28"/>
        </w:rPr>
        <w:t xml:space="preserve">. </w:t>
      </w:r>
      <w:r>
        <w:rPr>
          <w:rFonts w:ascii="Times New Roman" w:hAnsi="Times New Roman" w:cs="Times New Roman"/>
          <w:sz w:val="28"/>
          <w:szCs w:val="28"/>
          <w:lang w:val="uk-UA"/>
        </w:rPr>
        <w:t>Voynow</w:t>
      </w:r>
      <w:r w:rsidRPr="00D87B5E">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Paediatr R</w:t>
      </w:r>
      <w:r w:rsidR="002767DC">
        <w:rPr>
          <w:rFonts w:ascii="Times New Roman" w:hAnsi="Times New Roman" w:cs="Times New Roman"/>
          <w:sz w:val="28"/>
          <w:szCs w:val="28"/>
          <w:lang w:val="uk-UA"/>
        </w:rPr>
        <w:t>espir Rev</w:t>
      </w:r>
      <w:r>
        <w:rPr>
          <w:rFonts w:ascii="Times New Roman" w:hAnsi="Times New Roman" w:cs="Times New Roman"/>
          <w:sz w:val="28"/>
          <w:szCs w:val="28"/>
        </w:rPr>
        <w:t>. – 2002. – Vol.</w:t>
      </w:r>
      <w:r>
        <w:rPr>
          <w:rFonts w:ascii="Times New Roman" w:hAnsi="Times New Roman" w:cs="Times New Roman"/>
          <w:sz w:val="28"/>
          <w:szCs w:val="28"/>
          <w:lang w:val="uk-UA"/>
        </w:rPr>
        <w:t xml:space="preserve"> 3. </w:t>
      </w:r>
      <w:r>
        <w:rPr>
          <w:rFonts w:ascii="Times New Roman" w:hAnsi="Times New Roman" w:cs="Times New Roman"/>
          <w:sz w:val="28"/>
          <w:szCs w:val="28"/>
        </w:rPr>
        <w:t xml:space="preserve">– P. </w:t>
      </w:r>
      <w:r w:rsidR="002767DC">
        <w:rPr>
          <w:rFonts w:ascii="Times New Roman" w:hAnsi="Times New Roman" w:cs="Times New Roman"/>
          <w:sz w:val="28"/>
          <w:szCs w:val="28"/>
          <w:lang w:val="uk-UA"/>
        </w:rPr>
        <w:t>98–103</w:t>
      </w:r>
      <w:r w:rsidR="002767DC" w:rsidRPr="00D87B5E">
        <w:rPr>
          <w:rFonts w:ascii="Times New Roman" w:hAnsi="Times New Roman" w:cs="Times New Roman"/>
          <w:sz w:val="28"/>
          <w:szCs w:val="28"/>
          <w:lang w:val="uk-UA"/>
        </w:rPr>
        <w:t>.</w:t>
      </w:r>
    </w:p>
    <w:p w14:paraId="647AE076" w14:textId="62613804" w:rsidR="002767DC" w:rsidRDefault="00FD017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Escande F</w:t>
      </w:r>
      <w:r w:rsidR="002767DC" w:rsidRPr="00D87B5E">
        <w:rPr>
          <w:rFonts w:ascii="Times New Roman" w:hAnsi="Times New Roman" w:cs="Times New Roman"/>
          <w:sz w:val="28"/>
          <w:szCs w:val="28"/>
          <w:lang w:val="uk-UA"/>
        </w:rPr>
        <w:t>. Human mucin gene MUC5AC: organization of its 5'-regio</w:t>
      </w:r>
      <w:r>
        <w:rPr>
          <w:rFonts w:ascii="Times New Roman" w:hAnsi="Times New Roman" w:cs="Times New Roman"/>
          <w:sz w:val="28"/>
          <w:szCs w:val="28"/>
          <w:lang w:val="uk-UA"/>
        </w:rPr>
        <w:t xml:space="preserve">n and central repetitive region / </w:t>
      </w:r>
      <w:r w:rsidRPr="00D87B5E">
        <w:rPr>
          <w:rFonts w:ascii="Times New Roman" w:hAnsi="Times New Roman" w:cs="Times New Roman"/>
          <w:sz w:val="28"/>
          <w:szCs w:val="28"/>
          <w:lang w:val="uk-UA"/>
        </w:rPr>
        <w:t>F.</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Escande, J.P.</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Aubert, 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Porchet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Biochem J.</w:t>
      </w:r>
      <w:r>
        <w:rPr>
          <w:rFonts w:ascii="Times New Roman" w:hAnsi="Times New Roman" w:cs="Times New Roman"/>
          <w:sz w:val="28"/>
          <w:szCs w:val="28"/>
        </w:rPr>
        <w:t xml:space="preserve"> – 2001. – Vol.</w:t>
      </w:r>
      <w:r>
        <w:rPr>
          <w:rFonts w:ascii="Times New Roman" w:hAnsi="Times New Roman" w:cs="Times New Roman"/>
          <w:sz w:val="28"/>
          <w:szCs w:val="28"/>
          <w:lang w:val="uk-UA"/>
        </w:rPr>
        <w:t xml:space="preserve"> 358(Pt 3)</w:t>
      </w:r>
      <w:r>
        <w:rPr>
          <w:rFonts w:ascii="Times New Roman" w:hAnsi="Times New Roman" w:cs="Times New Roman"/>
          <w:sz w:val="28"/>
          <w:szCs w:val="28"/>
        </w:rPr>
        <w:t>. – P.</w:t>
      </w:r>
      <w:r w:rsidR="002767DC">
        <w:rPr>
          <w:rFonts w:ascii="Times New Roman" w:hAnsi="Times New Roman" w:cs="Times New Roman"/>
          <w:sz w:val="28"/>
          <w:szCs w:val="28"/>
          <w:lang w:val="uk-UA"/>
        </w:rPr>
        <w:t>763-72</w:t>
      </w:r>
      <w:r w:rsidR="002767DC" w:rsidRPr="00D87B5E">
        <w:rPr>
          <w:rFonts w:ascii="Times New Roman" w:hAnsi="Times New Roman" w:cs="Times New Roman"/>
          <w:sz w:val="28"/>
          <w:szCs w:val="28"/>
          <w:lang w:val="uk-UA"/>
        </w:rPr>
        <w:t>.</w:t>
      </w:r>
    </w:p>
    <w:p w14:paraId="5901F36B" w14:textId="728F4F49" w:rsidR="002767DC" w:rsidRPr="00D87B5E" w:rsidRDefault="00FD017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Moniaux N.</w:t>
      </w:r>
      <w:r w:rsidR="002767DC" w:rsidRPr="00D87B5E">
        <w:rPr>
          <w:rFonts w:ascii="Times New Roman" w:hAnsi="Times New Roman" w:cs="Times New Roman"/>
          <w:sz w:val="28"/>
          <w:szCs w:val="28"/>
          <w:lang w:val="uk-UA"/>
        </w:rPr>
        <w:t xml:space="preserve"> Structural organisation and classifi</w:t>
      </w:r>
      <w:r>
        <w:rPr>
          <w:rFonts w:ascii="Times New Roman" w:hAnsi="Times New Roman" w:cs="Times New Roman"/>
          <w:sz w:val="28"/>
          <w:szCs w:val="28"/>
          <w:lang w:val="uk-UA"/>
        </w:rPr>
        <w:t xml:space="preserve">cation of the human mucin genes / </w:t>
      </w:r>
      <w:r w:rsidRPr="00D87B5E">
        <w:rPr>
          <w:rFonts w:ascii="Times New Roman" w:hAnsi="Times New Roman" w:cs="Times New Roman"/>
          <w:sz w:val="28"/>
          <w:szCs w:val="28"/>
          <w:lang w:val="uk-UA"/>
        </w:rPr>
        <w:t>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Moniaux, F.</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Escande, N.</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Porchet </w:t>
      </w:r>
      <w:r>
        <w:rPr>
          <w:rFonts w:ascii="Times New Roman" w:hAnsi="Times New Roman" w:cs="Times New Roman"/>
          <w:sz w:val="28"/>
          <w:szCs w:val="28"/>
        </w:rPr>
        <w:t>//</w:t>
      </w:r>
      <w:r w:rsidR="002767DC" w:rsidRPr="00D87B5E">
        <w:rPr>
          <w:rFonts w:ascii="Times New Roman" w:hAnsi="Times New Roman" w:cs="Times New Roman"/>
          <w:sz w:val="28"/>
          <w:szCs w:val="28"/>
          <w:lang w:val="uk-UA"/>
        </w:rPr>
        <w:t xml:space="preserve"> Front Biosci.</w:t>
      </w:r>
      <w:r>
        <w:rPr>
          <w:rFonts w:ascii="Times New Roman" w:hAnsi="Times New Roman" w:cs="Times New Roman"/>
          <w:sz w:val="28"/>
          <w:szCs w:val="28"/>
        </w:rPr>
        <w:t xml:space="preserve"> –</w:t>
      </w:r>
      <w:r w:rsidR="002767DC" w:rsidRPr="00D87B5E">
        <w:rPr>
          <w:rFonts w:ascii="Times New Roman" w:hAnsi="Times New Roman" w:cs="Times New Roman"/>
          <w:sz w:val="28"/>
          <w:szCs w:val="28"/>
          <w:lang w:val="uk-UA"/>
        </w:rPr>
        <w:t xml:space="preserve"> 2001</w:t>
      </w:r>
      <w:r>
        <w:rPr>
          <w:rFonts w:ascii="Times New Roman" w:hAnsi="Times New Roman" w:cs="Times New Roman"/>
          <w:sz w:val="28"/>
          <w:szCs w:val="28"/>
        </w:rPr>
        <w:t>. – Vol.</w:t>
      </w:r>
      <w:r>
        <w:rPr>
          <w:rFonts w:ascii="Times New Roman" w:hAnsi="Times New Roman" w:cs="Times New Roman"/>
          <w:sz w:val="28"/>
          <w:szCs w:val="28"/>
          <w:lang w:val="uk-UA"/>
        </w:rPr>
        <w:t>6.</w:t>
      </w:r>
      <w:r>
        <w:rPr>
          <w:rFonts w:ascii="Times New Roman" w:hAnsi="Times New Roman" w:cs="Times New Roman"/>
          <w:sz w:val="28"/>
          <w:szCs w:val="28"/>
        </w:rPr>
        <w:t xml:space="preserve"> – P.</w:t>
      </w:r>
      <w:r w:rsidR="002767DC" w:rsidRPr="00D87B5E">
        <w:rPr>
          <w:rFonts w:ascii="Times New Roman" w:hAnsi="Times New Roman" w:cs="Times New Roman"/>
          <w:sz w:val="28"/>
          <w:szCs w:val="28"/>
          <w:lang w:val="uk-UA"/>
        </w:rPr>
        <w:t xml:space="preserve"> 1192–1206.</w:t>
      </w:r>
    </w:p>
    <w:p w14:paraId="3AE446EF" w14:textId="43FB5E64" w:rsidR="002767DC" w:rsidRPr="00D87B5E"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Ribezzo F., Shiloh Y., Schumacher B. Systemic DNA damage responses in aging and diseases</w:t>
      </w:r>
      <w:r w:rsidR="00FD017B">
        <w:rPr>
          <w:rFonts w:ascii="Times New Roman" w:hAnsi="Times New Roman" w:cs="Times New Roman"/>
          <w:sz w:val="28"/>
          <w:szCs w:val="28"/>
        </w:rPr>
        <w:t xml:space="preserve"> / </w:t>
      </w:r>
      <w:r w:rsidR="00FD017B">
        <w:rPr>
          <w:rFonts w:ascii="Times New Roman" w:hAnsi="Times New Roman" w:cs="Times New Roman"/>
          <w:sz w:val="28"/>
          <w:szCs w:val="28"/>
          <w:lang w:val="uk-UA"/>
        </w:rPr>
        <w:t>F.</w:t>
      </w:r>
      <w:r w:rsidR="00FD017B" w:rsidRPr="00D87B5E">
        <w:rPr>
          <w:rFonts w:ascii="Times New Roman" w:hAnsi="Times New Roman" w:cs="Times New Roman"/>
          <w:sz w:val="28"/>
          <w:szCs w:val="28"/>
          <w:lang w:val="uk-UA"/>
        </w:rPr>
        <w:t>Ribez</w:t>
      </w:r>
      <w:r w:rsidR="00FD017B">
        <w:rPr>
          <w:rFonts w:ascii="Times New Roman" w:hAnsi="Times New Roman" w:cs="Times New Roman"/>
          <w:sz w:val="28"/>
          <w:szCs w:val="28"/>
          <w:lang w:val="uk-UA"/>
        </w:rPr>
        <w:t>zo, Y.</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Shiloh, B.</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 xml:space="preserve">Schumacher </w:t>
      </w:r>
      <w:r w:rsidRPr="00D87B5E">
        <w:rPr>
          <w:rFonts w:ascii="Times New Roman" w:hAnsi="Times New Roman" w:cs="Times New Roman"/>
          <w:sz w:val="28"/>
          <w:szCs w:val="28"/>
          <w:lang w:val="uk-UA"/>
        </w:rPr>
        <w:t>// Semin. Cancer. Biol. — 2016. — Vol. 37–38. — P. 26–35.</w:t>
      </w:r>
    </w:p>
    <w:p w14:paraId="62820A5A" w14:textId="6B741C2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Gar</w:t>
      </w:r>
      <w:r w:rsidR="00FD017B">
        <w:rPr>
          <w:rFonts w:ascii="Times New Roman" w:hAnsi="Times New Roman" w:cs="Times New Roman"/>
          <w:sz w:val="28"/>
          <w:szCs w:val="28"/>
          <w:lang w:val="uk-UA"/>
        </w:rPr>
        <w:t>tel</w:t>
      </w:r>
      <w:r w:rsidR="00FD017B">
        <w:rPr>
          <w:rFonts w:ascii="Times New Roman" w:hAnsi="Times New Roman" w:cs="Times New Roman"/>
          <w:sz w:val="28"/>
          <w:szCs w:val="28"/>
        </w:rPr>
        <w:t xml:space="preserve"> A.L</w:t>
      </w:r>
      <w:r w:rsidR="00FD017B">
        <w:rPr>
          <w:rFonts w:ascii="Times New Roman" w:hAnsi="Times New Roman" w:cs="Times New Roman"/>
          <w:sz w:val="28"/>
          <w:szCs w:val="28"/>
          <w:lang w:val="uk-UA"/>
        </w:rPr>
        <w:t>.</w:t>
      </w:r>
      <w:r w:rsidRPr="00D87B5E">
        <w:rPr>
          <w:rFonts w:ascii="Times New Roman" w:hAnsi="Times New Roman" w:cs="Times New Roman"/>
          <w:sz w:val="28"/>
          <w:szCs w:val="28"/>
          <w:lang w:val="uk-UA"/>
        </w:rPr>
        <w:t xml:space="preserve"> Lost in Transcription: p21 Repression, Mechanisms, and Consequences</w:t>
      </w:r>
      <w:r w:rsidR="00FD017B">
        <w:rPr>
          <w:rFonts w:ascii="Times New Roman" w:hAnsi="Times New Roman" w:cs="Times New Roman"/>
          <w:sz w:val="28"/>
          <w:szCs w:val="28"/>
        </w:rPr>
        <w:t xml:space="preserve"> / </w:t>
      </w:r>
      <w:r w:rsidR="00FD017B">
        <w:rPr>
          <w:rFonts w:ascii="Times New Roman" w:hAnsi="Times New Roman" w:cs="Times New Roman"/>
          <w:sz w:val="28"/>
          <w:szCs w:val="28"/>
          <w:lang w:val="uk-UA"/>
        </w:rPr>
        <w:t>A. L. Gartel, S.</w:t>
      </w:r>
      <w:r w:rsidR="00FD017B" w:rsidRPr="00D87B5E">
        <w:rPr>
          <w:rFonts w:ascii="Times New Roman" w:hAnsi="Times New Roman" w:cs="Times New Roman"/>
          <w:sz w:val="28"/>
          <w:szCs w:val="28"/>
          <w:lang w:val="uk-UA"/>
        </w:rPr>
        <w:t xml:space="preserve"> K. Radhakrishnan</w:t>
      </w:r>
      <w:r w:rsidRPr="00D87B5E">
        <w:rPr>
          <w:rFonts w:ascii="Times New Roman" w:hAnsi="Times New Roman" w:cs="Times New Roman"/>
          <w:sz w:val="28"/>
          <w:szCs w:val="28"/>
          <w:lang w:val="uk-UA"/>
        </w:rPr>
        <w:t xml:space="preserve"> // Cancer Res</w:t>
      </w:r>
      <w:r w:rsidR="00FD017B">
        <w:rPr>
          <w:rFonts w:ascii="Times New Roman" w:hAnsi="Times New Roman" w:cs="Times New Roman"/>
          <w:sz w:val="28"/>
          <w:szCs w:val="28"/>
        </w:rPr>
        <w:t>. –</w:t>
      </w:r>
      <w:r w:rsidRPr="00D87B5E">
        <w:rPr>
          <w:rFonts w:ascii="Times New Roman" w:hAnsi="Times New Roman" w:cs="Times New Roman"/>
          <w:sz w:val="28"/>
          <w:szCs w:val="28"/>
          <w:lang w:val="uk-UA"/>
        </w:rPr>
        <w:t xml:space="preserve"> 2005</w:t>
      </w:r>
      <w:r w:rsidR="00FD017B">
        <w:rPr>
          <w:rFonts w:ascii="Times New Roman" w:hAnsi="Times New Roman" w:cs="Times New Roman"/>
          <w:sz w:val="28"/>
          <w:szCs w:val="28"/>
        </w:rPr>
        <w:t>. – Vol.</w:t>
      </w:r>
      <w:r w:rsidR="00FD017B">
        <w:rPr>
          <w:rFonts w:ascii="Times New Roman" w:hAnsi="Times New Roman" w:cs="Times New Roman"/>
          <w:sz w:val="28"/>
          <w:szCs w:val="28"/>
          <w:lang w:val="uk-UA"/>
        </w:rPr>
        <w:t xml:space="preserve"> 65</w:t>
      </w:r>
      <w:r w:rsidR="00FD017B">
        <w:rPr>
          <w:rFonts w:ascii="Times New Roman" w:hAnsi="Times New Roman" w:cs="Times New Roman"/>
          <w:sz w:val="28"/>
          <w:szCs w:val="28"/>
        </w:rPr>
        <w:t xml:space="preserve"> </w:t>
      </w:r>
      <w:r w:rsidR="00FD017B">
        <w:rPr>
          <w:rFonts w:ascii="Times New Roman" w:hAnsi="Times New Roman" w:cs="Times New Roman"/>
          <w:sz w:val="28"/>
          <w:szCs w:val="28"/>
          <w:lang w:val="uk-UA"/>
        </w:rPr>
        <w:t>(10). – P. 3980-3985.</w:t>
      </w:r>
    </w:p>
    <w:p w14:paraId="31D3FC22" w14:textId="09682BB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Zhang X</w:t>
      </w:r>
      <w:r w:rsidR="00FD017B">
        <w:rPr>
          <w:rFonts w:ascii="Times New Roman" w:hAnsi="Times New Roman" w:cs="Times New Roman"/>
          <w:sz w:val="28"/>
          <w:szCs w:val="28"/>
        </w:rPr>
        <w:t>.</w:t>
      </w:r>
      <w:r w:rsidRPr="00D87B5E">
        <w:rPr>
          <w:rFonts w:ascii="Times New Roman" w:hAnsi="Times New Roman" w:cs="Times New Roman"/>
          <w:sz w:val="28"/>
          <w:szCs w:val="28"/>
          <w:lang w:val="uk-UA"/>
        </w:rPr>
        <w:t>R</w:t>
      </w:r>
      <w:r w:rsidR="00FD017B">
        <w:rPr>
          <w:rFonts w:ascii="Times New Roman" w:hAnsi="Times New Roman" w:cs="Times New Roman"/>
          <w:sz w:val="28"/>
          <w:szCs w:val="28"/>
          <w:lang w:val="uk-UA"/>
        </w:rPr>
        <w:t>.</w:t>
      </w:r>
      <w:r w:rsidRPr="00D87B5E">
        <w:rPr>
          <w:rFonts w:ascii="Times New Roman" w:hAnsi="Times New Roman" w:cs="Times New Roman"/>
          <w:sz w:val="28"/>
          <w:szCs w:val="28"/>
          <w:lang w:val="uk-UA"/>
        </w:rPr>
        <w:t xml:space="preserve"> p21 is Responsible for Ionizing Radiation-induced Bypass of Mitosis</w:t>
      </w:r>
      <w:r w:rsidR="00FD017B">
        <w:rPr>
          <w:rFonts w:ascii="Times New Roman" w:hAnsi="Times New Roman" w:cs="Times New Roman"/>
          <w:sz w:val="28"/>
          <w:szCs w:val="28"/>
        </w:rPr>
        <w:t xml:space="preserve"> / </w:t>
      </w:r>
      <w:r w:rsidR="00FD017B" w:rsidRPr="00D87B5E">
        <w:rPr>
          <w:rFonts w:ascii="Times New Roman" w:hAnsi="Times New Roman" w:cs="Times New Roman"/>
          <w:sz w:val="28"/>
          <w:szCs w:val="28"/>
          <w:lang w:val="uk-UA"/>
        </w:rPr>
        <w:t>X</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R</w:t>
      </w:r>
      <w:r w:rsidR="00FD017B">
        <w:rPr>
          <w:rFonts w:ascii="Times New Roman" w:hAnsi="Times New Roman" w:cs="Times New Roman"/>
          <w:sz w:val="28"/>
          <w:szCs w:val="28"/>
        </w:rPr>
        <w:t xml:space="preserve">. </w:t>
      </w:r>
      <w:r w:rsidR="00FD017B" w:rsidRPr="00D87B5E">
        <w:rPr>
          <w:rFonts w:ascii="Times New Roman" w:hAnsi="Times New Roman" w:cs="Times New Roman"/>
          <w:sz w:val="28"/>
          <w:szCs w:val="28"/>
          <w:lang w:val="uk-UA"/>
        </w:rPr>
        <w:t>Zhang, Y</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A Liu</w:t>
      </w:r>
      <w:r w:rsidR="00FD017B">
        <w:rPr>
          <w:rFonts w:ascii="Times New Roman" w:hAnsi="Times New Roman" w:cs="Times New Roman"/>
          <w:sz w:val="28"/>
          <w:szCs w:val="28"/>
        </w:rPr>
        <w:t>.</w:t>
      </w:r>
      <w:r w:rsidR="00FD017B" w:rsidRPr="00D87B5E">
        <w:rPr>
          <w:rFonts w:ascii="Times New Roman" w:hAnsi="Times New Roman" w:cs="Times New Roman"/>
          <w:sz w:val="28"/>
          <w:szCs w:val="28"/>
          <w:lang w:val="uk-UA"/>
        </w:rPr>
        <w:t>, F</w:t>
      </w:r>
      <w:r w:rsidR="00FD017B">
        <w:rPr>
          <w:rFonts w:ascii="Times New Roman" w:hAnsi="Times New Roman" w:cs="Times New Roman"/>
          <w:sz w:val="28"/>
          <w:szCs w:val="28"/>
        </w:rPr>
        <w:t xml:space="preserve">. </w:t>
      </w:r>
      <w:r w:rsidR="00FD017B" w:rsidRPr="00D87B5E">
        <w:rPr>
          <w:rFonts w:ascii="Times New Roman" w:hAnsi="Times New Roman" w:cs="Times New Roman"/>
          <w:sz w:val="28"/>
          <w:szCs w:val="28"/>
          <w:lang w:val="uk-UA"/>
        </w:rPr>
        <w:t xml:space="preserve">Sun </w:t>
      </w:r>
      <w:r w:rsidRPr="00D87B5E">
        <w:rPr>
          <w:rFonts w:ascii="Times New Roman" w:hAnsi="Times New Roman" w:cs="Times New Roman"/>
          <w:sz w:val="28"/>
          <w:szCs w:val="28"/>
          <w:lang w:val="uk-UA"/>
        </w:rPr>
        <w:t xml:space="preserve">// Biomed Environ Sci. </w:t>
      </w:r>
      <w:r w:rsidR="00FD017B">
        <w:rPr>
          <w:rFonts w:ascii="Times New Roman" w:hAnsi="Times New Roman" w:cs="Times New Roman"/>
          <w:sz w:val="28"/>
          <w:szCs w:val="28"/>
        </w:rPr>
        <w:t xml:space="preserve">– </w:t>
      </w:r>
      <w:r w:rsidRPr="00D87B5E">
        <w:rPr>
          <w:rFonts w:ascii="Times New Roman" w:hAnsi="Times New Roman" w:cs="Times New Roman"/>
          <w:sz w:val="28"/>
          <w:szCs w:val="28"/>
          <w:lang w:val="uk-UA"/>
        </w:rPr>
        <w:t>2016</w:t>
      </w:r>
      <w:r w:rsidR="00FD017B">
        <w:rPr>
          <w:rFonts w:ascii="Times New Roman" w:hAnsi="Times New Roman" w:cs="Times New Roman"/>
          <w:sz w:val="28"/>
          <w:szCs w:val="28"/>
        </w:rPr>
        <w:t xml:space="preserve">. – Vol. </w:t>
      </w:r>
      <w:r w:rsidR="00FD017B">
        <w:rPr>
          <w:rFonts w:ascii="Times New Roman" w:hAnsi="Times New Roman" w:cs="Times New Roman"/>
          <w:sz w:val="28"/>
          <w:szCs w:val="28"/>
          <w:lang w:val="uk-UA"/>
        </w:rPr>
        <w:t xml:space="preserve">29(7). </w:t>
      </w:r>
      <w:r w:rsidR="00FD017B">
        <w:rPr>
          <w:rFonts w:ascii="Times New Roman" w:hAnsi="Times New Roman" w:cs="Times New Roman"/>
          <w:sz w:val="28"/>
          <w:szCs w:val="28"/>
        </w:rPr>
        <w:t>– P.</w:t>
      </w:r>
      <w:r w:rsidRPr="00D87B5E">
        <w:rPr>
          <w:rFonts w:ascii="Times New Roman" w:hAnsi="Times New Roman" w:cs="Times New Roman"/>
          <w:sz w:val="28"/>
          <w:szCs w:val="28"/>
          <w:lang w:val="uk-UA"/>
        </w:rPr>
        <w:t>484</w:t>
      </w:r>
      <w:r w:rsidR="00FD017B">
        <w:rPr>
          <w:rFonts w:ascii="Times New Roman" w:hAnsi="Times New Roman" w:cs="Times New Roman"/>
          <w:sz w:val="28"/>
          <w:szCs w:val="28"/>
          <w:lang w:val="uk-UA"/>
        </w:rPr>
        <w:t>-493. doi: 10.3967/bes2016.064</w:t>
      </w:r>
      <w:r w:rsidRPr="00D87B5E">
        <w:rPr>
          <w:rFonts w:ascii="Times New Roman" w:hAnsi="Times New Roman" w:cs="Times New Roman"/>
          <w:sz w:val="28"/>
          <w:szCs w:val="28"/>
          <w:lang w:val="uk-UA"/>
        </w:rPr>
        <w:t xml:space="preserve">. </w:t>
      </w:r>
    </w:p>
    <w:p w14:paraId="34DD2C32" w14:textId="77777777" w:rsidR="00A12FF7" w:rsidRDefault="00FD017B" w:rsidP="00A12FF7">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Shiohara M</w:t>
      </w:r>
      <w:r w:rsidR="002767DC" w:rsidRPr="00D87B5E">
        <w:rPr>
          <w:rFonts w:ascii="Times New Roman" w:hAnsi="Times New Roman" w:cs="Times New Roman"/>
          <w:sz w:val="28"/>
          <w:szCs w:val="28"/>
          <w:lang w:val="uk-UA"/>
        </w:rPr>
        <w:t>. p21WAF1 mutations and human malignancies</w:t>
      </w:r>
      <w:r>
        <w:rPr>
          <w:rFonts w:ascii="Times New Roman" w:hAnsi="Times New Roman" w:cs="Times New Roman"/>
          <w:sz w:val="28"/>
          <w:szCs w:val="28"/>
        </w:rPr>
        <w:t xml:space="preserve"> / </w:t>
      </w:r>
      <w:r>
        <w:rPr>
          <w:rFonts w:ascii="Times New Roman" w:hAnsi="Times New Roman" w:cs="Times New Roman"/>
          <w:sz w:val="28"/>
          <w:szCs w:val="28"/>
          <w:lang w:val="uk-UA"/>
        </w:rPr>
        <w:t>M</w:t>
      </w:r>
      <w:r>
        <w:rPr>
          <w:rFonts w:ascii="Times New Roman" w:hAnsi="Times New Roman" w:cs="Times New Roman"/>
          <w:sz w:val="28"/>
          <w:szCs w:val="28"/>
        </w:rPr>
        <w:t xml:space="preserve">. </w:t>
      </w:r>
      <w:r w:rsidRPr="00D87B5E">
        <w:rPr>
          <w:rFonts w:ascii="Times New Roman" w:hAnsi="Times New Roman" w:cs="Times New Roman"/>
          <w:sz w:val="28"/>
          <w:szCs w:val="28"/>
          <w:lang w:val="uk-UA"/>
        </w:rPr>
        <w:t>S</w:t>
      </w:r>
      <w:r>
        <w:rPr>
          <w:rFonts w:ascii="Times New Roman" w:hAnsi="Times New Roman" w:cs="Times New Roman"/>
          <w:sz w:val="28"/>
          <w:szCs w:val="28"/>
          <w:lang w:val="uk-UA"/>
        </w:rPr>
        <w:t>hiohara, K</w:t>
      </w:r>
      <w:r>
        <w:rPr>
          <w:rFonts w:ascii="Times New Roman" w:hAnsi="Times New Roman" w:cs="Times New Roman"/>
          <w:sz w:val="28"/>
          <w:szCs w:val="28"/>
        </w:rPr>
        <w:t xml:space="preserve">. </w:t>
      </w:r>
      <w:r>
        <w:rPr>
          <w:rFonts w:ascii="Times New Roman" w:hAnsi="Times New Roman" w:cs="Times New Roman"/>
          <w:sz w:val="28"/>
          <w:szCs w:val="28"/>
          <w:lang w:val="uk-UA"/>
        </w:rPr>
        <w:t>Koike, A.</w:t>
      </w:r>
      <w:r>
        <w:rPr>
          <w:rFonts w:ascii="Times New Roman" w:hAnsi="Times New Roman" w:cs="Times New Roman"/>
          <w:sz w:val="28"/>
          <w:szCs w:val="28"/>
        </w:rPr>
        <w:t xml:space="preserve"> </w:t>
      </w:r>
      <w:r>
        <w:rPr>
          <w:rFonts w:ascii="Times New Roman" w:hAnsi="Times New Roman" w:cs="Times New Roman"/>
          <w:sz w:val="28"/>
          <w:szCs w:val="28"/>
          <w:lang w:val="uk-UA"/>
        </w:rPr>
        <w:t>Komiyama</w:t>
      </w:r>
      <w:r>
        <w:rPr>
          <w:rFonts w:ascii="Times New Roman" w:hAnsi="Times New Roman" w:cs="Times New Roman"/>
          <w:sz w:val="28"/>
          <w:szCs w:val="28"/>
        </w:rPr>
        <w:t xml:space="preserve"> et al.</w:t>
      </w:r>
      <w:r>
        <w:rPr>
          <w:rFonts w:ascii="Times New Roman" w:hAnsi="Times New Roman" w:cs="Times New Roman"/>
          <w:sz w:val="28"/>
          <w:szCs w:val="28"/>
          <w:lang w:val="uk-UA"/>
        </w:rPr>
        <w:t xml:space="preserve"> </w:t>
      </w:r>
      <w:r w:rsidR="002767DC">
        <w:rPr>
          <w:rFonts w:ascii="Times New Roman" w:hAnsi="Times New Roman" w:cs="Times New Roman"/>
          <w:sz w:val="28"/>
          <w:szCs w:val="28"/>
          <w:lang w:val="uk-UA"/>
        </w:rPr>
        <w:t>// Leuk Lymphoma</w:t>
      </w:r>
      <w:r>
        <w:rPr>
          <w:rFonts w:ascii="Times New Roman" w:hAnsi="Times New Roman" w:cs="Times New Roman"/>
          <w:sz w:val="28"/>
          <w:szCs w:val="28"/>
        </w:rPr>
        <w:t>. –</w:t>
      </w:r>
      <w:r w:rsidR="002767DC">
        <w:rPr>
          <w:rFonts w:ascii="Times New Roman" w:hAnsi="Times New Roman" w:cs="Times New Roman"/>
          <w:sz w:val="28"/>
          <w:szCs w:val="28"/>
          <w:lang w:val="uk-UA"/>
        </w:rPr>
        <w:t xml:space="preserve"> 1997</w:t>
      </w:r>
      <w:r>
        <w:rPr>
          <w:rFonts w:ascii="Times New Roman" w:hAnsi="Times New Roman" w:cs="Times New Roman"/>
          <w:sz w:val="28"/>
          <w:szCs w:val="28"/>
        </w:rPr>
        <w:t>. – Vol.</w:t>
      </w:r>
      <w:r>
        <w:rPr>
          <w:rFonts w:ascii="Times New Roman" w:hAnsi="Times New Roman" w:cs="Times New Roman"/>
          <w:sz w:val="28"/>
          <w:szCs w:val="28"/>
          <w:lang w:val="uk-UA"/>
        </w:rPr>
        <w:t xml:space="preserve">26. </w:t>
      </w:r>
      <w:r>
        <w:rPr>
          <w:rFonts w:ascii="Times New Roman" w:hAnsi="Times New Roman" w:cs="Times New Roman"/>
          <w:sz w:val="28"/>
          <w:szCs w:val="28"/>
        </w:rPr>
        <w:t>– P.</w:t>
      </w:r>
      <w:r w:rsidR="002767DC">
        <w:rPr>
          <w:rFonts w:ascii="Times New Roman" w:hAnsi="Times New Roman" w:cs="Times New Roman"/>
          <w:sz w:val="28"/>
          <w:szCs w:val="28"/>
          <w:lang w:val="uk-UA"/>
        </w:rPr>
        <w:t>35–41.</w:t>
      </w:r>
    </w:p>
    <w:p w14:paraId="1D21EE48" w14:textId="77777777" w:rsidR="00A12FF7" w:rsidRDefault="00A12FF7" w:rsidP="00A12FF7">
      <w:pPr>
        <w:pStyle w:val="ListParagraph"/>
        <w:numPr>
          <w:ilvl w:val="0"/>
          <w:numId w:val="9"/>
        </w:numPr>
        <w:tabs>
          <w:tab w:val="left" w:pos="0"/>
        </w:tabs>
        <w:spacing w:after="0" w:line="360" w:lineRule="auto"/>
        <w:ind w:left="0"/>
        <w:jc w:val="both"/>
        <w:rPr>
          <w:rFonts w:ascii="Times New Roman" w:hAnsi="Times New Roman" w:cs="Times New Roman"/>
          <w:color w:val="000000"/>
          <w:sz w:val="28"/>
          <w:szCs w:val="28"/>
        </w:rPr>
      </w:pPr>
      <w:r w:rsidRPr="00A12FF7">
        <w:rPr>
          <w:rFonts w:ascii="Times New Roman" w:hAnsi="Times New Roman" w:cs="Times New Roman"/>
          <w:color w:val="000000"/>
          <w:sz w:val="28"/>
          <w:szCs w:val="28"/>
        </w:rPr>
        <w:t xml:space="preserve">Pouliot F. </w:t>
      </w:r>
      <w:r w:rsidRPr="00A12FF7">
        <w:rPr>
          <w:rFonts w:ascii="Times New Roman" w:eastAsiaTheme="majorEastAsia" w:hAnsi="Times New Roman" w:cs="Times New Roman"/>
          <w:color w:val="000000"/>
          <w:sz w:val="28"/>
          <w:szCs w:val="28"/>
        </w:rPr>
        <w:t>Role of Smad1 and Smad4 proteins in the induction of p21WAF1,Cip1 during bone morphogenetic protein-induced growth arrest in human breast cancer cells</w:t>
      </w:r>
      <w:r w:rsidRPr="00A12FF7">
        <w:rPr>
          <w:rFonts w:ascii="Times New Roman" w:hAnsi="Times New Roman" w:cs="Times New Roman"/>
          <w:color w:val="000000"/>
          <w:sz w:val="28"/>
          <w:szCs w:val="28"/>
        </w:rPr>
        <w:t xml:space="preserve"> / F. Pouliot, C. Labrie /</w:t>
      </w:r>
      <w:r>
        <w:rPr>
          <w:rFonts w:ascii="Times New Roman" w:hAnsi="Times New Roman" w:cs="Times New Roman"/>
          <w:color w:val="000000"/>
          <w:sz w:val="28"/>
          <w:szCs w:val="28"/>
        </w:rPr>
        <w:t>/</w:t>
      </w:r>
      <w:r w:rsidRPr="00A12FF7">
        <w:rPr>
          <w:rFonts w:ascii="Times New Roman" w:hAnsi="Times New Roman" w:cs="Times New Roman"/>
          <w:color w:val="000000"/>
          <w:sz w:val="28"/>
          <w:szCs w:val="28"/>
        </w:rPr>
        <w:t xml:space="preserve"> </w:t>
      </w:r>
      <w:r w:rsidRPr="00A12FF7">
        <w:rPr>
          <w:rStyle w:val="jrnl"/>
          <w:rFonts w:ascii="Times New Roman" w:hAnsi="Times New Roman" w:cs="Times New Roman"/>
          <w:color w:val="000000"/>
          <w:sz w:val="28"/>
          <w:szCs w:val="28"/>
        </w:rPr>
        <w:t>J Endocrinol</w:t>
      </w:r>
      <w:r w:rsidRPr="00A12FF7">
        <w:rPr>
          <w:rFonts w:ascii="Times New Roman" w:hAnsi="Times New Roman" w:cs="Times New Roman"/>
          <w:color w:val="000000"/>
          <w:sz w:val="28"/>
          <w:szCs w:val="28"/>
        </w:rPr>
        <w:t>. – 2002. – Vol. 172(1). – P.187-198.</w:t>
      </w:r>
    </w:p>
    <w:p w14:paraId="4CB62802" w14:textId="1F1DFAF7" w:rsidR="002767DC" w:rsidRPr="00A12FF7" w:rsidRDefault="00A12FF7" w:rsidP="00A12FF7">
      <w:pPr>
        <w:pStyle w:val="ListParagraph"/>
        <w:numPr>
          <w:ilvl w:val="0"/>
          <w:numId w:val="9"/>
        </w:numPr>
        <w:tabs>
          <w:tab w:val="left" w:pos="0"/>
        </w:tabs>
        <w:spacing w:after="0" w:line="360" w:lineRule="auto"/>
        <w:ind w:left="0"/>
        <w:jc w:val="both"/>
        <w:rPr>
          <w:rFonts w:ascii="Times New Roman" w:hAnsi="Times New Roman" w:cs="Times New Roman"/>
          <w:color w:val="000000"/>
          <w:sz w:val="28"/>
          <w:szCs w:val="28"/>
        </w:rPr>
      </w:pPr>
      <w:r>
        <w:rPr>
          <w:rFonts w:ascii="Times New Roman" w:eastAsia="Times New Roman" w:hAnsi="Times New Roman" w:cs="Times New Roman"/>
          <w:color w:val="303030"/>
          <w:sz w:val="28"/>
          <w:szCs w:val="28"/>
          <w:shd w:val="clear" w:color="auto" w:fill="FFFFFF"/>
        </w:rPr>
        <w:t xml:space="preserve">Liu S. </w:t>
      </w:r>
      <w:r w:rsidRPr="00A12FF7">
        <w:rPr>
          <w:rFonts w:ascii="Times New Roman" w:eastAsia="Times New Roman" w:hAnsi="Times New Roman" w:cs="Times New Roman"/>
          <w:color w:val="303030"/>
          <w:sz w:val="28"/>
          <w:szCs w:val="28"/>
          <w:shd w:val="clear" w:color="auto" w:fill="FFFFFF"/>
        </w:rPr>
        <w:t>Differential effects of cell cycle regulatory protein p21(WAF1/Cip1) on apoptosis and sen</w:t>
      </w:r>
      <w:r>
        <w:rPr>
          <w:rFonts w:ascii="Times New Roman" w:eastAsia="Times New Roman" w:hAnsi="Times New Roman" w:cs="Times New Roman"/>
          <w:color w:val="303030"/>
          <w:sz w:val="28"/>
          <w:szCs w:val="28"/>
          <w:shd w:val="clear" w:color="auto" w:fill="FFFFFF"/>
        </w:rPr>
        <w:t xml:space="preserve">sitivity to cancer chemotherapy / S. </w:t>
      </w:r>
      <w:r>
        <w:rPr>
          <w:rFonts w:ascii="Times New Roman" w:eastAsia="Times New Roman" w:hAnsi="Times New Roman" w:cs="Times New Roman"/>
          <w:iCs/>
          <w:color w:val="303030"/>
          <w:sz w:val="28"/>
          <w:szCs w:val="28"/>
        </w:rPr>
        <w:t>Liu</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W.R. Bishop</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M. Liu //</w:t>
      </w:r>
      <w:r w:rsidRPr="00A12FF7">
        <w:rPr>
          <w:rFonts w:ascii="Times New Roman" w:eastAsia="Times New Roman" w:hAnsi="Times New Roman" w:cs="Times New Roman"/>
          <w:iCs/>
          <w:color w:val="303030"/>
          <w:sz w:val="28"/>
          <w:szCs w:val="28"/>
        </w:rPr>
        <w:t xml:space="preserve"> Drug Resist Updat. </w:t>
      </w:r>
      <w:r>
        <w:rPr>
          <w:rFonts w:ascii="Times New Roman" w:eastAsia="Times New Roman" w:hAnsi="Times New Roman" w:cs="Times New Roman"/>
          <w:iCs/>
          <w:color w:val="303030"/>
          <w:sz w:val="28"/>
          <w:szCs w:val="28"/>
        </w:rPr>
        <w:t xml:space="preserve">– </w:t>
      </w:r>
      <w:r w:rsidRPr="00A12FF7">
        <w:rPr>
          <w:rFonts w:ascii="Times New Roman" w:eastAsia="Times New Roman" w:hAnsi="Times New Roman" w:cs="Times New Roman"/>
          <w:iCs/>
          <w:color w:val="303030"/>
          <w:sz w:val="28"/>
          <w:szCs w:val="28"/>
        </w:rPr>
        <w:t>2</w:t>
      </w:r>
      <w:r>
        <w:rPr>
          <w:rFonts w:ascii="Times New Roman" w:eastAsia="Times New Roman" w:hAnsi="Times New Roman" w:cs="Times New Roman"/>
          <w:iCs/>
          <w:color w:val="303030"/>
          <w:sz w:val="28"/>
          <w:szCs w:val="28"/>
        </w:rPr>
        <w:t>003. –</w:t>
      </w:r>
      <w:r w:rsidRPr="00A12FF7">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Vol. 6(4). – P.</w:t>
      </w:r>
      <w:r w:rsidRPr="00A12FF7">
        <w:rPr>
          <w:rFonts w:ascii="Times New Roman" w:eastAsia="Times New Roman" w:hAnsi="Times New Roman" w:cs="Times New Roman"/>
          <w:iCs/>
          <w:color w:val="303030"/>
          <w:sz w:val="28"/>
          <w:szCs w:val="28"/>
        </w:rPr>
        <w:t>183-</w:t>
      </w:r>
      <w:r>
        <w:rPr>
          <w:rFonts w:ascii="Times New Roman" w:eastAsia="Times New Roman" w:hAnsi="Times New Roman" w:cs="Times New Roman"/>
          <w:iCs/>
          <w:color w:val="303030"/>
          <w:sz w:val="28"/>
          <w:szCs w:val="28"/>
        </w:rPr>
        <w:t>1</w:t>
      </w:r>
      <w:r w:rsidRPr="00A12FF7">
        <w:rPr>
          <w:rFonts w:ascii="Times New Roman" w:eastAsia="Times New Roman" w:hAnsi="Times New Roman" w:cs="Times New Roman"/>
          <w:iCs/>
          <w:color w:val="303030"/>
          <w:sz w:val="28"/>
          <w:szCs w:val="28"/>
        </w:rPr>
        <w:t xml:space="preserve">95. </w:t>
      </w:r>
    </w:p>
    <w:p w14:paraId="0329B743" w14:textId="748FACA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87B5E">
        <w:rPr>
          <w:rFonts w:ascii="Times New Roman" w:hAnsi="Times New Roman" w:cs="Times New Roman"/>
          <w:sz w:val="28"/>
          <w:szCs w:val="28"/>
          <w:lang w:val="uk-UA"/>
        </w:rPr>
        <w:t>Sawair</w:t>
      </w:r>
      <w:r w:rsidR="007271E7">
        <w:rPr>
          <w:rFonts w:ascii="Times New Roman" w:hAnsi="Times New Roman" w:cs="Times New Roman"/>
          <w:sz w:val="28"/>
          <w:szCs w:val="28"/>
        </w:rPr>
        <w:t xml:space="preserve"> </w:t>
      </w:r>
      <w:r w:rsidR="007271E7" w:rsidRPr="00D87B5E">
        <w:rPr>
          <w:rFonts w:ascii="Times New Roman" w:hAnsi="Times New Roman" w:cs="Times New Roman"/>
          <w:sz w:val="28"/>
          <w:szCs w:val="28"/>
          <w:lang w:val="uk-UA"/>
        </w:rPr>
        <w:t>F</w:t>
      </w:r>
      <w:r w:rsidR="007271E7">
        <w:rPr>
          <w:rFonts w:ascii="Times New Roman" w:hAnsi="Times New Roman" w:cs="Times New Roman"/>
          <w:sz w:val="28"/>
          <w:szCs w:val="28"/>
        </w:rPr>
        <w:t>. P</w:t>
      </w:r>
      <w:r w:rsidRPr="00D87B5E">
        <w:rPr>
          <w:rFonts w:ascii="Times New Roman" w:hAnsi="Times New Roman" w:cs="Times New Roman"/>
          <w:sz w:val="28"/>
          <w:szCs w:val="28"/>
          <w:lang w:val="uk-UA"/>
        </w:rPr>
        <w:t>53, Cyclin D1, p21 (WAF1) and Ki-67 (MIB1) Expression at Invasive Tumour Fronts of Oral Squamous Cell Carcinomas and Development of Local Recurrence</w:t>
      </w:r>
      <w:r w:rsidR="007271E7">
        <w:rPr>
          <w:rFonts w:ascii="Times New Roman" w:hAnsi="Times New Roman" w:cs="Times New Roman"/>
          <w:sz w:val="28"/>
          <w:szCs w:val="28"/>
        </w:rPr>
        <w:t xml:space="preserve"> / </w:t>
      </w:r>
      <w:r w:rsidR="007271E7" w:rsidRPr="00D87B5E">
        <w:rPr>
          <w:rFonts w:ascii="Times New Roman" w:hAnsi="Times New Roman" w:cs="Times New Roman"/>
          <w:sz w:val="28"/>
          <w:szCs w:val="28"/>
          <w:lang w:val="uk-UA"/>
        </w:rPr>
        <w:t>F</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Sawair, Y</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Hassona, C</w:t>
      </w:r>
      <w:r w:rsidR="007271E7">
        <w:rPr>
          <w:rFonts w:ascii="Times New Roman" w:hAnsi="Times New Roman" w:cs="Times New Roman"/>
          <w:sz w:val="28"/>
          <w:szCs w:val="28"/>
        </w:rPr>
        <w:t>.</w:t>
      </w:r>
      <w:r w:rsidR="007271E7" w:rsidRPr="00D87B5E">
        <w:rPr>
          <w:rFonts w:ascii="Times New Roman" w:hAnsi="Times New Roman" w:cs="Times New Roman"/>
          <w:sz w:val="28"/>
          <w:szCs w:val="28"/>
          <w:lang w:val="uk-UA"/>
        </w:rPr>
        <w:t xml:space="preserve"> Irwin</w:t>
      </w:r>
      <w:r w:rsidR="007271E7">
        <w:rPr>
          <w:rFonts w:ascii="Times New Roman" w:hAnsi="Times New Roman" w:cs="Times New Roman"/>
          <w:sz w:val="28"/>
          <w:szCs w:val="28"/>
        </w:rPr>
        <w:t xml:space="preserve"> et al.</w:t>
      </w:r>
      <w:r w:rsidRPr="00D87B5E">
        <w:rPr>
          <w:rFonts w:ascii="Times New Roman" w:hAnsi="Times New Roman" w:cs="Times New Roman"/>
          <w:sz w:val="28"/>
          <w:szCs w:val="28"/>
          <w:lang w:val="uk-UA"/>
        </w:rPr>
        <w:t xml:space="preserve"> // Asian Pacific Journal of Canc</w:t>
      </w:r>
      <w:r w:rsidR="007271E7">
        <w:rPr>
          <w:rFonts w:ascii="Times New Roman" w:hAnsi="Times New Roman" w:cs="Times New Roman"/>
          <w:sz w:val="28"/>
          <w:szCs w:val="28"/>
          <w:lang w:val="uk-UA"/>
        </w:rPr>
        <w:t>er Prevention. – 2016. – Vol 17.</w:t>
      </w:r>
      <w:r w:rsidR="007271E7">
        <w:rPr>
          <w:rFonts w:ascii="Times New Roman" w:hAnsi="Times New Roman" w:cs="Times New Roman"/>
          <w:sz w:val="28"/>
          <w:szCs w:val="28"/>
        </w:rPr>
        <w:t xml:space="preserve"> –</w:t>
      </w:r>
      <w:r w:rsidRPr="00D87B5E">
        <w:rPr>
          <w:rFonts w:ascii="Times New Roman" w:hAnsi="Times New Roman" w:cs="Times New Roman"/>
          <w:sz w:val="28"/>
          <w:szCs w:val="28"/>
          <w:lang w:val="uk-UA"/>
        </w:rPr>
        <w:t xml:space="preserve"> Р. 1243 – 1249.</w:t>
      </w:r>
    </w:p>
    <w:p w14:paraId="72683358" w14:textId="24C22EC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Fei Li</w:t>
      </w:r>
      <w:r w:rsidR="007271E7">
        <w:rPr>
          <w:rFonts w:ascii="Times New Roman" w:hAnsi="Times New Roman" w:cs="Times New Roman"/>
          <w:sz w:val="28"/>
          <w:szCs w:val="28"/>
          <w:lang w:val="uk-UA"/>
        </w:rPr>
        <w:t>u.</w:t>
      </w:r>
      <w:r w:rsidRPr="00314A65">
        <w:rPr>
          <w:rFonts w:ascii="Times New Roman" w:hAnsi="Times New Roman" w:cs="Times New Roman"/>
          <w:sz w:val="28"/>
          <w:szCs w:val="28"/>
          <w:lang w:val="uk-UA"/>
        </w:rPr>
        <w:t xml:space="preserve"> P21 codon 31 polymorphism associated with cancer among white people: evidence from a meta-analysis involving 78 074 subjects</w:t>
      </w:r>
      <w:r w:rsidR="007271E7">
        <w:rPr>
          <w:rFonts w:ascii="Times New Roman" w:hAnsi="Times New Roman" w:cs="Times New Roman"/>
          <w:sz w:val="28"/>
          <w:szCs w:val="28"/>
        </w:rPr>
        <w:t xml:space="preserve"> / </w:t>
      </w:r>
      <w:r w:rsidR="007271E7" w:rsidRPr="00314A65">
        <w:rPr>
          <w:rFonts w:ascii="Times New Roman" w:hAnsi="Times New Roman" w:cs="Times New Roman"/>
          <w:sz w:val="28"/>
          <w:szCs w:val="28"/>
          <w:lang w:val="uk-UA"/>
        </w:rPr>
        <w:t>Fei Liu, Bo Li, Yonggang Wei</w:t>
      </w:r>
      <w:r w:rsidR="007271E7">
        <w:rPr>
          <w:rFonts w:ascii="Times New Roman" w:hAnsi="Times New Roman" w:cs="Times New Roman"/>
          <w:sz w:val="28"/>
          <w:szCs w:val="28"/>
        </w:rPr>
        <w:t xml:space="preserve"> et al.</w:t>
      </w:r>
      <w:r w:rsidRPr="00314A65">
        <w:rPr>
          <w:rFonts w:ascii="Times New Roman" w:hAnsi="Times New Roman" w:cs="Times New Roman"/>
          <w:sz w:val="28"/>
          <w:szCs w:val="28"/>
          <w:lang w:val="uk-UA"/>
        </w:rPr>
        <w:t xml:space="preserve"> // Mutagenesis. – 2011. </w:t>
      </w:r>
      <w:r w:rsidR="007271E7" w:rsidRPr="00314A65">
        <w:rPr>
          <w:rFonts w:ascii="Times New Roman" w:hAnsi="Times New Roman" w:cs="Times New Roman"/>
          <w:sz w:val="28"/>
          <w:szCs w:val="28"/>
          <w:lang w:val="uk-UA"/>
        </w:rPr>
        <w:t xml:space="preserve">– </w:t>
      </w:r>
      <w:r w:rsidR="007271E7">
        <w:rPr>
          <w:rFonts w:ascii="Times New Roman" w:hAnsi="Times New Roman" w:cs="Times New Roman"/>
          <w:sz w:val="28"/>
          <w:szCs w:val="28"/>
          <w:lang w:val="uk-UA"/>
        </w:rPr>
        <w:t>V</w:t>
      </w:r>
      <w:r w:rsidRPr="00314A65">
        <w:rPr>
          <w:rFonts w:ascii="Times New Roman" w:hAnsi="Times New Roman" w:cs="Times New Roman"/>
          <w:sz w:val="28"/>
          <w:szCs w:val="28"/>
          <w:lang w:val="uk-UA"/>
        </w:rPr>
        <w:t>ol. 26</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no. 4</w:t>
      </w:r>
      <w:r w:rsidR="007271E7">
        <w:rPr>
          <w:rFonts w:ascii="Times New Roman" w:hAnsi="Times New Roman" w:cs="Times New Roman"/>
          <w:sz w:val="28"/>
          <w:szCs w:val="28"/>
        </w:rPr>
        <w:t>. – P.</w:t>
      </w:r>
      <w:r w:rsidRPr="00314A65">
        <w:rPr>
          <w:rFonts w:ascii="Times New Roman" w:hAnsi="Times New Roman" w:cs="Times New Roman"/>
          <w:sz w:val="28"/>
          <w:szCs w:val="28"/>
          <w:lang w:val="uk-UA"/>
        </w:rPr>
        <w:t xml:space="preserve"> 513–521.</w:t>
      </w:r>
    </w:p>
    <w:p w14:paraId="2286A50B" w14:textId="4FD0EE33"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Siegel R</w:t>
      </w:r>
      <w:r w:rsidR="007271E7">
        <w:rPr>
          <w:rFonts w:ascii="Times New Roman" w:hAnsi="Times New Roman" w:cs="Times New Roman"/>
          <w:sz w:val="28"/>
          <w:szCs w:val="28"/>
        </w:rPr>
        <w:t>.</w:t>
      </w:r>
      <w:r w:rsidRPr="00314A65">
        <w:rPr>
          <w:rFonts w:ascii="Times New Roman" w:hAnsi="Times New Roman" w:cs="Times New Roman"/>
          <w:sz w:val="28"/>
          <w:szCs w:val="28"/>
          <w:lang w:val="uk-UA"/>
        </w:rPr>
        <w:t>L</w:t>
      </w:r>
      <w:r w:rsidR="007271E7">
        <w:rPr>
          <w:rFonts w:ascii="Times New Roman" w:hAnsi="Times New Roman" w:cs="Times New Roman"/>
          <w:sz w:val="28"/>
          <w:szCs w:val="28"/>
        </w:rPr>
        <w:t>.</w:t>
      </w:r>
      <w:r w:rsidR="007271E7">
        <w:rPr>
          <w:rFonts w:ascii="Times New Roman" w:hAnsi="Times New Roman" w:cs="Times New Roman"/>
          <w:sz w:val="28"/>
          <w:szCs w:val="28"/>
          <w:lang w:val="uk-UA"/>
        </w:rPr>
        <w:t xml:space="preserve"> Cancer statistics / </w:t>
      </w:r>
      <w:r w:rsidR="007271E7" w:rsidRPr="00314A65">
        <w:rPr>
          <w:rFonts w:ascii="Times New Roman" w:hAnsi="Times New Roman" w:cs="Times New Roman"/>
          <w:sz w:val="28"/>
          <w:szCs w:val="28"/>
          <w:lang w:val="uk-UA"/>
        </w:rPr>
        <w:t>R</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L</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Siegel, K</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D</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Miller, A</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Jemal </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Cancer J Clin.</w:t>
      </w:r>
      <w:r w:rsidR="007271E7">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 2017</w:t>
      </w:r>
      <w:r w:rsidR="007271E7">
        <w:rPr>
          <w:rFonts w:ascii="Times New Roman" w:hAnsi="Times New Roman" w:cs="Times New Roman"/>
          <w:sz w:val="28"/>
          <w:szCs w:val="28"/>
        </w:rPr>
        <w:t>. – Vol.</w:t>
      </w:r>
      <w:r w:rsidR="007271E7">
        <w:rPr>
          <w:rFonts w:ascii="Times New Roman" w:hAnsi="Times New Roman" w:cs="Times New Roman"/>
          <w:sz w:val="28"/>
          <w:szCs w:val="28"/>
          <w:lang w:val="uk-UA"/>
        </w:rPr>
        <w:t xml:space="preserve">67.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7–30.</w:t>
      </w:r>
    </w:p>
    <w:p w14:paraId="22765AF5" w14:textId="1BED65B2"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Mocellin S</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The multifaceted relationship between IL-10 and adaptive immunity: putting </w:t>
      </w:r>
      <w:r w:rsidR="007271E7">
        <w:rPr>
          <w:rFonts w:ascii="Times New Roman" w:hAnsi="Times New Roman" w:cs="Times New Roman"/>
          <w:sz w:val="28"/>
          <w:szCs w:val="28"/>
          <w:lang w:val="uk-UA"/>
        </w:rPr>
        <w:t xml:space="preserve">together the pieces of a puzzle / </w:t>
      </w:r>
      <w:r w:rsidR="007271E7" w:rsidRPr="00314A65">
        <w:rPr>
          <w:rFonts w:ascii="Times New Roman" w:hAnsi="Times New Roman" w:cs="Times New Roman"/>
          <w:sz w:val="28"/>
          <w:szCs w:val="28"/>
          <w:lang w:val="uk-UA"/>
        </w:rPr>
        <w:t>S</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Mocellin, </w:t>
      </w:r>
      <w:r w:rsidR="007271E7">
        <w:rPr>
          <w:rFonts w:ascii="Times New Roman" w:hAnsi="Times New Roman" w:cs="Times New Roman"/>
          <w:sz w:val="28"/>
          <w:szCs w:val="28"/>
        </w:rPr>
        <w:t xml:space="preserve">F. </w:t>
      </w:r>
      <w:r w:rsidR="007271E7">
        <w:rPr>
          <w:rFonts w:ascii="Times New Roman" w:hAnsi="Times New Roman" w:cs="Times New Roman"/>
          <w:sz w:val="28"/>
          <w:szCs w:val="28"/>
          <w:lang w:val="uk-UA"/>
        </w:rPr>
        <w:t>Marincola</w:t>
      </w:r>
      <w:r w:rsidR="007271E7" w:rsidRPr="00314A65">
        <w:rPr>
          <w:rFonts w:ascii="Times New Roman" w:hAnsi="Times New Roman" w:cs="Times New Roman"/>
          <w:sz w:val="28"/>
          <w:szCs w:val="28"/>
          <w:lang w:val="uk-UA"/>
        </w:rPr>
        <w:t xml:space="preserve">, </w:t>
      </w:r>
      <w:r w:rsidR="007271E7">
        <w:rPr>
          <w:rFonts w:ascii="Times New Roman" w:hAnsi="Times New Roman" w:cs="Times New Roman"/>
          <w:sz w:val="28"/>
          <w:szCs w:val="28"/>
        </w:rPr>
        <w:t xml:space="preserve">C.R. </w:t>
      </w:r>
      <w:r w:rsidR="007271E7">
        <w:rPr>
          <w:rFonts w:ascii="Times New Roman" w:hAnsi="Times New Roman" w:cs="Times New Roman"/>
          <w:sz w:val="28"/>
          <w:szCs w:val="28"/>
          <w:lang w:val="uk-UA"/>
        </w:rPr>
        <w:t>Rossi</w:t>
      </w:r>
      <w:r w:rsidR="007271E7">
        <w:rPr>
          <w:rFonts w:ascii="Times New Roman" w:hAnsi="Times New Roman" w:cs="Times New Roman"/>
          <w:sz w:val="28"/>
          <w:szCs w:val="28"/>
        </w:rPr>
        <w:t xml:space="preserve"> et al. //</w:t>
      </w:r>
      <w:r w:rsidRPr="00314A65">
        <w:rPr>
          <w:rFonts w:ascii="Times New Roman" w:hAnsi="Times New Roman" w:cs="Times New Roman"/>
          <w:sz w:val="28"/>
          <w:szCs w:val="28"/>
          <w:lang w:val="uk-UA"/>
        </w:rPr>
        <w:t xml:space="preserve"> Cytokine Growth Factor Rev. </w:t>
      </w:r>
      <w:r w:rsidR="007271E7">
        <w:rPr>
          <w:rFonts w:ascii="Times New Roman" w:hAnsi="Times New Roman" w:cs="Times New Roman"/>
          <w:sz w:val="28"/>
          <w:szCs w:val="28"/>
        </w:rPr>
        <w:t xml:space="preserve">– </w:t>
      </w:r>
      <w:r w:rsidRPr="00314A65">
        <w:rPr>
          <w:rFonts w:ascii="Times New Roman" w:hAnsi="Times New Roman" w:cs="Times New Roman"/>
          <w:sz w:val="28"/>
          <w:szCs w:val="28"/>
          <w:lang w:val="uk-UA"/>
        </w:rPr>
        <w:t>2004</w:t>
      </w:r>
      <w:r w:rsidR="007271E7">
        <w:rPr>
          <w:rFonts w:ascii="Times New Roman" w:hAnsi="Times New Roman" w:cs="Times New Roman"/>
          <w:sz w:val="28"/>
          <w:szCs w:val="28"/>
        </w:rPr>
        <w:t>. – Vol.</w:t>
      </w:r>
      <w:r w:rsidR="007271E7">
        <w:rPr>
          <w:rFonts w:ascii="Times New Roman" w:hAnsi="Times New Roman" w:cs="Times New Roman"/>
          <w:sz w:val="28"/>
          <w:szCs w:val="28"/>
          <w:lang w:val="uk-UA"/>
        </w:rPr>
        <w:t xml:space="preserve">15.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61–76.</w:t>
      </w:r>
    </w:p>
    <w:p w14:paraId="318C392E" w14:textId="515C00D4" w:rsidR="002767DC" w:rsidRDefault="007271E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Huang S.</w:t>
      </w:r>
      <w:r w:rsidR="002767DC" w:rsidRPr="00314A65">
        <w:rPr>
          <w:rFonts w:ascii="Times New Roman" w:hAnsi="Times New Roman" w:cs="Times New Roman"/>
          <w:sz w:val="28"/>
          <w:szCs w:val="28"/>
          <w:lang w:val="uk-UA"/>
        </w:rPr>
        <w:t xml:space="preserve"> Regulation of tumor growth and metastasis by interleu</w:t>
      </w:r>
      <w:r>
        <w:rPr>
          <w:rFonts w:ascii="Times New Roman" w:hAnsi="Times New Roman" w:cs="Times New Roman"/>
          <w:sz w:val="28"/>
          <w:szCs w:val="28"/>
          <w:lang w:val="uk-UA"/>
        </w:rPr>
        <w:t xml:space="preserve">kin-10: the melanoma experience / </w:t>
      </w:r>
      <w:r>
        <w:rPr>
          <w:rFonts w:ascii="Times New Roman" w:hAnsi="Times New Roman" w:cs="Times New Roman"/>
          <w:sz w:val="28"/>
          <w:szCs w:val="28"/>
        </w:rPr>
        <w:t xml:space="preserve">S. </w:t>
      </w:r>
      <w:r>
        <w:rPr>
          <w:rFonts w:ascii="Times New Roman" w:hAnsi="Times New Roman" w:cs="Times New Roman"/>
          <w:sz w:val="28"/>
          <w:szCs w:val="28"/>
          <w:lang w:val="uk-UA"/>
        </w:rPr>
        <w:t>Huang</w:t>
      </w:r>
      <w:r w:rsidRPr="00314A65">
        <w:rPr>
          <w:rFonts w:ascii="Times New Roman" w:hAnsi="Times New Roman" w:cs="Times New Roman"/>
          <w:sz w:val="28"/>
          <w:szCs w:val="28"/>
          <w:lang w:val="uk-UA"/>
        </w:rPr>
        <w:t>, S</w:t>
      </w:r>
      <w:r>
        <w:rPr>
          <w:rFonts w:ascii="Times New Roman" w:hAnsi="Times New Roman" w:cs="Times New Roman"/>
          <w:sz w:val="28"/>
          <w:szCs w:val="28"/>
        </w:rPr>
        <w:t>.</w:t>
      </w:r>
      <w:r w:rsidRPr="00314A65">
        <w:rPr>
          <w:rFonts w:ascii="Times New Roman" w:hAnsi="Times New Roman" w:cs="Times New Roman"/>
          <w:sz w:val="28"/>
          <w:szCs w:val="28"/>
          <w:lang w:val="uk-UA"/>
        </w:rPr>
        <w:t>E</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Ullrich, M</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Bar-Eli </w:t>
      </w:r>
      <w:r>
        <w:rPr>
          <w:rFonts w:ascii="Times New Roman" w:hAnsi="Times New Roman" w:cs="Times New Roman"/>
          <w:sz w:val="28"/>
          <w:szCs w:val="28"/>
        </w:rPr>
        <w:t>//</w:t>
      </w:r>
      <w:r w:rsidR="002767DC" w:rsidRPr="00314A65">
        <w:rPr>
          <w:rFonts w:ascii="Times New Roman" w:hAnsi="Times New Roman" w:cs="Times New Roman"/>
          <w:sz w:val="28"/>
          <w:szCs w:val="28"/>
          <w:lang w:val="uk-UA"/>
        </w:rPr>
        <w:t xml:space="preserve"> J Interferon Cytokine Res.</w:t>
      </w:r>
      <w:r>
        <w:rPr>
          <w:rFonts w:ascii="Times New Roman" w:hAnsi="Times New Roman" w:cs="Times New Roman"/>
          <w:sz w:val="28"/>
          <w:szCs w:val="28"/>
        </w:rPr>
        <w:t xml:space="preserve"> –</w:t>
      </w:r>
      <w:r w:rsidR="00A12FF7">
        <w:rPr>
          <w:rFonts w:ascii="Times New Roman" w:hAnsi="Times New Roman" w:cs="Times New Roman"/>
          <w:sz w:val="28"/>
          <w:szCs w:val="28"/>
          <w:lang w:val="uk-UA"/>
        </w:rPr>
        <w:t xml:space="preserve"> 2003</w:t>
      </w:r>
      <w:r>
        <w:rPr>
          <w:rFonts w:ascii="Times New Roman" w:hAnsi="Times New Roman" w:cs="Times New Roman"/>
          <w:sz w:val="28"/>
          <w:szCs w:val="28"/>
        </w:rPr>
        <w:t>. – Vol.</w:t>
      </w:r>
      <w:r>
        <w:rPr>
          <w:rFonts w:ascii="Times New Roman" w:hAnsi="Times New Roman" w:cs="Times New Roman"/>
          <w:sz w:val="28"/>
          <w:szCs w:val="28"/>
          <w:lang w:val="uk-UA"/>
        </w:rPr>
        <w:t xml:space="preserve">19.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697–703</w:t>
      </w:r>
      <w:r>
        <w:rPr>
          <w:rFonts w:ascii="Times New Roman" w:hAnsi="Times New Roman" w:cs="Times New Roman"/>
          <w:sz w:val="28"/>
          <w:szCs w:val="28"/>
        </w:rPr>
        <w:t>.</w:t>
      </w:r>
    </w:p>
    <w:p w14:paraId="6B7A5AD2" w14:textId="77777777" w:rsidR="002767DC" w:rsidRPr="004E0734"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974C00">
        <w:rPr>
          <w:rFonts w:ascii="Times New Roman" w:hAnsi="Times New Roman" w:cs="Times New Roman"/>
          <w:sz w:val="28"/>
          <w:szCs w:val="28"/>
          <w:lang w:val="uk-UA"/>
        </w:rPr>
        <w:t>Кривенко Л. С. Досвід генотипування дітей мешканців Харківської області з проявами гінгівіту на тлі атопічних захворювань за snp rs1801270 / Л. С. Кривенко // Клінічна та експериментальна патологія. – 2017. – №2 (60), ч.2. – С. 33-36.</w:t>
      </w:r>
    </w:p>
    <w:p w14:paraId="4FFB2492" w14:textId="062698C7" w:rsidR="002767DC" w:rsidRDefault="007271E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Kingo K</w:t>
      </w:r>
      <w:r w:rsidR="002767DC" w:rsidRPr="00314A65">
        <w:rPr>
          <w:rFonts w:ascii="Times New Roman" w:hAnsi="Times New Roman" w:cs="Times New Roman"/>
          <w:sz w:val="28"/>
          <w:szCs w:val="28"/>
          <w:lang w:val="uk-UA"/>
        </w:rPr>
        <w:t>. Influence of genetic polymorphisms on interleukin-10 mRNA expressi</w:t>
      </w:r>
      <w:r>
        <w:rPr>
          <w:rFonts w:ascii="Times New Roman" w:hAnsi="Times New Roman" w:cs="Times New Roman"/>
          <w:sz w:val="28"/>
          <w:szCs w:val="28"/>
          <w:lang w:val="uk-UA"/>
        </w:rPr>
        <w:t>on and psoriasis susceptibility / K</w:t>
      </w:r>
      <w:r>
        <w:rPr>
          <w:rFonts w:ascii="Times New Roman" w:hAnsi="Times New Roman" w:cs="Times New Roman"/>
          <w:sz w:val="28"/>
          <w:szCs w:val="28"/>
        </w:rPr>
        <w:t xml:space="preserve">. </w:t>
      </w:r>
      <w:r>
        <w:rPr>
          <w:rFonts w:ascii="Times New Roman" w:hAnsi="Times New Roman" w:cs="Times New Roman"/>
          <w:sz w:val="28"/>
          <w:szCs w:val="28"/>
          <w:lang w:val="uk-UA"/>
        </w:rPr>
        <w:t>Kingo, R</w:t>
      </w:r>
      <w:r>
        <w:rPr>
          <w:rFonts w:ascii="Times New Roman" w:hAnsi="Times New Roman" w:cs="Times New Roman"/>
          <w:sz w:val="28"/>
          <w:szCs w:val="28"/>
        </w:rPr>
        <w:t xml:space="preserve">. </w:t>
      </w:r>
      <w:r>
        <w:rPr>
          <w:rFonts w:ascii="Times New Roman" w:hAnsi="Times New Roman" w:cs="Times New Roman"/>
          <w:sz w:val="28"/>
          <w:szCs w:val="28"/>
          <w:lang w:val="uk-UA"/>
        </w:rPr>
        <w:t>Ratsep, S</w:t>
      </w:r>
      <w:r>
        <w:rPr>
          <w:rFonts w:ascii="Times New Roman" w:hAnsi="Times New Roman" w:cs="Times New Roman"/>
          <w:sz w:val="28"/>
          <w:szCs w:val="28"/>
        </w:rPr>
        <w:t xml:space="preserve">. </w:t>
      </w:r>
      <w:r>
        <w:rPr>
          <w:rFonts w:ascii="Times New Roman" w:hAnsi="Times New Roman" w:cs="Times New Roman"/>
          <w:sz w:val="28"/>
          <w:szCs w:val="28"/>
          <w:lang w:val="uk-UA"/>
        </w:rPr>
        <w:t>Koks //</w:t>
      </w:r>
      <w:r w:rsidR="002767DC" w:rsidRPr="00314A65">
        <w:rPr>
          <w:rFonts w:ascii="Times New Roman" w:hAnsi="Times New Roman" w:cs="Times New Roman"/>
          <w:sz w:val="28"/>
          <w:szCs w:val="28"/>
          <w:lang w:val="uk-UA"/>
        </w:rPr>
        <w:t xml:space="preserve"> J Dermatol Sci. </w:t>
      </w:r>
      <w:r>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2005</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37.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111–113.</w:t>
      </w:r>
    </w:p>
    <w:p w14:paraId="70B6DFA9" w14:textId="1E6B0554"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Li Y</w:t>
      </w:r>
      <w:r w:rsidR="007271E7">
        <w:rPr>
          <w:rFonts w:ascii="Times New Roman" w:hAnsi="Times New Roman" w:cs="Times New Roman"/>
          <w:sz w:val="28"/>
          <w:szCs w:val="28"/>
        </w:rPr>
        <w:t>.</w:t>
      </w:r>
      <w:r w:rsidRPr="00314A65">
        <w:rPr>
          <w:rFonts w:ascii="Times New Roman" w:hAnsi="Times New Roman" w:cs="Times New Roman"/>
          <w:sz w:val="28"/>
          <w:szCs w:val="28"/>
          <w:lang w:val="uk-UA"/>
        </w:rPr>
        <w:t>F</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Functional polymorphisms in the IL-10 gene with susceptibility to esophageal, n</w:t>
      </w:r>
      <w:r w:rsidR="007271E7">
        <w:rPr>
          <w:rFonts w:ascii="Times New Roman" w:hAnsi="Times New Roman" w:cs="Times New Roman"/>
          <w:sz w:val="28"/>
          <w:szCs w:val="28"/>
          <w:lang w:val="uk-UA"/>
        </w:rPr>
        <w:t xml:space="preserve">asopharyngeal, and oral cancers / </w:t>
      </w:r>
      <w:r w:rsidR="007271E7" w:rsidRPr="00314A65">
        <w:rPr>
          <w:rFonts w:ascii="Times New Roman" w:hAnsi="Times New Roman" w:cs="Times New Roman"/>
          <w:sz w:val="28"/>
          <w:szCs w:val="28"/>
          <w:lang w:val="uk-UA"/>
        </w:rPr>
        <w:t>Y</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F</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Li, P</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Z</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Yang, H</w:t>
      </w:r>
      <w:r w:rsidR="007271E7">
        <w:rPr>
          <w:rFonts w:ascii="Times New Roman" w:hAnsi="Times New Roman" w:cs="Times New Roman"/>
          <w:sz w:val="28"/>
          <w:szCs w:val="28"/>
        </w:rPr>
        <w:t>.</w:t>
      </w:r>
      <w:r w:rsidR="007271E7" w:rsidRPr="00314A65">
        <w:rPr>
          <w:rFonts w:ascii="Times New Roman" w:hAnsi="Times New Roman" w:cs="Times New Roman"/>
          <w:sz w:val="28"/>
          <w:szCs w:val="28"/>
          <w:lang w:val="uk-UA"/>
        </w:rPr>
        <w:t>F</w:t>
      </w:r>
      <w:r w:rsidR="007271E7">
        <w:rPr>
          <w:rFonts w:ascii="Times New Roman" w:hAnsi="Times New Roman" w:cs="Times New Roman"/>
          <w:sz w:val="28"/>
          <w:szCs w:val="28"/>
        </w:rPr>
        <w:t xml:space="preserve">. </w:t>
      </w:r>
      <w:r w:rsidR="007271E7" w:rsidRPr="00314A65">
        <w:rPr>
          <w:rFonts w:ascii="Times New Roman" w:hAnsi="Times New Roman" w:cs="Times New Roman"/>
          <w:sz w:val="28"/>
          <w:szCs w:val="28"/>
          <w:lang w:val="uk-UA"/>
        </w:rPr>
        <w:t xml:space="preserve">Li </w:t>
      </w:r>
      <w:r w:rsidR="007271E7">
        <w:rPr>
          <w:rFonts w:ascii="Times New Roman" w:hAnsi="Times New Roman" w:cs="Times New Roman"/>
          <w:sz w:val="28"/>
          <w:szCs w:val="28"/>
        </w:rPr>
        <w:t>//</w:t>
      </w:r>
      <w:r w:rsidRPr="00314A65">
        <w:rPr>
          <w:rFonts w:ascii="Times New Roman" w:hAnsi="Times New Roman" w:cs="Times New Roman"/>
          <w:sz w:val="28"/>
          <w:szCs w:val="28"/>
          <w:lang w:val="uk-UA"/>
        </w:rPr>
        <w:t xml:space="preserve"> Cancer Biomark.</w:t>
      </w:r>
      <w:r w:rsidR="007271E7">
        <w:rPr>
          <w:rFonts w:ascii="Times New Roman" w:hAnsi="Times New Roman" w:cs="Times New Roman"/>
          <w:sz w:val="28"/>
          <w:szCs w:val="28"/>
        </w:rPr>
        <w:t xml:space="preserve"> –</w:t>
      </w:r>
      <w:r w:rsidR="007271E7">
        <w:rPr>
          <w:rFonts w:ascii="Times New Roman" w:hAnsi="Times New Roman" w:cs="Times New Roman"/>
          <w:sz w:val="28"/>
          <w:szCs w:val="28"/>
          <w:lang w:val="uk-UA"/>
        </w:rPr>
        <w:t xml:space="preserve"> 2016.</w:t>
      </w:r>
      <w:r w:rsidR="007271E7">
        <w:rPr>
          <w:rFonts w:ascii="Times New Roman" w:hAnsi="Times New Roman" w:cs="Times New Roman"/>
          <w:sz w:val="28"/>
          <w:szCs w:val="28"/>
        </w:rPr>
        <w:t xml:space="preserve"> – Vol. </w:t>
      </w:r>
      <w:r w:rsidR="007271E7">
        <w:rPr>
          <w:rFonts w:ascii="Times New Roman" w:hAnsi="Times New Roman" w:cs="Times New Roman"/>
          <w:sz w:val="28"/>
          <w:szCs w:val="28"/>
          <w:lang w:val="uk-UA"/>
        </w:rPr>
        <w:t xml:space="preserve">16. </w:t>
      </w:r>
      <w:r w:rsidR="007271E7">
        <w:rPr>
          <w:rFonts w:ascii="Times New Roman" w:hAnsi="Times New Roman" w:cs="Times New Roman"/>
          <w:sz w:val="28"/>
          <w:szCs w:val="28"/>
        </w:rPr>
        <w:t xml:space="preserve">– P. </w:t>
      </w:r>
      <w:r w:rsidRPr="00314A65">
        <w:rPr>
          <w:rFonts w:ascii="Times New Roman" w:hAnsi="Times New Roman" w:cs="Times New Roman"/>
          <w:sz w:val="28"/>
          <w:szCs w:val="28"/>
          <w:lang w:val="uk-UA"/>
        </w:rPr>
        <w:t>641–651.</w:t>
      </w:r>
    </w:p>
    <w:p w14:paraId="32AF4271" w14:textId="697FED4B"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Paulsson L. A Systematic Review of the Consequences of Premature Birth on Palatal Morphology, Dental Occlusion, Tooth-Crown Dimensions, and Tooth Maturity and Eruption / L. Paulsson; L. Bondemark; B. Soderfeldt. // Angle</w:t>
      </w:r>
      <w:r w:rsidR="00A12FF7">
        <w:rPr>
          <w:rFonts w:ascii="Times New Roman" w:hAnsi="Times New Roman" w:cs="Times New Roman"/>
          <w:sz w:val="28"/>
          <w:szCs w:val="28"/>
          <w:lang w:val="uk-UA"/>
        </w:rPr>
        <w:t xml:space="preserve"> Orthod. – 2004. – Vol.74. – P. </w:t>
      </w:r>
      <w:r w:rsidRPr="00314A65">
        <w:rPr>
          <w:rFonts w:ascii="Times New Roman" w:hAnsi="Times New Roman" w:cs="Times New Roman"/>
          <w:sz w:val="28"/>
          <w:szCs w:val="28"/>
          <w:lang w:val="uk-UA"/>
        </w:rPr>
        <w:t>269–279.</w:t>
      </w:r>
    </w:p>
    <w:p w14:paraId="0894C032" w14:textId="77777777"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Hohoff A. Palatal development of preterm and low birthweight infants compared to term infants – What do we know? Part 1: The palate of the term newborn / A. Hohoff, H. Rabe, U. Ehmer et al. // Head &amp; Face Medicine. – 2005. – Vol.1 (8). – P.1-11</w:t>
      </w:r>
    </w:p>
    <w:p w14:paraId="4D9DFB28" w14:textId="77777777"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Goldenberg R. L. Epidemiology and causes of preterm birth / R. L. Goldenberg, J. F. Culhane, J. D. Iams [et al.] // The Lancet. – 2008. – Vol. 371. – P. 75-84.</w:t>
      </w:r>
    </w:p>
    <w:p w14:paraId="40B901D3" w14:textId="252819AD"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Seow W. K.  Effects of preterm birth on oral growth and development / W. K. Seow / Australian Dental Journ</w:t>
      </w:r>
      <w:r w:rsidR="00A12FF7">
        <w:rPr>
          <w:rFonts w:ascii="Times New Roman" w:hAnsi="Times New Roman" w:cs="Times New Roman"/>
          <w:sz w:val="28"/>
          <w:szCs w:val="28"/>
          <w:lang w:val="uk-UA"/>
        </w:rPr>
        <w:t>al. – 2001</w:t>
      </w:r>
      <w:r w:rsidRPr="00314A65">
        <w:rPr>
          <w:rFonts w:ascii="Times New Roman" w:hAnsi="Times New Roman" w:cs="Times New Roman"/>
          <w:sz w:val="28"/>
          <w:szCs w:val="28"/>
          <w:lang w:val="uk-UA"/>
        </w:rPr>
        <w:t>. – Vol.42 (2). – P. 85-91</w:t>
      </w:r>
    </w:p>
    <w:p w14:paraId="1487E2C2" w14:textId="357132CA" w:rsidR="002767DC" w:rsidRPr="00A12FF7" w:rsidRDefault="00A12FF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12FF7">
        <w:rPr>
          <w:rFonts w:ascii="Times New Roman" w:hAnsi="Times New Roman" w:cs="Times New Roman"/>
          <w:sz w:val="28"/>
          <w:szCs w:val="28"/>
        </w:rPr>
        <w:t>Nelson S.</w:t>
      </w:r>
      <w:r w:rsidR="002767DC" w:rsidRPr="00A12FF7">
        <w:rPr>
          <w:rFonts w:ascii="Times New Roman" w:hAnsi="Times New Roman" w:cs="Times New Roman"/>
          <w:sz w:val="28"/>
          <w:szCs w:val="28"/>
          <w:lang w:val="uk-UA"/>
        </w:rPr>
        <w:t xml:space="preserve"> </w:t>
      </w:r>
      <w:r w:rsidRPr="00A12FF7">
        <w:rPr>
          <w:rFonts w:ascii="Times New Roman" w:hAnsi="Times New Roman" w:cs="Times New Roman"/>
          <w:bCs/>
          <w:sz w:val="28"/>
          <w:szCs w:val="28"/>
        </w:rPr>
        <w:t>Increased Enamel Hypoplasia and Very Low Birthweight Infants</w:t>
      </w:r>
      <w:r w:rsidRPr="00A12FF7">
        <w:rPr>
          <w:rFonts w:ascii="Times New Roman" w:hAnsi="Times New Roman" w:cs="Times New Roman"/>
          <w:sz w:val="28"/>
          <w:szCs w:val="28"/>
          <w:lang w:val="uk-UA"/>
        </w:rPr>
        <w:t xml:space="preserve"> </w:t>
      </w:r>
      <w:r w:rsidR="002767DC" w:rsidRPr="00A12FF7">
        <w:rPr>
          <w:rFonts w:ascii="Times New Roman" w:hAnsi="Times New Roman" w:cs="Times New Roman"/>
          <w:sz w:val="28"/>
          <w:szCs w:val="28"/>
          <w:lang w:val="uk-UA"/>
        </w:rPr>
        <w:t xml:space="preserve">/ </w:t>
      </w:r>
      <w:hyperlink r:id="rId59" w:history="1">
        <w:r w:rsidRPr="00A12FF7">
          <w:rPr>
            <w:rStyle w:val="Hyperlink"/>
            <w:rFonts w:ascii="Times New Roman" w:hAnsi="Times New Roman" w:cs="Times New Roman"/>
            <w:color w:val="auto"/>
            <w:sz w:val="28"/>
            <w:szCs w:val="28"/>
            <w:u w:val="none"/>
          </w:rPr>
          <w:t>S. Nelson</w:t>
        </w:r>
      </w:hyperlink>
      <w:r w:rsidRPr="00A12FF7">
        <w:rPr>
          <w:rFonts w:ascii="Times New Roman" w:hAnsi="Times New Roman" w:cs="Times New Roman"/>
          <w:sz w:val="28"/>
          <w:szCs w:val="28"/>
        </w:rPr>
        <w:t xml:space="preserve">, </w:t>
      </w:r>
      <w:hyperlink r:id="rId60" w:history="1">
        <w:r w:rsidRPr="00A12FF7">
          <w:rPr>
            <w:rStyle w:val="Hyperlink"/>
            <w:rFonts w:ascii="Times New Roman" w:hAnsi="Times New Roman" w:cs="Times New Roman"/>
            <w:color w:val="auto"/>
            <w:sz w:val="28"/>
            <w:szCs w:val="28"/>
            <w:u w:val="none"/>
          </w:rPr>
          <w:t>J.M. Albert</w:t>
        </w:r>
      </w:hyperlink>
      <w:r w:rsidRPr="00A12FF7">
        <w:rPr>
          <w:rFonts w:ascii="Times New Roman" w:hAnsi="Times New Roman" w:cs="Times New Roman"/>
          <w:sz w:val="28"/>
          <w:szCs w:val="28"/>
        </w:rPr>
        <w:t xml:space="preserve">, </w:t>
      </w:r>
      <w:hyperlink r:id="rId61" w:history="1">
        <w:r w:rsidRPr="00A12FF7">
          <w:rPr>
            <w:rStyle w:val="Hyperlink"/>
            <w:rFonts w:ascii="Times New Roman" w:hAnsi="Times New Roman" w:cs="Times New Roman"/>
            <w:color w:val="auto"/>
            <w:sz w:val="28"/>
            <w:szCs w:val="28"/>
            <w:u w:val="none"/>
          </w:rPr>
          <w:t>C. Geng</w:t>
        </w:r>
      </w:hyperlink>
      <w:r w:rsidRPr="00A12FF7">
        <w:rPr>
          <w:rFonts w:ascii="Times New Roman" w:hAnsi="Times New Roman" w:cs="Times New Roman"/>
          <w:sz w:val="28"/>
          <w:szCs w:val="28"/>
          <w:lang w:val="uk-UA"/>
        </w:rPr>
        <w:t xml:space="preserve"> </w:t>
      </w:r>
      <w:r w:rsidR="002767DC" w:rsidRPr="00A12FF7">
        <w:rPr>
          <w:rFonts w:ascii="Times New Roman" w:hAnsi="Times New Roman" w:cs="Times New Roman"/>
          <w:sz w:val="28"/>
          <w:szCs w:val="28"/>
          <w:lang w:val="uk-UA"/>
        </w:rPr>
        <w:t xml:space="preserve">[et al.] // </w:t>
      </w:r>
      <w:hyperlink r:id="rId62" w:history="1">
        <w:r w:rsidRPr="00A12FF7">
          <w:rPr>
            <w:rStyle w:val="Hyperlink"/>
            <w:rFonts w:ascii="Times New Roman" w:hAnsi="Times New Roman" w:cs="Times New Roman"/>
            <w:color w:val="auto"/>
            <w:sz w:val="28"/>
            <w:szCs w:val="28"/>
            <w:u w:val="none"/>
          </w:rPr>
          <w:t>J Dent Res</w:t>
        </w:r>
      </w:hyperlink>
      <w:r>
        <w:rPr>
          <w:rFonts w:ascii="Times New Roman" w:hAnsi="Times New Roman" w:cs="Times New Roman"/>
          <w:sz w:val="28"/>
          <w:szCs w:val="28"/>
        </w:rPr>
        <w:t>. 2013. –</w:t>
      </w:r>
      <w:r w:rsidRPr="00A12FF7">
        <w:rPr>
          <w:rFonts w:ascii="Times New Roman" w:hAnsi="Times New Roman" w:cs="Times New Roman"/>
          <w:sz w:val="28"/>
          <w:szCs w:val="28"/>
        </w:rPr>
        <w:t xml:space="preserve"> </w:t>
      </w:r>
      <w:r>
        <w:rPr>
          <w:rFonts w:ascii="Times New Roman" w:hAnsi="Times New Roman" w:cs="Times New Roman"/>
          <w:sz w:val="28"/>
          <w:szCs w:val="28"/>
        </w:rPr>
        <w:t xml:space="preserve">Vol. </w:t>
      </w:r>
      <w:r w:rsidRPr="00A12FF7">
        <w:rPr>
          <w:rFonts w:ascii="Times New Roman" w:hAnsi="Times New Roman" w:cs="Times New Roman"/>
          <w:sz w:val="28"/>
          <w:szCs w:val="28"/>
        </w:rPr>
        <w:t>9</w:t>
      </w:r>
      <w:r>
        <w:rPr>
          <w:rFonts w:ascii="Times New Roman" w:hAnsi="Times New Roman" w:cs="Times New Roman"/>
          <w:sz w:val="28"/>
          <w:szCs w:val="28"/>
        </w:rPr>
        <w:t xml:space="preserve">2(9). – P. </w:t>
      </w:r>
      <w:r w:rsidRPr="00A12FF7">
        <w:rPr>
          <w:rFonts w:ascii="Times New Roman" w:hAnsi="Times New Roman" w:cs="Times New Roman"/>
          <w:sz w:val="28"/>
          <w:szCs w:val="28"/>
        </w:rPr>
        <w:t>788–794.</w:t>
      </w:r>
    </w:p>
    <w:p w14:paraId="3C12DD8E" w14:textId="7B3A9B81"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Harila</w:t>
      </w:r>
      <w:r w:rsidRPr="00314A65">
        <w:rPr>
          <w:rFonts w:ascii="Times New Roman" w:hAnsi="Times New Roman" w:cs="Times New Roman"/>
          <w:sz w:val="28"/>
          <w:szCs w:val="28"/>
          <w:lang w:val="uk-UA"/>
        </w:rPr>
        <w:t xml:space="preserve"> V. Open Bite in Prematurely Born Children / V. Harila, T. Heikkinen, M. Grön // Journal of Dentistry for Children. – Vol. 74. – 2007. – P. 165-170</w:t>
      </w:r>
    </w:p>
    <w:p w14:paraId="3ACA6974" w14:textId="26A54705"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Kopra D. E. Prevalence of oral defects among neonatally intubated 3- to 5-and 7- to 10-year-old children / D. E. Kopra, E. L. Davis // Pediatric Dentist. –</w:t>
      </w:r>
      <w:r w:rsidR="007F754F">
        <w:rPr>
          <w:rFonts w:ascii="Times New Roman" w:hAnsi="Times New Roman" w:cs="Times New Roman"/>
          <w:sz w:val="28"/>
          <w:szCs w:val="28"/>
          <w:lang w:val="uk-UA"/>
        </w:rPr>
        <w:t xml:space="preserve"> 2001. –</w:t>
      </w:r>
      <w:r w:rsidRPr="00314A65">
        <w:rPr>
          <w:rFonts w:ascii="Times New Roman" w:hAnsi="Times New Roman" w:cs="Times New Roman"/>
          <w:sz w:val="28"/>
          <w:szCs w:val="28"/>
          <w:lang w:val="uk-UA"/>
        </w:rPr>
        <w:t xml:space="preserve"> Vol. 13. – P. 349-355.</w:t>
      </w:r>
    </w:p>
    <w:p w14:paraId="023C4AF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7F754F">
        <w:rPr>
          <w:rFonts w:ascii="Times New Roman" w:hAnsi="Times New Roman"/>
          <w:sz w:val="28"/>
          <w:szCs w:val="28"/>
          <w:lang w:val="uk-UA"/>
        </w:rPr>
        <w:t xml:space="preserve">Кривенко Л. С. Закономірності розвитку та формування зубощелепної системи дітей, народжених передчасно / І. Ю. Кондратова, Р. </w:t>
      </w:r>
      <w:r w:rsidRPr="009860FF">
        <w:rPr>
          <w:rFonts w:ascii="Times New Roman" w:hAnsi="Times New Roman"/>
          <w:sz w:val="28"/>
          <w:szCs w:val="28"/>
          <w:lang w:val="ru-RU"/>
        </w:rPr>
        <w:t>С. Назарян, А. О. Хоценко, Л. С. Кривенко // Медицина сегодня и завтра. – 2015. – № 4 (69). – С. 125-127.</w:t>
      </w:r>
    </w:p>
    <w:p w14:paraId="5E1434E0" w14:textId="77777777" w:rsidR="002767DC" w:rsidRPr="004E0734"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4E0734">
        <w:rPr>
          <w:rFonts w:ascii="Times New Roman" w:hAnsi="Times New Roman"/>
          <w:sz w:val="28"/>
          <w:szCs w:val="28"/>
          <w:lang w:val="ru-RU"/>
        </w:rPr>
        <w:t>Кривенко Л. С. Выявление факторов риска развития стоматологических заболеваний среди школьников г. Харькова / Л. С. Кривенко // Медицина сегодня и завтра. – 2016. – №4 (73).– С.92-95.</w:t>
      </w:r>
    </w:p>
    <w:p w14:paraId="483D6518" w14:textId="16E32D1B"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Sluimer</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I. </w:t>
      </w:r>
      <w:r>
        <w:rPr>
          <w:rFonts w:ascii="Times New Roman" w:hAnsi="Times New Roman" w:cs="Times New Roman"/>
          <w:sz w:val="28"/>
          <w:szCs w:val="28"/>
          <w:lang w:val="uk-UA"/>
        </w:rPr>
        <w:t>C.</w:t>
      </w:r>
      <w:r w:rsidR="00A12FF7">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Computer analysis of computed tomograp</w:t>
      </w:r>
      <w:r w:rsidR="00A12FF7">
        <w:rPr>
          <w:rFonts w:ascii="Times New Roman" w:hAnsi="Times New Roman" w:cs="Times New Roman"/>
          <w:sz w:val="28"/>
          <w:szCs w:val="28"/>
          <w:lang w:val="uk-UA"/>
        </w:rPr>
        <w:t>hy scans of the lung: a survey</w:t>
      </w:r>
      <w:r w:rsidR="002767DC" w:rsidRPr="00314A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14A65">
        <w:rPr>
          <w:rFonts w:ascii="Times New Roman" w:hAnsi="Times New Roman" w:cs="Times New Roman"/>
          <w:sz w:val="28"/>
          <w:szCs w:val="28"/>
          <w:lang w:val="uk-UA"/>
        </w:rPr>
        <w:t xml:space="preserve">I. C. Sluimer, A. M. R. Schilham, M. Prokop </w:t>
      </w:r>
      <w:r w:rsidR="00A12F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12FF7" w:rsidRPr="00314A65">
        <w:rPr>
          <w:rFonts w:ascii="Times New Roman" w:hAnsi="Times New Roman" w:cs="Times New Roman"/>
          <w:sz w:val="28"/>
          <w:szCs w:val="28"/>
          <w:lang w:val="uk-UA"/>
        </w:rPr>
        <w:t>IEEE T</w:t>
      </w:r>
      <w:r w:rsidR="00A12FF7">
        <w:rPr>
          <w:rFonts w:ascii="Times New Roman" w:hAnsi="Times New Roman" w:cs="Times New Roman"/>
          <w:sz w:val="28"/>
          <w:szCs w:val="28"/>
          <w:lang w:val="uk-UA"/>
        </w:rPr>
        <w:t>ransactions on Medical Imaging</w:t>
      </w:r>
      <w:r w:rsidR="00A12FF7">
        <w:rPr>
          <w:rFonts w:ascii="Times New Roman" w:hAnsi="Times New Roman" w:cs="Times New Roman"/>
          <w:sz w:val="28"/>
          <w:szCs w:val="28"/>
        </w:rPr>
        <w:t>. –</w:t>
      </w:r>
      <w:r w:rsidR="00A12FF7">
        <w:rPr>
          <w:rFonts w:ascii="Times New Roman" w:hAnsi="Times New Roman" w:cs="Times New Roman"/>
          <w:sz w:val="28"/>
          <w:szCs w:val="28"/>
          <w:lang w:val="uk-UA"/>
        </w:rPr>
        <w:t xml:space="preserve"> </w:t>
      </w:r>
      <w:r>
        <w:rPr>
          <w:rFonts w:ascii="Times New Roman" w:hAnsi="Times New Roman" w:cs="Times New Roman"/>
          <w:sz w:val="28"/>
          <w:szCs w:val="28"/>
          <w:lang w:val="uk-UA"/>
        </w:rPr>
        <w:t>2006</w:t>
      </w:r>
      <w:r>
        <w:rPr>
          <w:rFonts w:ascii="Times New Roman" w:hAnsi="Times New Roman" w:cs="Times New Roman"/>
          <w:sz w:val="28"/>
          <w:szCs w:val="28"/>
        </w:rPr>
        <w:t>. – Vol.</w:t>
      </w:r>
      <w:r w:rsidR="002767DC">
        <w:rPr>
          <w:rFonts w:ascii="Times New Roman" w:hAnsi="Times New Roman" w:cs="Times New Roman"/>
          <w:sz w:val="28"/>
          <w:szCs w:val="28"/>
          <w:lang w:val="uk-UA"/>
        </w:rPr>
        <w:t xml:space="preserve"> 25, </w:t>
      </w:r>
      <w:r>
        <w:rPr>
          <w:rFonts w:ascii="Times New Roman" w:hAnsi="Times New Roman" w:cs="Times New Roman"/>
          <w:sz w:val="28"/>
          <w:szCs w:val="28"/>
          <w:lang w:val="uk-UA"/>
        </w:rPr>
        <w:t xml:space="preserve">no. 4. </w:t>
      </w:r>
      <w:r>
        <w:rPr>
          <w:rFonts w:ascii="Times New Roman" w:hAnsi="Times New Roman" w:cs="Times New Roman"/>
          <w:sz w:val="28"/>
          <w:szCs w:val="28"/>
        </w:rPr>
        <w:t>– P.</w:t>
      </w:r>
      <w:r>
        <w:rPr>
          <w:rFonts w:ascii="Times New Roman" w:hAnsi="Times New Roman" w:cs="Times New Roman"/>
          <w:sz w:val="28"/>
          <w:szCs w:val="28"/>
          <w:lang w:val="uk-UA"/>
        </w:rPr>
        <w:t xml:space="preserve"> 385–405.</w:t>
      </w:r>
    </w:p>
    <w:p w14:paraId="765C33E4" w14:textId="24CBFF4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Murphy</w:t>
      </w:r>
      <w:r w:rsidR="00C82DEF">
        <w:rPr>
          <w:rFonts w:ascii="Times New Roman" w:hAnsi="Times New Roman" w:cs="Times New Roman"/>
          <w:sz w:val="28"/>
          <w:szCs w:val="28"/>
        </w:rPr>
        <w:t xml:space="preserve"> </w:t>
      </w:r>
      <w:r w:rsidR="00C82DEF" w:rsidRPr="00314A65">
        <w:rPr>
          <w:rFonts w:ascii="Times New Roman" w:hAnsi="Times New Roman" w:cs="Times New Roman"/>
          <w:sz w:val="28"/>
          <w:szCs w:val="28"/>
          <w:lang w:val="uk-UA"/>
        </w:rPr>
        <w:t>K.</w:t>
      </w:r>
      <w:r w:rsidRPr="00314A65">
        <w:rPr>
          <w:rFonts w:ascii="Times New Roman" w:hAnsi="Times New Roman" w:cs="Times New Roman"/>
          <w:sz w:val="28"/>
          <w:szCs w:val="28"/>
          <w:lang w:val="uk-UA"/>
        </w:rPr>
        <w:t xml:space="preserve"> Development and Evaluation of Automated Image Ana</w:t>
      </w:r>
      <w:r w:rsidR="00C82DEF">
        <w:rPr>
          <w:rFonts w:ascii="Times New Roman" w:hAnsi="Times New Roman" w:cs="Times New Roman"/>
          <w:sz w:val="28"/>
          <w:szCs w:val="28"/>
          <w:lang w:val="uk-UA"/>
        </w:rPr>
        <w:t xml:space="preserve">lysis Techniques in Thoracic CT / </w:t>
      </w:r>
      <w:r w:rsidR="00C82DEF" w:rsidRPr="00314A65">
        <w:rPr>
          <w:rFonts w:ascii="Times New Roman" w:hAnsi="Times New Roman" w:cs="Times New Roman"/>
          <w:sz w:val="28"/>
          <w:szCs w:val="28"/>
          <w:lang w:val="uk-UA"/>
        </w:rPr>
        <w:t>K. Murphy</w:t>
      </w:r>
      <w:r w:rsidR="00C82DEF">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 PhD Thesis, Utrecht University, The Netherlands, 201</w:t>
      </w:r>
      <w:r>
        <w:rPr>
          <w:rFonts w:ascii="Times New Roman" w:hAnsi="Times New Roman" w:cs="Times New Roman"/>
          <w:sz w:val="28"/>
          <w:szCs w:val="28"/>
          <w:lang w:val="uk-UA"/>
        </w:rPr>
        <w:t>1</w:t>
      </w:r>
      <w:r w:rsidR="00C82DEF">
        <w:rPr>
          <w:rFonts w:ascii="Times New Roman" w:hAnsi="Times New Roman" w:cs="Times New Roman"/>
          <w:sz w:val="28"/>
          <w:szCs w:val="28"/>
        </w:rPr>
        <w:t>. – 118 p.</w:t>
      </w:r>
    </w:p>
    <w:p w14:paraId="4A3F9A6D" w14:textId="77777777" w:rsidR="002767DC" w:rsidRPr="004E0734"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E0734">
        <w:rPr>
          <w:rFonts w:ascii="Times New Roman" w:hAnsi="Times New Roman" w:cs="Times New Roman"/>
          <w:sz w:val="28"/>
          <w:szCs w:val="28"/>
          <w:lang w:val="uk-UA"/>
        </w:rPr>
        <w:t>Kryvenko L. S. Functional diagnostic using Electrical Impedance Tomography Reconstruction and the Internet of Things / L. S. Kryvenko, A. A. Pulavskyi, S. S. Krivenko // 2017 6th Mediterranean Conference on Embedded Computing (MECO): proceedings, research monograph. – 2017. – Р.379-382</w:t>
      </w:r>
    </w:p>
    <w:p w14:paraId="05143752" w14:textId="0D76288A" w:rsidR="002767DC" w:rsidRPr="00314A65" w:rsidRDefault="004E3E8D" w:rsidP="004E3E8D">
      <w:pPr>
        <w:pStyle w:val="ListParagraph"/>
        <w:numPr>
          <w:ilvl w:val="0"/>
          <w:numId w:val="9"/>
        </w:numPr>
        <w:tabs>
          <w:tab w:val="left" w:pos="0"/>
        </w:tabs>
        <w:spacing w:after="0" w:line="360" w:lineRule="auto"/>
        <w:ind w:left="0" w:hanging="284"/>
        <w:jc w:val="both"/>
        <w:rPr>
          <w:rFonts w:ascii="Times New Roman" w:hAnsi="Times New Roman" w:cs="Times New Roman"/>
          <w:sz w:val="28"/>
          <w:szCs w:val="28"/>
          <w:lang w:val="uk-UA"/>
        </w:rPr>
      </w:pPr>
      <w:r w:rsidRPr="004E3E8D">
        <w:rPr>
          <w:rFonts w:ascii="Times New Roman" w:hAnsi="Times New Roman" w:cs="Times New Roman"/>
          <w:sz w:val="28"/>
          <w:szCs w:val="28"/>
          <w:lang w:val="uk-UA"/>
        </w:rPr>
        <w:t>McHugh M</w:t>
      </w:r>
      <w:r>
        <w:rPr>
          <w:rFonts w:ascii="Times New Roman" w:hAnsi="Times New Roman" w:cs="Times New Roman"/>
          <w:sz w:val="28"/>
          <w:szCs w:val="28"/>
        </w:rPr>
        <w:t>.</w:t>
      </w:r>
      <w:r w:rsidRPr="004E3E8D">
        <w:rPr>
          <w:rFonts w:ascii="Times New Roman" w:hAnsi="Times New Roman" w:cs="Times New Roman"/>
          <w:sz w:val="28"/>
          <w:szCs w:val="28"/>
          <w:lang w:val="uk-UA"/>
        </w:rPr>
        <w:t>L. The odds ratio: calcula</w:t>
      </w:r>
      <w:r>
        <w:rPr>
          <w:rFonts w:ascii="Times New Roman" w:hAnsi="Times New Roman" w:cs="Times New Roman"/>
          <w:sz w:val="28"/>
          <w:szCs w:val="28"/>
          <w:lang w:val="uk-UA"/>
        </w:rPr>
        <w:t>tion, usage, and interpretation / M.</w:t>
      </w:r>
      <w:r>
        <w:rPr>
          <w:rFonts w:ascii="Times New Roman" w:hAnsi="Times New Roman" w:cs="Times New Roman"/>
          <w:sz w:val="28"/>
          <w:szCs w:val="28"/>
        </w:rPr>
        <w:t xml:space="preserve">L. </w:t>
      </w:r>
      <w:r w:rsidRPr="004E3E8D">
        <w:rPr>
          <w:rFonts w:ascii="Times New Roman" w:hAnsi="Times New Roman" w:cs="Times New Roman"/>
          <w:sz w:val="28"/>
          <w:szCs w:val="28"/>
          <w:lang w:val="uk-UA"/>
        </w:rPr>
        <w:t>McHugh</w:t>
      </w:r>
      <w:r>
        <w:rPr>
          <w:rFonts w:ascii="Times New Roman" w:hAnsi="Times New Roman" w:cs="Times New Roman"/>
          <w:sz w:val="28"/>
          <w:szCs w:val="28"/>
        </w:rPr>
        <w:t xml:space="preserve"> //</w:t>
      </w:r>
      <w:r w:rsidRPr="004E3E8D">
        <w:rPr>
          <w:rFonts w:ascii="Times New Roman" w:hAnsi="Times New Roman" w:cs="Times New Roman"/>
          <w:sz w:val="28"/>
          <w:szCs w:val="28"/>
          <w:lang w:val="uk-UA"/>
        </w:rPr>
        <w:t xml:space="preserve"> Biochem Med</w:t>
      </w:r>
      <w:r>
        <w:rPr>
          <w:rFonts w:ascii="Times New Roman" w:hAnsi="Times New Roman" w:cs="Times New Roman"/>
          <w:sz w:val="28"/>
          <w:szCs w:val="28"/>
        </w:rPr>
        <w:t>. –</w:t>
      </w:r>
      <w:r w:rsidRPr="004E3E8D">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009. </w:t>
      </w:r>
      <w:r>
        <w:rPr>
          <w:rFonts w:ascii="Times New Roman" w:hAnsi="Times New Roman" w:cs="Times New Roman"/>
          <w:sz w:val="28"/>
          <w:szCs w:val="28"/>
        </w:rPr>
        <w:t xml:space="preserve">– Vol. </w:t>
      </w:r>
      <w:r>
        <w:rPr>
          <w:rFonts w:ascii="Times New Roman" w:hAnsi="Times New Roman" w:cs="Times New Roman"/>
          <w:sz w:val="28"/>
          <w:szCs w:val="28"/>
          <w:lang w:val="uk-UA"/>
        </w:rPr>
        <w:t xml:space="preserve">19. </w:t>
      </w:r>
      <w:r>
        <w:rPr>
          <w:rFonts w:ascii="Times New Roman" w:hAnsi="Times New Roman" w:cs="Times New Roman"/>
          <w:sz w:val="28"/>
          <w:szCs w:val="28"/>
        </w:rPr>
        <w:t xml:space="preserve">– P. </w:t>
      </w:r>
      <w:r w:rsidRPr="004E3E8D">
        <w:rPr>
          <w:rFonts w:ascii="Times New Roman" w:hAnsi="Times New Roman" w:cs="Times New Roman"/>
          <w:sz w:val="28"/>
          <w:szCs w:val="28"/>
          <w:lang w:val="uk-UA"/>
        </w:rPr>
        <w:t>120–</w:t>
      </w:r>
      <w:r>
        <w:rPr>
          <w:rFonts w:ascii="Times New Roman" w:hAnsi="Times New Roman" w:cs="Times New Roman"/>
          <w:sz w:val="28"/>
          <w:szCs w:val="28"/>
        </w:rPr>
        <w:t>12</w:t>
      </w:r>
      <w:r w:rsidRPr="004E3E8D">
        <w:rPr>
          <w:rFonts w:ascii="Times New Roman" w:hAnsi="Times New Roman" w:cs="Times New Roman"/>
          <w:sz w:val="28"/>
          <w:szCs w:val="28"/>
          <w:lang w:val="uk-UA"/>
        </w:rPr>
        <w:t>6.</w:t>
      </w:r>
    </w:p>
    <w:p w14:paraId="739AF198" w14:textId="0038BD43" w:rsidR="002767DC" w:rsidRPr="00314A65"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14A65">
        <w:rPr>
          <w:rFonts w:ascii="Times New Roman" w:hAnsi="Times New Roman" w:cs="Times New Roman"/>
          <w:sz w:val="28"/>
          <w:szCs w:val="28"/>
          <w:lang w:val="uk-UA"/>
        </w:rPr>
        <w:t>Katz M</w:t>
      </w:r>
      <w:r w:rsidR="00C82DEF">
        <w:rPr>
          <w:rFonts w:ascii="Times New Roman" w:hAnsi="Times New Roman" w:cs="Times New Roman"/>
          <w:sz w:val="28"/>
          <w:szCs w:val="28"/>
        </w:rPr>
        <w:t>.</w:t>
      </w:r>
      <w:r w:rsidRPr="00314A65">
        <w:rPr>
          <w:rFonts w:ascii="Times New Roman" w:hAnsi="Times New Roman" w:cs="Times New Roman"/>
          <w:sz w:val="28"/>
          <w:szCs w:val="28"/>
          <w:lang w:val="uk-UA"/>
        </w:rPr>
        <w:t>H. Multivariable analysis: a practical guide for clinicians.</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New York: Cambridge University Press, 1999.</w:t>
      </w:r>
    </w:p>
    <w:p w14:paraId="1A3345E3" w14:textId="4A081FF8" w:rsidR="002767DC" w:rsidRPr="00A12FF7" w:rsidRDefault="00A12FF7"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12FF7">
        <w:rPr>
          <w:rFonts w:ascii="Times New Roman" w:hAnsi="Times New Roman" w:cs="Times New Roman"/>
          <w:bCs/>
          <w:sz w:val="28"/>
          <w:szCs w:val="28"/>
        </w:rPr>
        <w:t xml:space="preserve">Sperandei S. Understanding logistic regression analysis / </w:t>
      </w:r>
      <w:hyperlink r:id="rId63" w:history="1">
        <w:r>
          <w:rPr>
            <w:rStyle w:val="Hyperlink"/>
            <w:rFonts w:ascii="Times New Roman" w:hAnsi="Times New Roman" w:cs="Times New Roman"/>
            <w:color w:val="auto"/>
            <w:sz w:val="28"/>
            <w:szCs w:val="28"/>
            <w:u w:val="none"/>
          </w:rPr>
          <w:t>S.</w:t>
        </w:r>
        <w:r w:rsidRPr="00A12FF7">
          <w:rPr>
            <w:rStyle w:val="Hyperlink"/>
            <w:rFonts w:ascii="Times New Roman" w:hAnsi="Times New Roman" w:cs="Times New Roman"/>
            <w:color w:val="auto"/>
            <w:sz w:val="28"/>
            <w:szCs w:val="28"/>
            <w:u w:val="none"/>
          </w:rPr>
          <w:t xml:space="preserve"> Sperandei</w:t>
        </w:r>
      </w:hyperlink>
      <w:r w:rsidRPr="00A12FF7">
        <w:rPr>
          <w:rFonts w:ascii="Times New Roman" w:hAnsi="Times New Roman" w:cs="Times New Roman"/>
          <w:sz w:val="28"/>
          <w:szCs w:val="28"/>
        </w:rPr>
        <w:t xml:space="preserve"> // </w:t>
      </w:r>
      <w:hyperlink r:id="rId64" w:history="1">
        <w:r w:rsidRPr="00A12FF7">
          <w:rPr>
            <w:rStyle w:val="Hyperlink"/>
            <w:rFonts w:ascii="Times New Roman" w:hAnsi="Times New Roman" w:cs="Times New Roman"/>
            <w:color w:val="auto"/>
            <w:sz w:val="28"/>
            <w:szCs w:val="28"/>
            <w:u w:val="none"/>
          </w:rPr>
          <w:t>Biochem Med (Zagreb)</w:t>
        </w:r>
      </w:hyperlink>
      <w:r w:rsidRPr="00A12FF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12FF7">
        <w:rPr>
          <w:rFonts w:ascii="Times New Roman" w:hAnsi="Times New Roman" w:cs="Times New Roman"/>
          <w:sz w:val="28"/>
          <w:szCs w:val="28"/>
        </w:rPr>
        <w:t>2</w:t>
      </w:r>
      <w:r>
        <w:rPr>
          <w:rFonts w:ascii="Times New Roman" w:hAnsi="Times New Roman" w:cs="Times New Roman"/>
          <w:sz w:val="28"/>
          <w:szCs w:val="28"/>
        </w:rPr>
        <w:t>014. – Vol. 24(1). – P.</w:t>
      </w:r>
      <w:r w:rsidRPr="00A12FF7">
        <w:rPr>
          <w:rFonts w:ascii="Times New Roman" w:hAnsi="Times New Roman" w:cs="Times New Roman"/>
          <w:sz w:val="28"/>
          <w:szCs w:val="28"/>
        </w:rPr>
        <w:t xml:space="preserve"> 12–18.</w:t>
      </w:r>
    </w:p>
    <w:p w14:paraId="3C0CDE12" w14:textId="6362AF34"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Grunkemeier G</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314A65">
        <w:rPr>
          <w:rFonts w:ascii="Times New Roman" w:hAnsi="Times New Roman" w:cs="Times New Roman"/>
          <w:sz w:val="28"/>
          <w:szCs w:val="28"/>
          <w:lang w:val="uk-UA"/>
        </w:rPr>
        <w:t>. Receiver operating characteristic</w:t>
      </w:r>
      <w:r w:rsidR="002767DC">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curve a</w:t>
      </w:r>
      <w:r>
        <w:rPr>
          <w:rFonts w:ascii="Times New Roman" w:hAnsi="Times New Roman" w:cs="Times New Roman"/>
          <w:sz w:val="28"/>
          <w:szCs w:val="28"/>
          <w:lang w:val="uk-UA"/>
        </w:rPr>
        <w:t xml:space="preserve">nalysis of clinical risk models / </w:t>
      </w:r>
      <w:r w:rsidRPr="00314A65">
        <w:rPr>
          <w:rFonts w:ascii="Times New Roman" w:hAnsi="Times New Roman" w:cs="Times New Roman"/>
          <w:sz w:val="28"/>
          <w:szCs w:val="28"/>
          <w:lang w:val="uk-UA"/>
        </w:rPr>
        <w:t>G</w:t>
      </w:r>
      <w:r>
        <w:rPr>
          <w:rFonts w:ascii="Times New Roman" w:hAnsi="Times New Roman" w:cs="Times New Roman"/>
          <w:sz w:val="28"/>
          <w:szCs w:val="28"/>
        </w:rPr>
        <w:t>.</w:t>
      </w:r>
      <w:r w:rsidRPr="00314A65">
        <w:rPr>
          <w:rFonts w:ascii="Times New Roman" w:hAnsi="Times New Roman" w:cs="Times New Roman"/>
          <w:sz w:val="28"/>
          <w:szCs w:val="28"/>
          <w:lang w:val="uk-UA"/>
        </w:rPr>
        <w:t>L</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Grunkemeier, R.</w:t>
      </w:r>
      <w:r>
        <w:rPr>
          <w:rFonts w:ascii="Times New Roman" w:hAnsi="Times New Roman" w:cs="Times New Roman"/>
          <w:sz w:val="28"/>
          <w:szCs w:val="28"/>
        </w:rPr>
        <w:t xml:space="preserve"> </w:t>
      </w:r>
      <w:r w:rsidRPr="00314A65">
        <w:rPr>
          <w:rFonts w:ascii="Times New Roman" w:hAnsi="Times New Roman" w:cs="Times New Roman"/>
          <w:sz w:val="28"/>
          <w:szCs w:val="28"/>
          <w:lang w:val="uk-UA"/>
        </w:rPr>
        <w:t xml:space="preserve">Jin </w:t>
      </w:r>
      <w:r>
        <w:rPr>
          <w:rFonts w:ascii="Times New Roman" w:hAnsi="Times New Roman" w:cs="Times New Roman"/>
          <w:sz w:val="28"/>
          <w:szCs w:val="28"/>
        </w:rPr>
        <w:t>//</w:t>
      </w:r>
      <w:r w:rsidR="002767DC" w:rsidRPr="00314A65">
        <w:rPr>
          <w:rFonts w:ascii="Times New Roman" w:hAnsi="Times New Roman" w:cs="Times New Roman"/>
          <w:sz w:val="28"/>
          <w:szCs w:val="28"/>
          <w:lang w:val="uk-UA"/>
        </w:rPr>
        <w:t xml:space="preserve"> Ann Thorac Surg</w:t>
      </w:r>
      <w:r>
        <w:rPr>
          <w:rFonts w:ascii="Times New Roman" w:hAnsi="Times New Roman" w:cs="Times New Roman"/>
          <w:sz w:val="28"/>
          <w:szCs w:val="28"/>
        </w:rPr>
        <w:t>. –</w:t>
      </w:r>
      <w:r w:rsidR="002767DC">
        <w:rPr>
          <w:rFonts w:ascii="Times New Roman" w:hAnsi="Times New Roman" w:cs="Times New Roman"/>
          <w:sz w:val="28"/>
          <w:szCs w:val="28"/>
        </w:rPr>
        <w:t xml:space="preserve"> </w:t>
      </w:r>
      <w:r w:rsidR="002767DC" w:rsidRPr="00314A65">
        <w:rPr>
          <w:rFonts w:ascii="Times New Roman" w:hAnsi="Times New Roman" w:cs="Times New Roman"/>
          <w:sz w:val="28"/>
          <w:szCs w:val="28"/>
          <w:lang w:val="uk-UA"/>
        </w:rPr>
        <w:t>2001</w:t>
      </w:r>
      <w:r>
        <w:rPr>
          <w:rFonts w:ascii="Times New Roman" w:hAnsi="Times New Roman" w:cs="Times New Roman"/>
          <w:sz w:val="28"/>
          <w:szCs w:val="28"/>
        </w:rPr>
        <w:t>. – Vol.</w:t>
      </w:r>
      <w:r>
        <w:rPr>
          <w:rFonts w:ascii="Times New Roman" w:hAnsi="Times New Roman" w:cs="Times New Roman"/>
          <w:sz w:val="28"/>
          <w:szCs w:val="28"/>
          <w:lang w:val="uk-UA"/>
        </w:rPr>
        <w:t xml:space="preserve">72. </w:t>
      </w:r>
      <w:r>
        <w:rPr>
          <w:rFonts w:ascii="Times New Roman" w:hAnsi="Times New Roman" w:cs="Times New Roman"/>
          <w:sz w:val="28"/>
          <w:szCs w:val="28"/>
        </w:rPr>
        <w:t xml:space="preserve">– P. </w:t>
      </w:r>
      <w:r w:rsidR="002767DC" w:rsidRPr="00314A65">
        <w:rPr>
          <w:rFonts w:ascii="Times New Roman" w:hAnsi="Times New Roman" w:cs="Times New Roman"/>
          <w:sz w:val="28"/>
          <w:szCs w:val="28"/>
          <w:lang w:val="uk-UA"/>
        </w:rPr>
        <w:t>323–</w:t>
      </w:r>
      <w:r>
        <w:rPr>
          <w:rFonts w:ascii="Times New Roman" w:hAnsi="Times New Roman" w:cs="Times New Roman"/>
          <w:sz w:val="28"/>
          <w:szCs w:val="28"/>
        </w:rPr>
        <w:t>32</w:t>
      </w:r>
      <w:r w:rsidR="002767DC" w:rsidRPr="00314A65">
        <w:rPr>
          <w:rFonts w:ascii="Times New Roman" w:hAnsi="Times New Roman" w:cs="Times New Roman"/>
          <w:sz w:val="28"/>
          <w:szCs w:val="28"/>
          <w:lang w:val="uk-UA"/>
        </w:rPr>
        <w:t>6.</w:t>
      </w:r>
    </w:p>
    <w:p w14:paraId="54B032C0" w14:textId="77777777" w:rsidR="002767DC" w:rsidRPr="009860FF"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Л. С. Кривенко, Р. С. Назарян // Вісник проблем медицини та біології. – 2016. – № 3. – С. 132-138.</w:t>
      </w:r>
    </w:p>
    <w:p w14:paraId="0697E444"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9860FF">
        <w:rPr>
          <w:rFonts w:ascii="Times New Roman" w:hAnsi="Times New Roman"/>
          <w:sz w:val="28"/>
          <w:szCs w:val="28"/>
          <w:lang w:val="ru-RU"/>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0C1CC97E" w14:textId="77777777" w:rsidR="002767DC" w:rsidRPr="006A4C62"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476A9082" w14:textId="77777777" w:rsidR="002767DC" w:rsidRPr="005A47B1"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rPr>
      </w:pPr>
      <w:r w:rsidRPr="009860FF">
        <w:rPr>
          <w:rFonts w:ascii="Times New Roman" w:hAnsi="Times New Roman"/>
          <w:sz w:val="28"/>
          <w:szCs w:val="28"/>
          <w:lang w:val="ru-RU"/>
        </w:rPr>
        <w:t>Кривенко</w:t>
      </w:r>
      <w:r w:rsidRPr="005A47B1">
        <w:rPr>
          <w:rFonts w:ascii="Times New Roman" w:hAnsi="Times New Roman"/>
          <w:sz w:val="28"/>
          <w:szCs w:val="28"/>
        </w:rPr>
        <w:t xml:space="preserve">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Прогностичні</w:t>
      </w:r>
      <w:r w:rsidRPr="005A47B1">
        <w:rPr>
          <w:rFonts w:ascii="Times New Roman" w:hAnsi="Times New Roman"/>
          <w:sz w:val="28"/>
          <w:szCs w:val="28"/>
        </w:rPr>
        <w:t xml:space="preserve"> </w:t>
      </w:r>
      <w:r w:rsidRPr="009860FF">
        <w:rPr>
          <w:rFonts w:ascii="Times New Roman" w:hAnsi="Times New Roman"/>
          <w:sz w:val="28"/>
          <w:szCs w:val="28"/>
          <w:lang w:val="ru-RU"/>
        </w:rPr>
        <w:t>біомаркери</w:t>
      </w:r>
      <w:r w:rsidRPr="005A47B1">
        <w:rPr>
          <w:rFonts w:ascii="Times New Roman" w:hAnsi="Times New Roman"/>
          <w:sz w:val="28"/>
          <w:szCs w:val="28"/>
        </w:rPr>
        <w:t xml:space="preserve"> </w:t>
      </w:r>
      <w:r w:rsidRPr="009860FF">
        <w:rPr>
          <w:rFonts w:ascii="Times New Roman" w:hAnsi="Times New Roman"/>
          <w:sz w:val="28"/>
          <w:szCs w:val="28"/>
          <w:lang w:val="ru-RU"/>
        </w:rPr>
        <w:t>хронічного</w:t>
      </w:r>
      <w:r w:rsidRPr="005A47B1">
        <w:rPr>
          <w:rFonts w:ascii="Times New Roman" w:hAnsi="Times New Roman"/>
          <w:sz w:val="28"/>
          <w:szCs w:val="28"/>
        </w:rPr>
        <w:t xml:space="preserve"> </w:t>
      </w:r>
      <w:r w:rsidRPr="009860FF">
        <w:rPr>
          <w:rFonts w:ascii="Times New Roman" w:hAnsi="Times New Roman"/>
          <w:sz w:val="28"/>
          <w:szCs w:val="28"/>
          <w:lang w:val="ru-RU"/>
        </w:rPr>
        <w:t>гінгівіту</w:t>
      </w:r>
      <w:r w:rsidRPr="005A47B1">
        <w:rPr>
          <w:rFonts w:ascii="Times New Roman" w:hAnsi="Times New Roman"/>
          <w:sz w:val="28"/>
          <w:szCs w:val="28"/>
        </w:rPr>
        <w:t xml:space="preserve"> </w:t>
      </w:r>
      <w:r w:rsidRPr="009860FF">
        <w:rPr>
          <w:rFonts w:ascii="Times New Roman" w:hAnsi="Times New Roman"/>
          <w:sz w:val="28"/>
          <w:szCs w:val="28"/>
          <w:lang w:val="ru-RU"/>
        </w:rPr>
        <w:t>у</w:t>
      </w:r>
      <w:r w:rsidRPr="005A47B1">
        <w:rPr>
          <w:rFonts w:ascii="Times New Roman" w:hAnsi="Times New Roman"/>
          <w:sz w:val="28"/>
          <w:szCs w:val="28"/>
        </w:rPr>
        <w:t xml:space="preserve"> </w:t>
      </w:r>
      <w:r w:rsidRPr="009860FF">
        <w:rPr>
          <w:rFonts w:ascii="Times New Roman" w:hAnsi="Times New Roman"/>
          <w:sz w:val="28"/>
          <w:szCs w:val="28"/>
          <w:lang w:val="ru-RU"/>
        </w:rPr>
        <w:t>ротовій</w:t>
      </w:r>
      <w:r w:rsidRPr="005A47B1">
        <w:rPr>
          <w:rFonts w:ascii="Times New Roman" w:hAnsi="Times New Roman"/>
          <w:sz w:val="28"/>
          <w:szCs w:val="28"/>
        </w:rPr>
        <w:t xml:space="preserve"> </w:t>
      </w:r>
      <w:r w:rsidRPr="009860FF">
        <w:rPr>
          <w:rFonts w:ascii="Times New Roman" w:hAnsi="Times New Roman"/>
          <w:sz w:val="28"/>
          <w:szCs w:val="28"/>
          <w:lang w:val="ru-RU"/>
        </w:rPr>
        <w:t>рідині</w:t>
      </w:r>
      <w:r w:rsidRPr="005A47B1">
        <w:rPr>
          <w:rFonts w:ascii="Times New Roman" w:hAnsi="Times New Roman"/>
          <w:sz w:val="28"/>
          <w:szCs w:val="28"/>
        </w:rPr>
        <w:t xml:space="preserve"> </w:t>
      </w:r>
      <w:r w:rsidRPr="009860FF">
        <w:rPr>
          <w:rFonts w:ascii="Times New Roman" w:hAnsi="Times New Roman"/>
          <w:sz w:val="28"/>
          <w:szCs w:val="28"/>
          <w:lang w:val="ru-RU"/>
        </w:rPr>
        <w:t>дітей</w:t>
      </w:r>
      <w:r w:rsidRPr="005A47B1">
        <w:rPr>
          <w:rFonts w:ascii="Times New Roman" w:hAnsi="Times New Roman"/>
          <w:sz w:val="28"/>
          <w:szCs w:val="28"/>
        </w:rPr>
        <w:t xml:space="preserve"> </w:t>
      </w:r>
      <w:r w:rsidRPr="009860FF">
        <w:rPr>
          <w:rFonts w:ascii="Times New Roman" w:hAnsi="Times New Roman"/>
          <w:sz w:val="28"/>
          <w:szCs w:val="28"/>
          <w:lang w:val="ru-RU"/>
        </w:rPr>
        <w:t>з</w:t>
      </w:r>
      <w:r w:rsidRPr="005A47B1">
        <w:rPr>
          <w:rFonts w:ascii="Times New Roman" w:hAnsi="Times New Roman"/>
          <w:sz w:val="28"/>
          <w:szCs w:val="28"/>
        </w:rPr>
        <w:t xml:space="preserve"> </w:t>
      </w:r>
      <w:r w:rsidRPr="009860FF">
        <w:rPr>
          <w:rFonts w:ascii="Times New Roman" w:hAnsi="Times New Roman"/>
          <w:sz w:val="28"/>
          <w:szCs w:val="28"/>
          <w:lang w:val="ru-RU"/>
        </w:rPr>
        <w:t>атопічними</w:t>
      </w:r>
      <w:r w:rsidRPr="005A47B1">
        <w:rPr>
          <w:rFonts w:ascii="Times New Roman" w:hAnsi="Times New Roman"/>
          <w:sz w:val="28"/>
          <w:szCs w:val="28"/>
        </w:rPr>
        <w:t xml:space="preserve"> </w:t>
      </w:r>
      <w:r w:rsidRPr="009860FF">
        <w:rPr>
          <w:rFonts w:ascii="Times New Roman" w:hAnsi="Times New Roman"/>
          <w:sz w:val="28"/>
          <w:szCs w:val="28"/>
          <w:lang w:val="ru-RU"/>
        </w:rPr>
        <w:t>захворюваннями</w:t>
      </w:r>
      <w:r w:rsidRPr="005A47B1">
        <w:rPr>
          <w:rFonts w:ascii="Times New Roman" w:hAnsi="Times New Roman"/>
          <w:sz w:val="28"/>
          <w:szCs w:val="28"/>
        </w:rPr>
        <w:t xml:space="preserve"> / </w:t>
      </w:r>
      <w:r w:rsidRPr="009860FF">
        <w:rPr>
          <w:rFonts w:ascii="Times New Roman" w:hAnsi="Times New Roman"/>
          <w:sz w:val="28"/>
          <w:szCs w:val="28"/>
          <w:lang w:val="ru-RU"/>
        </w:rPr>
        <w:t>Л</w:t>
      </w:r>
      <w:r w:rsidRPr="005A47B1">
        <w:rPr>
          <w:rFonts w:ascii="Times New Roman" w:hAnsi="Times New Roman"/>
          <w:sz w:val="28"/>
          <w:szCs w:val="28"/>
        </w:rPr>
        <w:t xml:space="preserve">. </w:t>
      </w:r>
      <w:r w:rsidRPr="009860FF">
        <w:rPr>
          <w:rFonts w:ascii="Times New Roman" w:hAnsi="Times New Roman"/>
          <w:sz w:val="28"/>
          <w:szCs w:val="28"/>
          <w:lang w:val="ru-RU"/>
        </w:rPr>
        <w:t>С</w:t>
      </w:r>
      <w:r w:rsidRPr="005A47B1">
        <w:rPr>
          <w:rFonts w:ascii="Times New Roman" w:hAnsi="Times New Roman"/>
          <w:sz w:val="28"/>
          <w:szCs w:val="28"/>
        </w:rPr>
        <w:t xml:space="preserve">. </w:t>
      </w:r>
      <w:r w:rsidRPr="009860FF">
        <w:rPr>
          <w:rFonts w:ascii="Times New Roman" w:hAnsi="Times New Roman"/>
          <w:sz w:val="28"/>
          <w:szCs w:val="28"/>
          <w:lang w:val="ru-RU"/>
        </w:rPr>
        <w:t>Кривенко</w:t>
      </w:r>
      <w:r w:rsidRPr="005A47B1">
        <w:rPr>
          <w:rFonts w:ascii="Times New Roman" w:hAnsi="Times New Roman"/>
          <w:sz w:val="28"/>
          <w:szCs w:val="28"/>
        </w:rPr>
        <w:t xml:space="preserve"> // </w:t>
      </w:r>
      <w:r w:rsidRPr="009860FF">
        <w:rPr>
          <w:rFonts w:ascii="Times New Roman" w:hAnsi="Times New Roman"/>
          <w:sz w:val="28"/>
          <w:szCs w:val="28"/>
          <w:lang w:val="ru-RU"/>
        </w:rPr>
        <w:t>Новини</w:t>
      </w:r>
      <w:r w:rsidRPr="005A47B1">
        <w:rPr>
          <w:rFonts w:ascii="Times New Roman" w:hAnsi="Times New Roman"/>
          <w:sz w:val="28"/>
          <w:szCs w:val="28"/>
        </w:rPr>
        <w:t xml:space="preserve"> </w:t>
      </w:r>
      <w:r w:rsidRPr="009860FF">
        <w:rPr>
          <w:rFonts w:ascii="Times New Roman" w:hAnsi="Times New Roman"/>
          <w:sz w:val="28"/>
          <w:szCs w:val="28"/>
          <w:lang w:val="ru-RU"/>
        </w:rPr>
        <w:t>стоматології</w:t>
      </w:r>
      <w:r w:rsidRPr="005A47B1">
        <w:rPr>
          <w:rFonts w:ascii="Times New Roman" w:hAnsi="Times New Roman"/>
          <w:sz w:val="28"/>
          <w:szCs w:val="28"/>
        </w:rPr>
        <w:t xml:space="preserve">. – 2017. – №3 (92). – </w:t>
      </w:r>
      <w:r w:rsidRPr="009860FF">
        <w:rPr>
          <w:rFonts w:ascii="Times New Roman" w:hAnsi="Times New Roman"/>
          <w:sz w:val="28"/>
          <w:szCs w:val="28"/>
          <w:lang w:val="ru-RU"/>
        </w:rPr>
        <w:t>С</w:t>
      </w:r>
      <w:r w:rsidRPr="005A47B1">
        <w:rPr>
          <w:rFonts w:ascii="Times New Roman" w:hAnsi="Times New Roman"/>
          <w:sz w:val="28"/>
          <w:szCs w:val="28"/>
        </w:rPr>
        <w:t>.88-91.</w:t>
      </w:r>
    </w:p>
    <w:p w14:paraId="5E36ABBC"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9860FF">
        <w:rPr>
          <w:rFonts w:ascii="Times New Roman" w:hAnsi="Times New Roman"/>
          <w:sz w:val="28"/>
          <w:szCs w:val="28"/>
          <w:lang w:val="ru-RU"/>
        </w:rPr>
        <w:t>Кривенко Л. С. Діагностична та прогностична значущість маркерів запалення тканин пародонту у дітей з атопічними захворюваннями / Л. С. Кривенко // Новини стоматології. – 2017. – №4 (93). – С.72-74.</w:t>
      </w:r>
    </w:p>
    <w:p w14:paraId="72672356" w14:textId="77777777" w:rsidR="002767DC" w:rsidRPr="006A4C62"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ru-RU"/>
        </w:rPr>
      </w:pPr>
      <w:r w:rsidRPr="006A4C62">
        <w:rPr>
          <w:rFonts w:ascii="Times New Roman" w:hAnsi="Times New Roman" w:cs="Times New Roman"/>
          <w:sz w:val="28"/>
          <w:szCs w:val="28"/>
          <w:lang w:val="ru-RU"/>
        </w:rPr>
        <w:t>Кривенко Л. С. Коррекция иммунологического статуса при оптимизации лечения хронического гингивита на фоне атопических заболеваний детей 12-18 лет / Л. С. Кривенко // Современная стоматология (Беларусь). - №3. – 2017. – С.74-76.</w:t>
      </w:r>
    </w:p>
    <w:p w14:paraId="79C3847D" w14:textId="77777777" w:rsidR="002767DC" w:rsidRPr="00814993" w:rsidRDefault="002767DC" w:rsidP="002767DC">
      <w:pPr>
        <w:pStyle w:val="ListParagraph"/>
        <w:numPr>
          <w:ilvl w:val="0"/>
          <w:numId w:val="9"/>
        </w:numPr>
        <w:tabs>
          <w:tab w:val="left" w:pos="0"/>
        </w:tabs>
        <w:spacing w:after="0" w:line="360" w:lineRule="auto"/>
        <w:ind w:left="0"/>
        <w:jc w:val="both"/>
        <w:rPr>
          <w:rFonts w:ascii="Times New Roman" w:hAnsi="Times New Roman"/>
          <w:sz w:val="28"/>
          <w:szCs w:val="28"/>
          <w:lang w:val="ru-RU"/>
        </w:rPr>
      </w:pPr>
      <w:r w:rsidRPr="006A4C62">
        <w:rPr>
          <w:rFonts w:ascii="Times New Roman" w:hAnsi="Times New Roman" w:cs="Times New Roman"/>
          <w:sz w:val="28"/>
          <w:szCs w:val="28"/>
          <w:lang w:val="ru-RU"/>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p>
    <w:p w14:paraId="5CBE9F20" w14:textId="665E4B9E"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Авдеев</w:t>
      </w:r>
      <w:r w:rsidR="002767DC" w:rsidRPr="002C75EB">
        <w:rPr>
          <w:rFonts w:ascii="Times New Roman" w:hAnsi="Times New Roman" w:cs="Times New Roman"/>
          <w:sz w:val="28"/>
          <w:szCs w:val="28"/>
          <w:lang w:val="uk-UA"/>
        </w:rPr>
        <w:t xml:space="preserve"> С. Н. Хроническая обструктивная болезнь легких ка</w:t>
      </w:r>
      <w:r>
        <w:rPr>
          <w:rFonts w:ascii="Times New Roman" w:hAnsi="Times New Roman" w:cs="Times New Roman"/>
          <w:sz w:val="28"/>
          <w:szCs w:val="28"/>
          <w:lang w:val="uk-UA"/>
        </w:rPr>
        <w:t xml:space="preserve">к системное заболевание </w:t>
      </w:r>
      <w:r w:rsidR="002767DC" w:rsidRPr="002C75EB">
        <w:rPr>
          <w:rFonts w:ascii="Times New Roman" w:hAnsi="Times New Roman" w:cs="Times New Roman"/>
          <w:sz w:val="28"/>
          <w:szCs w:val="28"/>
          <w:lang w:val="uk-UA"/>
        </w:rPr>
        <w:t>/ С. Н. Авдеев // Пульмонология. – 2007. – № 2. – С. 27–30.</w:t>
      </w:r>
    </w:p>
    <w:p w14:paraId="17EB883D" w14:textId="596D8438"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Волкова</w:t>
      </w:r>
      <w:r w:rsidR="002767DC" w:rsidRPr="002C75EB">
        <w:rPr>
          <w:rFonts w:ascii="Times New Roman" w:hAnsi="Times New Roman" w:cs="Times New Roman"/>
          <w:sz w:val="28"/>
          <w:szCs w:val="28"/>
          <w:lang w:val="uk-UA"/>
        </w:rPr>
        <w:t xml:space="preserve"> М. Н. Исследование интерлейкина 1β, интерферона γ, интерлейкина 2 в ротовой жидкости пациентов с хроническим генерализованным периодонтитом, хроническим гингивитом и</w:t>
      </w:r>
      <w:r>
        <w:rPr>
          <w:rFonts w:ascii="Times New Roman" w:hAnsi="Times New Roman" w:cs="Times New Roman"/>
          <w:sz w:val="28"/>
          <w:szCs w:val="28"/>
          <w:lang w:val="uk-UA"/>
        </w:rPr>
        <w:t xml:space="preserve"> периодонтально здоровых</w:t>
      </w:r>
      <w:r w:rsidR="002767DC" w:rsidRPr="002C75EB">
        <w:rPr>
          <w:rFonts w:ascii="Times New Roman" w:hAnsi="Times New Roman" w:cs="Times New Roman"/>
          <w:sz w:val="28"/>
          <w:szCs w:val="28"/>
          <w:lang w:val="uk-UA"/>
        </w:rPr>
        <w:t xml:space="preserve"> / М. Н. Волкова, В. В. Янченко // Цитокины и воспаление. – 2011. – Т. 10. – № 4. – С. 46–51.</w:t>
      </w:r>
    </w:p>
    <w:p w14:paraId="41D63811" w14:textId="4E07CD5A"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Мельников</w:t>
      </w:r>
      <w:r w:rsidR="002767DC" w:rsidRPr="001F0867">
        <w:rPr>
          <w:rFonts w:ascii="Times New Roman" w:hAnsi="Times New Roman" w:cs="Times New Roman"/>
          <w:sz w:val="28"/>
          <w:szCs w:val="28"/>
          <w:lang w:val="uk-UA"/>
        </w:rPr>
        <w:t xml:space="preserve"> О. Ф. Концепция диагностики иммунной недостаточности на основе определения уровня защитных белков в секретах [Электронный ресурс] / О. Ф. Мельников, Д. И. Заболотный // Клиническая иммунология. Аллергология. Инфектология. – 2006. – № 3. –http://kiai.com. ua/article/54.html.</w:t>
      </w:r>
    </w:p>
    <w:p w14:paraId="5231CEF3" w14:textId="2DFE0CA9" w:rsidR="002767DC" w:rsidRPr="00A87A34"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Linden</w:t>
      </w:r>
      <w:r w:rsidR="002767DC" w:rsidRPr="001F0867">
        <w:rPr>
          <w:rFonts w:ascii="Times New Roman" w:hAnsi="Times New Roman" w:cs="Times New Roman"/>
          <w:sz w:val="28"/>
          <w:szCs w:val="28"/>
          <w:lang w:val="uk-UA"/>
        </w:rPr>
        <w:t xml:space="preserve"> G. J. Periodontal systemic associations</w:t>
      </w:r>
      <w:r>
        <w:rPr>
          <w:rFonts w:ascii="Times New Roman" w:hAnsi="Times New Roman" w:cs="Times New Roman"/>
          <w:sz w:val="28"/>
          <w:szCs w:val="28"/>
          <w:lang w:val="uk-UA"/>
        </w:rPr>
        <w:t xml:space="preserve">: review of the evidence </w:t>
      </w:r>
      <w:r w:rsidR="002767DC" w:rsidRPr="001F0867">
        <w:rPr>
          <w:rFonts w:ascii="Times New Roman" w:hAnsi="Times New Roman" w:cs="Times New Roman"/>
          <w:sz w:val="28"/>
          <w:szCs w:val="28"/>
          <w:lang w:val="uk-UA"/>
        </w:rPr>
        <w:t>/ G. J. Linden, A. Lyons, F. A. Scannapieco // J. Clin. Periodontol. – 2013. – Vol. 40, Suppl. 14. – P. 8–19</w:t>
      </w:r>
      <w:r>
        <w:rPr>
          <w:rFonts w:ascii="Times New Roman" w:hAnsi="Times New Roman" w:cs="Times New Roman"/>
          <w:sz w:val="28"/>
          <w:szCs w:val="28"/>
        </w:rPr>
        <w:t>.</w:t>
      </w:r>
    </w:p>
    <w:p w14:paraId="5BDD13E5" w14:textId="3B058F07" w:rsidR="002767DC" w:rsidRPr="00A87A34"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Soyoung Hong. </w:t>
      </w:r>
      <w:r w:rsidRPr="00A87A34">
        <w:rPr>
          <w:rFonts w:ascii="Times New Roman" w:hAnsi="Times New Roman" w:cs="Times New Roman"/>
          <w:sz w:val="28"/>
          <w:szCs w:val="28"/>
          <w:lang w:val="uk-UA"/>
        </w:rPr>
        <w:t>The Prevalence of Atopic Dermatitis, Asthma, and Allergic Rhinitis and the Comorbidity of Allergic Diseases in Children</w:t>
      </w:r>
      <w:r>
        <w:rPr>
          <w:rFonts w:ascii="Times New Roman" w:hAnsi="Times New Roman" w:cs="Times New Roman"/>
          <w:sz w:val="28"/>
          <w:szCs w:val="28"/>
        </w:rPr>
        <w:t xml:space="preserve"> / Soyoung Hong, Dong Koog Son, Wan Ryung Lim, Sun Hang Kim,</w:t>
      </w:r>
      <w:r w:rsidRPr="00A87A34">
        <w:rPr>
          <w:rFonts w:ascii="Times New Roman" w:hAnsi="Times New Roman" w:cs="Times New Roman"/>
          <w:sz w:val="28"/>
          <w:szCs w:val="28"/>
        </w:rPr>
        <w:t xml:space="preserve"> Hyunjung Kim</w:t>
      </w:r>
      <w:r>
        <w:rPr>
          <w:rFonts w:ascii="Times New Roman" w:hAnsi="Times New Roman" w:cs="Times New Roman"/>
          <w:sz w:val="28"/>
          <w:szCs w:val="28"/>
        </w:rPr>
        <w:t xml:space="preserve"> // </w:t>
      </w:r>
      <w:r w:rsidRPr="00A87A34">
        <w:rPr>
          <w:rFonts w:ascii="Times New Roman" w:hAnsi="Times New Roman" w:cs="Times New Roman"/>
          <w:sz w:val="28"/>
          <w:szCs w:val="28"/>
        </w:rPr>
        <w:t>E</w:t>
      </w:r>
      <w:r>
        <w:rPr>
          <w:rFonts w:ascii="Times New Roman" w:hAnsi="Times New Roman" w:cs="Times New Roman"/>
          <w:sz w:val="28"/>
          <w:szCs w:val="28"/>
        </w:rPr>
        <w:t xml:space="preserve">nviron Health Toxicol. </w:t>
      </w:r>
      <w:r w:rsidR="00C82DEF">
        <w:rPr>
          <w:rFonts w:ascii="Times New Roman" w:hAnsi="Times New Roman" w:cs="Times New Roman"/>
          <w:sz w:val="28"/>
          <w:szCs w:val="28"/>
        </w:rPr>
        <w:t xml:space="preserve">– </w:t>
      </w:r>
      <w:r>
        <w:rPr>
          <w:rFonts w:ascii="Times New Roman" w:hAnsi="Times New Roman" w:cs="Times New Roman"/>
          <w:sz w:val="28"/>
          <w:szCs w:val="28"/>
        </w:rPr>
        <w:t>2012</w:t>
      </w:r>
      <w:r w:rsidR="00C82DEF">
        <w:rPr>
          <w:rFonts w:ascii="Times New Roman" w:hAnsi="Times New Roman" w:cs="Times New Roman"/>
          <w:sz w:val="28"/>
          <w:szCs w:val="28"/>
        </w:rPr>
        <w:t>. – Vol.</w:t>
      </w:r>
      <w:r>
        <w:rPr>
          <w:rFonts w:ascii="Times New Roman" w:hAnsi="Times New Roman" w:cs="Times New Roman"/>
          <w:sz w:val="28"/>
          <w:szCs w:val="28"/>
        </w:rPr>
        <w:t xml:space="preserve"> 27. doi:</w:t>
      </w:r>
      <w:r w:rsidRPr="00A87A34">
        <w:rPr>
          <w:rFonts w:ascii="Times New Roman" w:hAnsi="Times New Roman" w:cs="Times New Roman"/>
          <w:sz w:val="28"/>
          <w:szCs w:val="28"/>
        </w:rPr>
        <w:t xml:space="preserve"> 10.5620/eht.2012.27.e2012006</w:t>
      </w:r>
    </w:p>
    <w:p w14:paraId="4B512D4E" w14:textId="60464069"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Masuda S</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High prevalence and young onset of allergic rhinitis in</w:t>
      </w:r>
      <w:r>
        <w:rPr>
          <w:rFonts w:ascii="Times New Roman" w:hAnsi="Times New Roman" w:cs="Times New Roman"/>
          <w:sz w:val="28"/>
          <w:szCs w:val="28"/>
          <w:lang w:val="uk-UA"/>
        </w:rPr>
        <w:t xml:space="preserve"> children with bronchial asthma /</w:t>
      </w:r>
      <w:r w:rsidR="002767DC">
        <w:rPr>
          <w:rFonts w:ascii="Times New Roman" w:hAnsi="Times New Roman" w:cs="Times New Roman"/>
          <w:sz w:val="28"/>
          <w:szCs w:val="28"/>
        </w:rPr>
        <w:t xml:space="preserve"> </w:t>
      </w:r>
      <w:r>
        <w:rPr>
          <w:rFonts w:ascii="Times New Roman" w:hAnsi="Times New Roman" w:cs="Times New Roman"/>
          <w:sz w:val="28"/>
          <w:szCs w:val="28"/>
        </w:rPr>
        <w:t xml:space="preserve">S. </w:t>
      </w:r>
      <w:r>
        <w:rPr>
          <w:rFonts w:ascii="Times New Roman" w:hAnsi="Times New Roman" w:cs="Times New Roman"/>
          <w:sz w:val="28"/>
          <w:szCs w:val="28"/>
          <w:lang w:val="uk-UA"/>
        </w:rPr>
        <w:t>Masuda</w:t>
      </w:r>
      <w:r w:rsidR="002767DC" w:rsidRPr="00A87A34">
        <w:rPr>
          <w:rFonts w:ascii="Times New Roman" w:hAnsi="Times New Roman" w:cs="Times New Roman"/>
          <w:sz w:val="28"/>
          <w:szCs w:val="28"/>
          <w:lang w:val="uk-UA"/>
        </w:rPr>
        <w:t>,</w:t>
      </w:r>
      <w:r>
        <w:rPr>
          <w:rFonts w:ascii="Times New Roman" w:hAnsi="Times New Roman" w:cs="Times New Roman"/>
          <w:sz w:val="28"/>
          <w:szCs w:val="28"/>
        </w:rPr>
        <w:t xml:space="preserve"> T.</w:t>
      </w:r>
      <w:r>
        <w:rPr>
          <w:rFonts w:ascii="Times New Roman" w:hAnsi="Times New Roman" w:cs="Times New Roman"/>
          <w:sz w:val="28"/>
          <w:szCs w:val="28"/>
          <w:lang w:val="uk-UA"/>
        </w:rPr>
        <w:t xml:space="preserve"> Fujisawa</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Katsumata</w:t>
      </w:r>
      <w:r>
        <w:rPr>
          <w:rFonts w:ascii="Times New Roman" w:hAnsi="Times New Roman" w:cs="Times New Roman"/>
          <w:sz w:val="28"/>
          <w:szCs w:val="28"/>
        </w:rPr>
        <w:t xml:space="preserve"> et al.</w:t>
      </w:r>
      <w:r>
        <w:rPr>
          <w:rFonts w:ascii="Times New Roman" w:hAnsi="Times New Roman" w:cs="Times New Roman"/>
          <w:sz w:val="28"/>
          <w:szCs w:val="28"/>
          <w:lang w:val="uk-UA"/>
        </w:rPr>
        <w:t xml:space="preserve"> //</w:t>
      </w:r>
      <w:r w:rsidR="002767DC">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Pediatr Allergy Immunol.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2008</w:t>
      </w:r>
      <w:r>
        <w:rPr>
          <w:rFonts w:ascii="Times New Roman" w:hAnsi="Times New Roman" w:cs="Times New Roman"/>
          <w:sz w:val="28"/>
          <w:szCs w:val="28"/>
        </w:rPr>
        <w:t>. – Vol.</w:t>
      </w:r>
      <w:r w:rsidR="002767DC" w:rsidRPr="00A87A34">
        <w:rPr>
          <w:rFonts w:ascii="Times New Roman" w:hAnsi="Times New Roman" w:cs="Times New Roman"/>
          <w:sz w:val="28"/>
          <w:szCs w:val="28"/>
          <w:lang w:val="uk-UA"/>
        </w:rPr>
        <w:t xml:space="preserve"> 19(6</w:t>
      </w:r>
      <w:r>
        <w:rPr>
          <w:rFonts w:ascii="Times New Roman" w:hAnsi="Times New Roman" w:cs="Times New Roman"/>
          <w:sz w:val="28"/>
          <w:szCs w:val="28"/>
          <w:lang w:val="uk-UA"/>
        </w:rPr>
        <w:t xml:space="preserve">). </w:t>
      </w:r>
      <w:r>
        <w:rPr>
          <w:rFonts w:ascii="Times New Roman" w:hAnsi="Times New Roman" w:cs="Times New Roman"/>
          <w:sz w:val="28"/>
          <w:szCs w:val="28"/>
        </w:rPr>
        <w:t>– P.</w:t>
      </w:r>
      <w:r w:rsidR="002767DC" w:rsidRPr="00A87A34">
        <w:rPr>
          <w:rFonts w:ascii="Times New Roman" w:hAnsi="Times New Roman" w:cs="Times New Roman"/>
          <w:sz w:val="28"/>
          <w:szCs w:val="28"/>
          <w:lang w:val="uk-UA"/>
        </w:rPr>
        <w:t>517-</w:t>
      </w:r>
      <w:r>
        <w:rPr>
          <w:rFonts w:ascii="Times New Roman" w:hAnsi="Times New Roman" w:cs="Times New Roman"/>
          <w:sz w:val="28"/>
          <w:szCs w:val="28"/>
        </w:rPr>
        <w:t>5</w:t>
      </w:r>
      <w:r w:rsidR="002767DC" w:rsidRPr="00A87A34">
        <w:rPr>
          <w:rFonts w:ascii="Times New Roman" w:hAnsi="Times New Roman" w:cs="Times New Roman"/>
          <w:sz w:val="28"/>
          <w:szCs w:val="28"/>
          <w:lang w:val="uk-UA"/>
        </w:rPr>
        <w:t>22.</w:t>
      </w:r>
    </w:p>
    <w:p w14:paraId="0443DF82" w14:textId="12C37D28"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Zhao J</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Self-reported prevalence of childhood allergic diseases in three citie</w:t>
      </w:r>
      <w:r>
        <w:rPr>
          <w:rFonts w:ascii="Times New Roman" w:hAnsi="Times New Roman" w:cs="Times New Roman"/>
          <w:sz w:val="28"/>
          <w:szCs w:val="28"/>
          <w:lang w:val="uk-UA"/>
        </w:rPr>
        <w:t xml:space="preserve">s of China: a multicenter study / </w:t>
      </w:r>
      <w:r>
        <w:rPr>
          <w:rFonts w:ascii="Times New Roman" w:hAnsi="Times New Roman" w:cs="Times New Roman"/>
          <w:sz w:val="28"/>
          <w:szCs w:val="28"/>
        </w:rPr>
        <w:t xml:space="preserve">J. </w:t>
      </w:r>
      <w:r>
        <w:rPr>
          <w:rFonts w:ascii="Times New Roman" w:hAnsi="Times New Roman" w:cs="Times New Roman"/>
          <w:sz w:val="28"/>
          <w:szCs w:val="28"/>
          <w:lang w:val="uk-UA"/>
        </w:rPr>
        <w:t>Zhao</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Bai</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Shen et al.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 xml:space="preserve">BMC Public Health.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2010</w:t>
      </w:r>
      <w:r>
        <w:rPr>
          <w:rFonts w:ascii="Times New Roman" w:hAnsi="Times New Roman" w:cs="Times New Roman"/>
          <w:sz w:val="28"/>
          <w:szCs w:val="28"/>
        </w:rPr>
        <w:t>. – Vol.</w:t>
      </w:r>
      <w:r>
        <w:rPr>
          <w:rFonts w:ascii="Times New Roman" w:hAnsi="Times New Roman" w:cs="Times New Roman"/>
          <w:sz w:val="28"/>
          <w:szCs w:val="28"/>
          <w:lang w:val="uk-UA"/>
        </w:rPr>
        <w:t xml:space="preserve"> 13.</w:t>
      </w:r>
      <w:r>
        <w:rPr>
          <w:rFonts w:ascii="Times New Roman" w:hAnsi="Times New Roman" w:cs="Times New Roman"/>
          <w:sz w:val="28"/>
          <w:szCs w:val="28"/>
        </w:rPr>
        <w:t xml:space="preserve"> – P.</w:t>
      </w:r>
      <w:r w:rsidR="002767DC" w:rsidRPr="00A87A34">
        <w:rPr>
          <w:rFonts w:ascii="Times New Roman" w:hAnsi="Times New Roman" w:cs="Times New Roman"/>
          <w:sz w:val="28"/>
          <w:szCs w:val="28"/>
          <w:lang w:val="uk-UA"/>
        </w:rPr>
        <w:t>551</w:t>
      </w:r>
      <w:r>
        <w:rPr>
          <w:rFonts w:ascii="Times New Roman" w:hAnsi="Times New Roman" w:cs="Times New Roman"/>
          <w:sz w:val="28"/>
          <w:szCs w:val="28"/>
        </w:rPr>
        <w:t>-555</w:t>
      </w:r>
      <w:r w:rsidR="002767DC" w:rsidRPr="00A87A34">
        <w:rPr>
          <w:rFonts w:ascii="Times New Roman" w:hAnsi="Times New Roman" w:cs="Times New Roman"/>
          <w:sz w:val="28"/>
          <w:szCs w:val="28"/>
          <w:lang w:val="uk-UA"/>
        </w:rPr>
        <w:t>.</w:t>
      </w:r>
    </w:p>
    <w:p w14:paraId="3AE22D5B" w14:textId="1571654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Oh J</w:t>
      </w:r>
      <w:r w:rsidR="00C82DEF">
        <w:rPr>
          <w:rFonts w:ascii="Times New Roman" w:hAnsi="Times New Roman" w:cs="Times New Roman"/>
          <w:sz w:val="28"/>
          <w:szCs w:val="28"/>
        </w:rPr>
        <w:t>.</w:t>
      </w:r>
      <w:r w:rsidRPr="00A87A34">
        <w:rPr>
          <w:rFonts w:ascii="Times New Roman" w:hAnsi="Times New Roman" w:cs="Times New Roman"/>
          <w:sz w:val="28"/>
          <w:szCs w:val="28"/>
          <w:lang w:val="uk-UA"/>
        </w:rPr>
        <w:t xml:space="preserve">W. Nationwide study for epidemiological change of atopic dermatitis in school aged children between 1995 and 2000 and kindergarten </w:t>
      </w:r>
      <w:r w:rsidR="00C82DEF">
        <w:rPr>
          <w:rFonts w:ascii="Times New Roman" w:hAnsi="Times New Roman" w:cs="Times New Roman"/>
          <w:sz w:val="28"/>
          <w:szCs w:val="28"/>
          <w:lang w:val="uk-UA"/>
        </w:rPr>
        <w:t xml:space="preserve">aged children in 2003 in Korea / </w:t>
      </w:r>
      <w:r w:rsidR="00C82DEF" w:rsidRPr="00A87A34">
        <w:rPr>
          <w:rFonts w:ascii="Times New Roman" w:hAnsi="Times New Roman" w:cs="Times New Roman"/>
          <w:sz w:val="28"/>
          <w:szCs w:val="28"/>
          <w:lang w:val="uk-UA"/>
        </w:rPr>
        <w:t>J</w:t>
      </w:r>
      <w:r w:rsidR="00C82DEF">
        <w:rPr>
          <w:rFonts w:ascii="Times New Roman" w:hAnsi="Times New Roman" w:cs="Times New Roman"/>
          <w:sz w:val="28"/>
          <w:szCs w:val="28"/>
        </w:rPr>
        <w:t>.</w:t>
      </w:r>
      <w:r w:rsidR="00C82DEF" w:rsidRPr="00A87A34">
        <w:rPr>
          <w:rFonts w:ascii="Times New Roman" w:hAnsi="Times New Roman" w:cs="Times New Roman"/>
          <w:sz w:val="28"/>
          <w:szCs w:val="28"/>
          <w:lang w:val="uk-UA"/>
        </w:rPr>
        <w:t>W</w:t>
      </w:r>
      <w:r w:rsidR="00C82DEF">
        <w:rPr>
          <w:rFonts w:ascii="Times New Roman" w:hAnsi="Times New Roman" w:cs="Times New Roman"/>
          <w:sz w:val="28"/>
          <w:szCs w:val="28"/>
        </w:rPr>
        <w:t xml:space="preserve">. </w:t>
      </w:r>
      <w:r w:rsidR="00C82DEF" w:rsidRPr="00A87A34">
        <w:rPr>
          <w:rFonts w:ascii="Times New Roman" w:hAnsi="Times New Roman" w:cs="Times New Roman"/>
          <w:sz w:val="28"/>
          <w:szCs w:val="28"/>
          <w:lang w:val="uk-UA"/>
        </w:rPr>
        <w:t xml:space="preserve">Oh, </w:t>
      </w:r>
      <w:r w:rsidR="00C82DEF">
        <w:rPr>
          <w:rFonts w:ascii="Times New Roman" w:hAnsi="Times New Roman" w:cs="Times New Roman"/>
          <w:sz w:val="28"/>
          <w:szCs w:val="28"/>
        </w:rPr>
        <w:t xml:space="preserve">K.E. </w:t>
      </w:r>
      <w:r w:rsidR="00C82DEF">
        <w:rPr>
          <w:rFonts w:ascii="Times New Roman" w:hAnsi="Times New Roman" w:cs="Times New Roman"/>
          <w:sz w:val="28"/>
          <w:szCs w:val="28"/>
          <w:lang w:val="uk-UA"/>
        </w:rPr>
        <w:t>Kim</w:t>
      </w:r>
      <w:r w:rsidR="00C82DEF" w:rsidRPr="00A87A34">
        <w:rPr>
          <w:rFonts w:ascii="Times New Roman" w:hAnsi="Times New Roman" w:cs="Times New Roman"/>
          <w:sz w:val="28"/>
          <w:szCs w:val="28"/>
          <w:lang w:val="uk-UA"/>
        </w:rPr>
        <w:t xml:space="preserve">, </w:t>
      </w:r>
      <w:r w:rsidR="00C82DEF">
        <w:rPr>
          <w:rFonts w:ascii="Times New Roman" w:hAnsi="Times New Roman" w:cs="Times New Roman"/>
          <w:sz w:val="28"/>
          <w:szCs w:val="28"/>
        </w:rPr>
        <w:t xml:space="preserve">B.Y. </w:t>
      </w:r>
      <w:r w:rsidR="00C82DEF">
        <w:rPr>
          <w:rFonts w:ascii="Times New Roman" w:hAnsi="Times New Roman" w:cs="Times New Roman"/>
          <w:sz w:val="28"/>
          <w:szCs w:val="28"/>
          <w:lang w:val="uk-UA"/>
        </w:rPr>
        <w:t>Pyun et al.</w:t>
      </w:r>
      <w:r w:rsidR="00C82DEF" w:rsidRPr="00A87A34">
        <w:rPr>
          <w:rFonts w:ascii="Times New Roman" w:hAnsi="Times New Roman" w:cs="Times New Roman"/>
          <w:sz w:val="28"/>
          <w:szCs w:val="28"/>
          <w:lang w:val="uk-UA"/>
        </w:rPr>
        <w:t xml:space="preserve"> </w:t>
      </w:r>
      <w:r w:rsidR="00C82DEF">
        <w:rPr>
          <w:rFonts w:ascii="Times New Roman" w:hAnsi="Times New Roman" w:cs="Times New Roman"/>
          <w:sz w:val="28"/>
          <w:szCs w:val="28"/>
        </w:rPr>
        <w:t xml:space="preserve">// </w:t>
      </w:r>
      <w:r w:rsidRPr="00A87A34">
        <w:rPr>
          <w:rFonts w:ascii="Times New Roman" w:hAnsi="Times New Roman" w:cs="Times New Roman"/>
          <w:sz w:val="28"/>
          <w:szCs w:val="28"/>
          <w:lang w:val="uk-UA"/>
        </w:rPr>
        <w:t xml:space="preserve">Pediatr Allergy Respir Dis. </w:t>
      </w:r>
      <w:r w:rsidR="00C82DEF">
        <w:rPr>
          <w:rFonts w:ascii="Times New Roman" w:hAnsi="Times New Roman" w:cs="Times New Roman"/>
          <w:sz w:val="28"/>
          <w:szCs w:val="28"/>
        </w:rPr>
        <w:t xml:space="preserve">– </w:t>
      </w:r>
      <w:r w:rsidRPr="00A87A34">
        <w:rPr>
          <w:rFonts w:ascii="Times New Roman" w:hAnsi="Times New Roman" w:cs="Times New Roman"/>
          <w:sz w:val="28"/>
          <w:szCs w:val="28"/>
          <w:lang w:val="uk-UA"/>
        </w:rPr>
        <w:t>2003</w:t>
      </w:r>
      <w:r w:rsidR="00C82DEF">
        <w:rPr>
          <w:rFonts w:ascii="Times New Roman" w:hAnsi="Times New Roman" w:cs="Times New Roman"/>
          <w:sz w:val="28"/>
          <w:szCs w:val="28"/>
        </w:rPr>
        <w:t>. – Vol.</w:t>
      </w:r>
      <w:r w:rsidR="00C82DEF">
        <w:rPr>
          <w:rFonts w:ascii="Times New Roman" w:hAnsi="Times New Roman" w:cs="Times New Roman"/>
          <w:sz w:val="28"/>
          <w:szCs w:val="28"/>
          <w:lang w:val="uk-UA"/>
        </w:rPr>
        <w:t xml:space="preserve">13(4). </w:t>
      </w:r>
      <w:r w:rsidR="00C82DEF">
        <w:rPr>
          <w:rFonts w:ascii="Times New Roman" w:hAnsi="Times New Roman" w:cs="Times New Roman"/>
          <w:sz w:val="28"/>
          <w:szCs w:val="28"/>
        </w:rPr>
        <w:t>– P.</w:t>
      </w:r>
      <w:r w:rsidRPr="00A87A34">
        <w:rPr>
          <w:rFonts w:ascii="Times New Roman" w:hAnsi="Times New Roman" w:cs="Times New Roman"/>
          <w:sz w:val="28"/>
          <w:szCs w:val="28"/>
          <w:lang w:val="uk-UA"/>
        </w:rPr>
        <w:t>227–237</w:t>
      </w:r>
      <w:r w:rsidR="00C82DEF">
        <w:rPr>
          <w:rFonts w:ascii="Times New Roman" w:hAnsi="Times New Roman" w:cs="Times New Roman"/>
          <w:sz w:val="28"/>
          <w:szCs w:val="28"/>
        </w:rPr>
        <w:t>.</w:t>
      </w:r>
    </w:p>
    <w:p w14:paraId="11F2DF91" w14:textId="60B075EF"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Suh M</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Prevalence of allergic diseases among Korean school-age children: a nationwide cros</w:t>
      </w:r>
      <w:r>
        <w:rPr>
          <w:rFonts w:ascii="Times New Roman" w:hAnsi="Times New Roman" w:cs="Times New Roman"/>
          <w:sz w:val="28"/>
          <w:szCs w:val="28"/>
          <w:lang w:val="uk-UA"/>
        </w:rPr>
        <w:t>s-sectional questionnaire study /</w:t>
      </w:r>
      <w:r w:rsidR="002767DC">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Suh</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H.H. </w:t>
      </w:r>
      <w:r>
        <w:rPr>
          <w:rFonts w:ascii="Times New Roman" w:hAnsi="Times New Roman" w:cs="Times New Roman"/>
          <w:sz w:val="28"/>
          <w:szCs w:val="28"/>
          <w:lang w:val="uk-UA"/>
        </w:rPr>
        <w:t>Kim</w:t>
      </w:r>
      <w:r w:rsidR="002767DC"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M.H. </w:t>
      </w:r>
      <w:r>
        <w:rPr>
          <w:rFonts w:ascii="Times New Roman" w:hAnsi="Times New Roman" w:cs="Times New Roman"/>
          <w:sz w:val="28"/>
          <w:szCs w:val="28"/>
          <w:lang w:val="uk-UA"/>
        </w:rPr>
        <w:t>Sohn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J Korean Med Sci.</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26(3)</w:t>
      </w:r>
      <w:r>
        <w:rPr>
          <w:rFonts w:ascii="Times New Roman" w:hAnsi="Times New Roman" w:cs="Times New Roman"/>
          <w:sz w:val="28"/>
          <w:szCs w:val="28"/>
        </w:rPr>
        <w:t>. – P.</w:t>
      </w:r>
      <w:r w:rsidR="002767DC" w:rsidRPr="00A87A34">
        <w:rPr>
          <w:rFonts w:ascii="Times New Roman" w:hAnsi="Times New Roman" w:cs="Times New Roman"/>
          <w:sz w:val="28"/>
          <w:szCs w:val="28"/>
          <w:lang w:val="uk-UA"/>
        </w:rPr>
        <w:t>332-</w:t>
      </w:r>
      <w:r>
        <w:rPr>
          <w:rFonts w:ascii="Times New Roman" w:hAnsi="Times New Roman" w:cs="Times New Roman"/>
          <w:sz w:val="28"/>
          <w:szCs w:val="28"/>
        </w:rPr>
        <w:t>33</w:t>
      </w:r>
      <w:r w:rsidR="002767DC" w:rsidRPr="00A87A34">
        <w:rPr>
          <w:rFonts w:ascii="Times New Roman" w:hAnsi="Times New Roman" w:cs="Times New Roman"/>
          <w:sz w:val="28"/>
          <w:szCs w:val="28"/>
          <w:lang w:val="uk-UA"/>
        </w:rPr>
        <w:t>8.</w:t>
      </w:r>
    </w:p>
    <w:p w14:paraId="2D77798C" w14:textId="17706483" w:rsidR="002767DC" w:rsidRDefault="00C82D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A87A34">
        <w:rPr>
          <w:rFonts w:ascii="Times New Roman" w:hAnsi="Times New Roman" w:cs="Times New Roman"/>
          <w:sz w:val="28"/>
          <w:szCs w:val="28"/>
          <w:lang w:val="uk-UA"/>
        </w:rPr>
        <w:t>Kwon J</w:t>
      </w:r>
      <w:r>
        <w:rPr>
          <w:rFonts w:ascii="Times New Roman" w:hAnsi="Times New Roman" w:cs="Times New Roman"/>
          <w:sz w:val="28"/>
          <w:szCs w:val="28"/>
        </w:rPr>
        <w:t>.</w:t>
      </w:r>
      <w:r w:rsidRPr="00A87A34">
        <w:rPr>
          <w:rFonts w:ascii="Times New Roman" w:hAnsi="Times New Roman" w:cs="Times New Roman"/>
          <w:sz w:val="28"/>
          <w:szCs w:val="28"/>
          <w:lang w:val="uk-UA"/>
        </w:rPr>
        <w:t>W</w:t>
      </w:r>
      <w:r>
        <w:rPr>
          <w:rFonts w:ascii="Times New Roman" w:hAnsi="Times New Roman" w:cs="Times New Roman"/>
          <w:sz w:val="28"/>
          <w:szCs w:val="28"/>
        </w:rPr>
        <w:t>.</w:t>
      </w:r>
      <w:r w:rsidRPr="00A87A34">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Changes in the prevalence of childhood asthma in seoul from 1995 to 2008</w:t>
      </w:r>
      <w:r>
        <w:rPr>
          <w:rFonts w:ascii="Times New Roman" w:hAnsi="Times New Roman" w:cs="Times New Roman"/>
          <w:sz w:val="28"/>
          <w:szCs w:val="28"/>
          <w:lang w:val="uk-UA"/>
        </w:rPr>
        <w:t xml:space="preserve"> and its risk factors /</w:t>
      </w:r>
      <w:r w:rsidRPr="00C82DEF">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J</w:t>
      </w:r>
      <w:r>
        <w:rPr>
          <w:rFonts w:ascii="Times New Roman" w:hAnsi="Times New Roman" w:cs="Times New Roman"/>
          <w:sz w:val="28"/>
          <w:szCs w:val="28"/>
        </w:rPr>
        <w:t>.</w:t>
      </w:r>
      <w:r w:rsidRPr="00A87A34">
        <w:rPr>
          <w:rFonts w:ascii="Times New Roman" w:hAnsi="Times New Roman" w:cs="Times New Roman"/>
          <w:sz w:val="28"/>
          <w:szCs w:val="28"/>
          <w:lang w:val="uk-UA"/>
        </w:rPr>
        <w:t>W</w:t>
      </w:r>
      <w:r>
        <w:rPr>
          <w:rFonts w:ascii="Times New Roman" w:hAnsi="Times New Roman" w:cs="Times New Roman"/>
          <w:sz w:val="28"/>
          <w:szCs w:val="28"/>
        </w:rPr>
        <w:t xml:space="preserve">. </w:t>
      </w:r>
      <w:r w:rsidRPr="00A87A34">
        <w:rPr>
          <w:rFonts w:ascii="Times New Roman" w:hAnsi="Times New Roman" w:cs="Times New Roman"/>
          <w:sz w:val="28"/>
          <w:szCs w:val="28"/>
          <w:lang w:val="uk-UA"/>
        </w:rPr>
        <w:t>Kwon</w:t>
      </w:r>
      <w:r w:rsidR="002767DC" w:rsidRPr="00A87A34">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B</w:t>
      </w:r>
      <w:r>
        <w:rPr>
          <w:rFonts w:ascii="Times New Roman" w:hAnsi="Times New Roman" w:cs="Times New Roman"/>
          <w:sz w:val="28"/>
          <w:szCs w:val="28"/>
        </w:rPr>
        <w:t>.</w:t>
      </w:r>
      <w:r w:rsidRPr="00A87A34">
        <w:rPr>
          <w:rFonts w:ascii="Times New Roman" w:hAnsi="Times New Roman" w:cs="Times New Roman"/>
          <w:sz w:val="28"/>
          <w:szCs w:val="28"/>
          <w:lang w:val="uk-UA"/>
        </w:rPr>
        <w:t>J</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Kim, </w:t>
      </w:r>
      <w:r w:rsidRPr="00A87A34">
        <w:rPr>
          <w:rFonts w:ascii="Times New Roman" w:hAnsi="Times New Roman" w:cs="Times New Roman"/>
          <w:sz w:val="28"/>
          <w:szCs w:val="28"/>
          <w:lang w:val="uk-UA"/>
        </w:rPr>
        <w:t>Y</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Song</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et al. </w:t>
      </w:r>
      <w:r>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J Allergy Asthma Immunol Res.</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 xml:space="preserve"> 2011</w:t>
      </w:r>
      <w:r>
        <w:rPr>
          <w:rFonts w:ascii="Times New Roman" w:hAnsi="Times New Roman" w:cs="Times New Roman"/>
          <w:sz w:val="28"/>
          <w:szCs w:val="28"/>
        </w:rPr>
        <w:t>. – Vol.</w:t>
      </w:r>
      <w:r>
        <w:rPr>
          <w:rFonts w:ascii="Times New Roman" w:hAnsi="Times New Roman" w:cs="Times New Roman"/>
          <w:sz w:val="28"/>
          <w:szCs w:val="28"/>
          <w:lang w:val="uk-UA"/>
        </w:rPr>
        <w:t xml:space="preserve"> 3(1)</w:t>
      </w:r>
      <w:r>
        <w:rPr>
          <w:rFonts w:ascii="Times New Roman" w:hAnsi="Times New Roman" w:cs="Times New Roman"/>
          <w:sz w:val="28"/>
          <w:szCs w:val="28"/>
        </w:rPr>
        <w:t>. – P.</w:t>
      </w:r>
      <w:r w:rsidR="002767DC" w:rsidRPr="00A87A34">
        <w:rPr>
          <w:rFonts w:ascii="Times New Roman" w:hAnsi="Times New Roman" w:cs="Times New Roman"/>
          <w:sz w:val="28"/>
          <w:szCs w:val="28"/>
          <w:lang w:val="uk-UA"/>
        </w:rPr>
        <w:t>27-33.</w:t>
      </w:r>
    </w:p>
    <w:p w14:paraId="5B7EA85B" w14:textId="17EA1416" w:rsidR="002767DC" w:rsidRPr="00A87A34"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Czarnowicki</w:t>
      </w:r>
      <w:r w:rsidR="00B8346C">
        <w:rPr>
          <w:rFonts w:ascii="Times New Roman" w:hAnsi="Times New Roman" w:cs="Times New Roman"/>
          <w:sz w:val="28"/>
          <w:szCs w:val="28"/>
          <w:lang w:val="uk-UA"/>
        </w:rPr>
        <w:t xml:space="preserve"> T</w:t>
      </w:r>
      <w:r w:rsidRPr="00A87A34">
        <w:rPr>
          <w:rFonts w:ascii="Times New Roman" w:hAnsi="Times New Roman" w:cs="Times New Roman"/>
          <w:sz w:val="28"/>
          <w:szCs w:val="28"/>
          <w:lang w:val="uk-UA"/>
        </w:rPr>
        <w:t xml:space="preserve">. Skin barrier and immune dysregulation in atopic dermatitis: an evolving story with </w:t>
      </w:r>
      <w:r w:rsidR="00B8346C">
        <w:rPr>
          <w:rFonts w:ascii="Times New Roman" w:hAnsi="Times New Roman" w:cs="Times New Roman"/>
          <w:sz w:val="28"/>
          <w:szCs w:val="28"/>
          <w:lang w:val="uk-UA"/>
        </w:rPr>
        <w:t xml:space="preserve">important clinical implications / </w:t>
      </w:r>
      <w:r w:rsidR="00B8346C">
        <w:rPr>
          <w:rFonts w:ascii="Times New Roman" w:hAnsi="Times New Roman" w:cs="Times New Roman"/>
          <w:sz w:val="28"/>
          <w:szCs w:val="28"/>
        </w:rPr>
        <w:t xml:space="preserve">T. </w:t>
      </w:r>
      <w:r w:rsidR="00B8346C">
        <w:rPr>
          <w:rFonts w:ascii="Times New Roman" w:hAnsi="Times New Roman" w:cs="Times New Roman"/>
          <w:sz w:val="28"/>
          <w:szCs w:val="28"/>
          <w:lang w:val="uk-UA"/>
        </w:rPr>
        <w:t xml:space="preserve">Czarnowicki, </w:t>
      </w:r>
      <w:r w:rsidR="00B8346C">
        <w:rPr>
          <w:rFonts w:ascii="Times New Roman" w:hAnsi="Times New Roman" w:cs="Times New Roman"/>
          <w:sz w:val="28"/>
          <w:szCs w:val="28"/>
        </w:rPr>
        <w:t xml:space="preserve">J.G. </w:t>
      </w:r>
      <w:r w:rsidR="00B8346C">
        <w:rPr>
          <w:rFonts w:ascii="Times New Roman" w:hAnsi="Times New Roman" w:cs="Times New Roman"/>
          <w:sz w:val="28"/>
          <w:szCs w:val="28"/>
          <w:lang w:val="uk-UA"/>
        </w:rPr>
        <w:t xml:space="preserve">Krueger, </w:t>
      </w:r>
      <w:r w:rsidR="00B8346C">
        <w:rPr>
          <w:rFonts w:ascii="Times New Roman" w:hAnsi="Times New Roman" w:cs="Times New Roman"/>
          <w:sz w:val="28"/>
          <w:szCs w:val="28"/>
        </w:rPr>
        <w:t xml:space="preserve">E. </w:t>
      </w:r>
      <w:r w:rsidR="00B8346C">
        <w:rPr>
          <w:rFonts w:ascii="Times New Roman" w:hAnsi="Times New Roman" w:cs="Times New Roman"/>
          <w:sz w:val="28"/>
          <w:szCs w:val="28"/>
          <w:lang w:val="uk-UA"/>
        </w:rPr>
        <w:t>Guttman-Yassky</w:t>
      </w:r>
      <w:r w:rsidR="00B8346C">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A87A34">
        <w:rPr>
          <w:rFonts w:ascii="Times New Roman" w:hAnsi="Times New Roman" w:cs="Times New Roman"/>
          <w:sz w:val="28"/>
          <w:szCs w:val="28"/>
          <w:lang w:val="uk-UA"/>
        </w:rPr>
        <w:t xml:space="preserve">J Allergy Clin Immunol Pract. </w:t>
      </w:r>
      <w:r w:rsidR="00B8346C">
        <w:rPr>
          <w:rFonts w:ascii="Times New Roman" w:hAnsi="Times New Roman" w:cs="Times New Roman"/>
          <w:sz w:val="28"/>
          <w:szCs w:val="28"/>
        </w:rPr>
        <w:t xml:space="preserve">– </w:t>
      </w:r>
      <w:r w:rsidRPr="00A87A34">
        <w:rPr>
          <w:rFonts w:ascii="Times New Roman" w:hAnsi="Times New Roman" w:cs="Times New Roman"/>
          <w:sz w:val="28"/>
          <w:szCs w:val="28"/>
          <w:lang w:val="uk-UA"/>
        </w:rPr>
        <w:t>2014</w:t>
      </w:r>
      <w:r w:rsidR="00B8346C">
        <w:rPr>
          <w:rFonts w:ascii="Times New Roman" w:hAnsi="Times New Roman" w:cs="Times New Roman"/>
          <w:sz w:val="28"/>
          <w:szCs w:val="28"/>
        </w:rPr>
        <w:t>. –Vol.</w:t>
      </w:r>
      <w:r w:rsidR="00B8346C">
        <w:rPr>
          <w:rFonts w:ascii="Times New Roman" w:hAnsi="Times New Roman" w:cs="Times New Roman"/>
          <w:sz w:val="28"/>
          <w:szCs w:val="28"/>
          <w:lang w:val="uk-UA"/>
        </w:rPr>
        <w:t xml:space="preserve">2(4). </w:t>
      </w:r>
      <w:r w:rsidR="00B8346C">
        <w:rPr>
          <w:rFonts w:ascii="Times New Roman" w:hAnsi="Times New Roman" w:cs="Times New Roman"/>
          <w:sz w:val="28"/>
          <w:szCs w:val="28"/>
        </w:rPr>
        <w:t>– P.</w:t>
      </w:r>
      <w:r w:rsidRPr="00A87A34">
        <w:rPr>
          <w:rFonts w:ascii="Times New Roman" w:hAnsi="Times New Roman" w:cs="Times New Roman"/>
          <w:sz w:val="28"/>
          <w:szCs w:val="28"/>
          <w:lang w:val="uk-UA"/>
        </w:rPr>
        <w:t>371-</w:t>
      </w:r>
      <w:r w:rsidR="00B8346C">
        <w:rPr>
          <w:rFonts w:ascii="Times New Roman" w:hAnsi="Times New Roman" w:cs="Times New Roman"/>
          <w:sz w:val="28"/>
          <w:szCs w:val="28"/>
        </w:rPr>
        <w:t>37</w:t>
      </w:r>
      <w:r w:rsidRPr="00A87A34">
        <w:rPr>
          <w:rFonts w:ascii="Times New Roman" w:hAnsi="Times New Roman" w:cs="Times New Roman"/>
          <w:sz w:val="28"/>
          <w:szCs w:val="28"/>
          <w:lang w:val="uk-UA"/>
        </w:rPr>
        <w:t>9; doi: 10.1016/j.jaip.2014.03.006.</w:t>
      </w:r>
    </w:p>
    <w:p w14:paraId="250D8340" w14:textId="372D18D0" w:rsidR="002767DC" w:rsidRPr="00A87A34"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Czarnowicki T</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Circulating CLA+ T cells in atopic dermatitis and their possibl</w:t>
      </w:r>
      <w:r>
        <w:rPr>
          <w:rFonts w:ascii="Times New Roman" w:hAnsi="Times New Roman" w:cs="Times New Roman"/>
          <w:sz w:val="28"/>
          <w:szCs w:val="28"/>
          <w:lang w:val="uk-UA"/>
        </w:rPr>
        <w:t>e role as peripheral biomarkers / T.</w:t>
      </w:r>
      <w:r>
        <w:rPr>
          <w:rFonts w:ascii="Times New Roman" w:hAnsi="Times New Roman" w:cs="Times New Roman"/>
          <w:sz w:val="28"/>
          <w:szCs w:val="28"/>
        </w:rPr>
        <w:t xml:space="preserve"> </w:t>
      </w:r>
      <w:r>
        <w:rPr>
          <w:rFonts w:ascii="Times New Roman" w:hAnsi="Times New Roman" w:cs="Times New Roman"/>
          <w:sz w:val="28"/>
          <w:szCs w:val="28"/>
          <w:lang w:val="uk-UA"/>
        </w:rPr>
        <w:t>Czarnowicki</w:t>
      </w:r>
      <w:r>
        <w:rPr>
          <w:rFonts w:ascii="Times New Roman" w:hAnsi="Times New Roman" w:cs="Times New Roman"/>
          <w:sz w:val="28"/>
          <w:szCs w:val="28"/>
        </w:rPr>
        <w:t>,</w:t>
      </w:r>
      <w:r>
        <w:rPr>
          <w:rFonts w:ascii="Times New Roman" w:hAnsi="Times New Roman" w:cs="Times New Roman"/>
          <w:sz w:val="28"/>
          <w:szCs w:val="28"/>
          <w:lang w:val="uk-UA"/>
        </w:rPr>
        <w:t xml:space="preserve"> L</w:t>
      </w:r>
      <w:r>
        <w:rPr>
          <w:rFonts w:ascii="Times New Roman" w:hAnsi="Times New Roman" w:cs="Times New Roman"/>
          <w:sz w:val="28"/>
          <w:szCs w:val="28"/>
        </w:rPr>
        <w:t>.</w:t>
      </w:r>
      <w:r>
        <w:rPr>
          <w:rFonts w:ascii="Times New Roman" w:hAnsi="Times New Roman" w:cs="Times New Roman"/>
          <w:sz w:val="28"/>
          <w:szCs w:val="28"/>
          <w:lang w:val="uk-UA"/>
        </w:rPr>
        <w:t>F</w:t>
      </w:r>
      <w:r>
        <w:rPr>
          <w:rFonts w:ascii="Times New Roman" w:hAnsi="Times New Roman" w:cs="Times New Roman"/>
          <w:sz w:val="28"/>
          <w:szCs w:val="28"/>
        </w:rPr>
        <w:t>.</w:t>
      </w:r>
      <w:r>
        <w:rPr>
          <w:rFonts w:ascii="Times New Roman" w:hAnsi="Times New Roman" w:cs="Times New Roman"/>
          <w:sz w:val="28"/>
          <w:szCs w:val="28"/>
          <w:lang w:val="uk-UA"/>
        </w:rPr>
        <w:t xml:space="preserve"> Santamaria-Babí</w:t>
      </w:r>
      <w:r w:rsidRPr="00A87A34">
        <w:rPr>
          <w:rFonts w:ascii="Times New Roman" w:hAnsi="Times New Roman" w:cs="Times New Roman"/>
          <w:sz w:val="28"/>
          <w:szCs w:val="28"/>
          <w:lang w:val="uk-UA"/>
        </w:rPr>
        <w:t xml:space="preserve">, </w:t>
      </w:r>
      <w:r>
        <w:rPr>
          <w:rFonts w:ascii="Times New Roman" w:hAnsi="Times New Roman" w:cs="Times New Roman"/>
          <w:sz w:val="28"/>
          <w:szCs w:val="28"/>
        </w:rPr>
        <w:t xml:space="preserve">E. </w:t>
      </w:r>
      <w:r>
        <w:rPr>
          <w:rFonts w:ascii="Times New Roman" w:hAnsi="Times New Roman" w:cs="Times New Roman"/>
          <w:sz w:val="28"/>
          <w:szCs w:val="28"/>
          <w:lang w:val="uk-UA"/>
        </w:rPr>
        <w:t>Guttman-Yassky</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w:t>
      </w:r>
      <w:r w:rsidR="002767DC" w:rsidRPr="00A87A34">
        <w:rPr>
          <w:rFonts w:ascii="Times New Roman" w:hAnsi="Times New Roman" w:cs="Times New Roman"/>
          <w:sz w:val="28"/>
          <w:szCs w:val="28"/>
          <w:lang w:val="uk-UA"/>
        </w:rPr>
        <w:t xml:space="preserve">Allergy. </w:t>
      </w:r>
      <w:r>
        <w:rPr>
          <w:rFonts w:ascii="Times New Roman" w:hAnsi="Times New Roman" w:cs="Times New Roman"/>
          <w:sz w:val="28"/>
          <w:szCs w:val="28"/>
        </w:rPr>
        <w:t xml:space="preserve">– </w:t>
      </w:r>
      <w:r w:rsidR="002767DC" w:rsidRPr="00A87A34">
        <w:rPr>
          <w:rFonts w:ascii="Times New Roman" w:hAnsi="Times New Roman" w:cs="Times New Roman"/>
          <w:sz w:val="28"/>
          <w:szCs w:val="28"/>
          <w:lang w:val="uk-UA"/>
        </w:rPr>
        <w:t>2017</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72(3). </w:t>
      </w:r>
      <w:r>
        <w:rPr>
          <w:rFonts w:ascii="Times New Roman" w:hAnsi="Times New Roman" w:cs="Times New Roman"/>
          <w:sz w:val="28"/>
          <w:szCs w:val="28"/>
        </w:rPr>
        <w:t>– P.</w:t>
      </w:r>
      <w:r w:rsidR="002767DC" w:rsidRPr="00A87A34">
        <w:rPr>
          <w:rFonts w:ascii="Times New Roman" w:hAnsi="Times New Roman" w:cs="Times New Roman"/>
          <w:sz w:val="28"/>
          <w:szCs w:val="28"/>
          <w:lang w:val="uk-UA"/>
        </w:rPr>
        <w:t>366-372. doi: 10.1111/all.13080. Epub 2016 Dec 15.</w:t>
      </w:r>
    </w:p>
    <w:p w14:paraId="12710013" w14:textId="2DE223C5" w:rsidR="002767DC"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Kubo M</w:t>
      </w:r>
      <w:r w:rsidR="002767DC" w:rsidRPr="008D7EAD">
        <w:rPr>
          <w:rFonts w:ascii="Times New Roman" w:hAnsi="Times New Roman" w:cs="Times New Roman"/>
          <w:sz w:val="28"/>
          <w:szCs w:val="28"/>
          <w:lang w:val="uk-UA"/>
        </w:rPr>
        <w:t>.</w:t>
      </w:r>
      <w:r w:rsidR="002767DC">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Reactive nitrogen species formation in eosinophils and imbalance in nitric oxide metabolism are involved in atopic dermatitis-l</w:t>
      </w:r>
      <w:r>
        <w:rPr>
          <w:rFonts w:ascii="Times New Roman" w:hAnsi="Times New Roman" w:cs="Times New Roman"/>
          <w:sz w:val="28"/>
          <w:szCs w:val="28"/>
          <w:lang w:val="uk-UA"/>
        </w:rPr>
        <w:t>ike skin lesions in NC/Nga mice /</w:t>
      </w:r>
      <w:r>
        <w:rPr>
          <w:rFonts w:ascii="Times New Roman" w:hAnsi="Times New Roman" w:cs="Times New Roman"/>
          <w:sz w:val="28"/>
          <w:szCs w:val="28"/>
        </w:rPr>
        <w:t xml:space="preserve"> </w:t>
      </w:r>
      <w:r>
        <w:rPr>
          <w:rFonts w:ascii="Times New Roman" w:hAnsi="Times New Roman" w:cs="Times New Roman"/>
          <w:sz w:val="28"/>
          <w:szCs w:val="28"/>
          <w:lang w:val="uk-UA"/>
        </w:rPr>
        <w:t>M.</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Kubo, </w:t>
      </w:r>
      <w:r>
        <w:rPr>
          <w:rFonts w:ascii="Times New Roman" w:hAnsi="Times New Roman" w:cs="Times New Roman"/>
          <w:sz w:val="28"/>
          <w:szCs w:val="28"/>
        </w:rPr>
        <w:t xml:space="preserve">Y. </w:t>
      </w:r>
      <w:r>
        <w:rPr>
          <w:rFonts w:ascii="Times New Roman" w:hAnsi="Times New Roman" w:cs="Times New Roman"/>
          <w:sz w:val="28"/>
          <w:szCs w:val="28"/>
          <w:lang w:val="uk-UA"/>
        </w:rPr>
        <w:t>Kambayashi</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Takemoto</w:t>
      </w:r>
      <w:r>
        <w:rPr>
          <w:rFonts w:ascii="Times New Roman" w:hAnsi="Times New Roman" w:cs="Times New Roman"/>
          <w:sz w:val="28"/>
          <w:szCs w:val="28"/>
        </w:rPr>
        <w:t xml:space="preserve"> et al. //</w:t>
      </w:r>
      <w:r>
        <w:rPr>
          <w:rFonts w:ascii="Times New Roman" w:hAnsi="Times New Roman" w:cs="Times New Roman"/>
          <w:sz w:val="28"/>
          <w:szCs w:val="28"/>
          <w:lang w:val="uk-UA"/>
        </w:rPr>
        <w:t xml:space="preserve"> </w:t>
      </w:r>
      <w:r w:rsidR="002767DC" w:rsidRPr="008D7EAD">
        <w:rPr>
          <w:rFonts w:ascii="Times New Roman" w:hAnsi="Times New Roman" w:cs="Times New Roman"/>
          <w:sz w:val="28"/>
          <w:szCs w:val="28"/>
          <w:lang w:val="uk-UA"/>
        </w:rPr>
        <w:t xml:space="preserve">Free Radic Res. </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2005</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39(7). </w:t>
      </w:r>
      <w:r>
        <w:rPr>
          <w:rFonts w:ascii="Times New Roman" w:hAnsi="Times New Roman" w:cs="Times New Roman"/>
          <w:sz w:val="28"/>
          <w:szCs w:val="28"/>
        </w:rPr>
        <w:t>– P.</w:t>
      </w:r>
      <w:r w:rsidR="002767DC" w:rsidRPr="008D7EAD">
        <w:rPr>
          <w:rFonts w:ascii="Times New Roman" w:hAnsi="Times New Roman" w:cs="Times New Roman"/>
          <w:sz w:val="28"/>
          <w:szCs w:val="28"/>
          <w:lang w:val="uk-UA"/>
        </w:rPr>
        <w:t xml:space="preserve">719-27. </w:t>
      </w:r>
    </w:p>
    <w:p w14:paraId="141C99DE" w14:textId="78AF482F" w:rsidR="002767DC"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Esaki H</w:t>
      </w:r>
      <w:r>
        <w:rPr>
          <w:rFonts w:ascii="Times New Roman" w:hAnsi="Times New Roman" w:cs="Times New Roman"/>
          <w:sz w:val="28"/>
          <w:szCs w:val="28"/>
          <w:lang w:val="uk-UA"/>
        </w:rPr>
        <w:t xml:space="preserve">. </w:t>
      </w:r>
      <w:r w:rsidR="002767DC" w:rsidRPr="008D7EAD">
        <w:rPr>
          <w:rFonts w:ascii="Times New Roman" w:hAnsi="Times New Roman" w:cs="Times New Roman"/>
          <w:sz w:val="28"/>
          <w:szCs w:val="28"/>
          <w:lang w:val="uk-UA"/>
        </w:rPr>
        <w:t xml:space="preserve">Early-onset pediatric atopic dermatitis is TH2 </w:t>
      </w:r>
      <w:r>
        <w:rPr>
          <w:rFonts w:ascii="Times New Roman" w:hAnsi="Times New Roman" w:cs="Times New Roman"/>
          <w:sz w:val="28"/>
          <w:szCs w:val="28"/>
          <w:lang w:val="uk-UA"/>
        </w:rPr>
        <w:t>but also TH17 polarized in skin /</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Esaki</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P.M. </w:t>
      </w:r>
      <w:r>
        <w:rPr>
          <w:rFonts w:ascii="Times New Roman" w:hAnsi="Times New Roman" w:cs="Times New Roman"/>
          <w:sz w:val="28"/>
          <w:szCs w:val="28"/>
          <w:lang w:val="uk-UA"/>
        </w:rPr>
        <w:t>Brunner</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Y. </w:t>
      </w:r>
      <w:r w:rsidR="002767DC" w:rsidRPr="008D7EAD">
        <w:rPr>
          <w:rFonts w:ascii="Times New Roman" w:hAnsi="Times New Roman" w:cs="Times New Roman"/>
          <w:sz w:val="28"/>
          <w:szCs w:val="28"/>
          <w:lang w:val="uk-UA"/>
        </w:rPr>
        <w:t>Rene</w:t>
      </w:r>
      <w:r>
        <w:rPr>
          <w:rFonts w:ascii="Times New Roman" w:hAnsi="Times New Roman" w:cs="Times New Roman"/>
          <w:sz w:val="28"/>
          <w:szCs w:val="28"/>
          <w:lang w:val="uk-UA"/>
        </w:rPr>
        <w:t>rt-Yuval //</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J Allergy Clin Immunol.</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 xml:space="preserve"> 2016</w:t>
      </w:r>
      <w:r>
        <w:rPr>
          <w:rFonts w:ascii="Times New Roman" w:hAnsi="Times New Roman" w:cs="Times New Roman"/>
          <w:sz w:val="28"/>
          <w:szCs w:val="28"/>
        </w:rPr>
        <w:t xml:space="preserve">. –Vol. </w:t>
      </w:r>
      <w:r>
        <w:rPr>
          <w:rFonts w:ascii="Times New Roman" w:hAnsi="Times New Roman" w:cs="Times New Roman"/>
          <w:sz w:val="28"/>
          <w:szCs w:val="28"/>
          <w:lang w:val="uk-UA"/>
        </w:rPr>
        <w:t xml:space="preserve">138(6). </w:t>
      </w:r>
      <w:r>
        <w:rPr>
          <w:rFonts w:ascii="Times New Roman" w:hAnsi="Times New Roman" w:cs="Times New Roman"/>
          <w:sz w:val="28"/>
          <w:szCs w:val="28"/>
        </w:rPr>
        <w:t>– P.</w:t>
      </w:r>
      <w:r w:rsidRPr="008D7EAD">
        <w:rPr>
          <w:rFonts w:ascii="Times New Roman" w:hAnsi="Times New Roman" w:cs="Times New Roman"/>
          <w:sz w:val="28"/>
          <w:szCs w:val="28"/>
          <w:lang w:val="uk-UA"/>
        </w:rPr>
        <w:t>1639-1651. doi: 10</w:t>
      </w:r>
      <w:r>
        <w:rPr>
          <w:rFonts w:ascii="Times New Roman" w:hAnsi="Times New Roman" w:cs="Times New Roman"/>
          <w:sz w:val="28"/>
          <w:szCs w:val="28"/>
          <w:lang w:val="uk-UA"/>
        </w:rPr>
        <w:t>.1016/j.jaci.2016.07.013.</w:t>
      </w:r>
    </w:p>
    <w:p w14:paraId="28479FA2" w14:textId="32783A95" w:rsidR="002767DC"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Ozaki</w:t>
      </w:r>
      <w:r>
        <w:rPr>
          <w:rFonts w:ascii="Times New Roman" w:hAnsi="Times New Roman" w:cs="Times New Roman"/>
          <w:sz w:val="28"/>
          <w:szCs w:val="28"/>
        </w:rPr>
        <w:t xml:space="preserve"> J.</w:t>
      </w:r>
      <w:r w:rsidRPr="008D7EAD">
        <w:rPr>
          <w:rFonts w:ascii="Times New Roman" w:hAnsi="Times New Roman" w:cs="Times New Roman"/>
          <w:sz w:val="28"/>
          <w:szCs w:val="28"/>
          <w:lang w:val="uk-UA"/>
        </w:rPr>
        <w:t xml:space="preserve"> Cutting edge: combined treatment of TNF-alpha and IFN-gamma causes redistribution of junctional adhesion mole</w:t>
      </w:r>
      <w:r>
        <w:rPr>
          <w:rFonts w:ascii="Times New Roman" w:hAnsi="Times New Roman" w:cs="Times New Roman"/>
          <w:sz w:val="28"/>
          <w:szCs w:val="28"/>
          <w:lang w:val="uk-UA"/>
        </w:rPr>
        <w:t xml:space="preserve">cule in human endothelial cells / </w:t>
      </w:r>
      <w:r w:rsidR="002767DC" w:rsidRPr="008D7EAD">
        <w:rPr>
          <w:rFonts w:ascii="Times New Roman" w:hAnsi="Times New Roman" w:cs="Times New Roman"/>
          <w:sz w:val="28"/>
          <w:szCs w:val="28"/>
          <w:lang w:val="uk-UA"/>
        </w:rPr>
        <w:t>J</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Ozaki</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Ishii</w:t>
      </w:r>
      <w:r w:rsidR="002767DC"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Horiuchi et al.</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 xml:space="preserve"> Immunol. </w:t>
      </w:r>
      <w:r>
        <w:rPr>
          <w:rFonts w:ascii="Times New Roman" w:hAnsi="Times New Roman" w:cs="Times New Roman"/>
          <w:sz w:val="28"/>
          <w:szCs w:val="28"/>
        </w:rPr>
        <w:t xml:space="preserve">– </w:t>
      </w:r>
      <w:r w:rsidR="002767DC" w:rsidRPr="008D7EAD">
        <w:rPr>
          <w:rFonts w:ascii="Times New Roman" w:hAnsi="Times New Roman" w:cs="Times New Roman"/>
          <w:sz w:val="28"/>
          <w:szCs w:val="28"/>
          <w:lang w:val="uk-UA"/>
        </w:rPr>
        <w:t>1999</w:t>
      </w:r>
      <w:r>
        <w:rPr>
          <w:rFonts w:ascii="Times New Roman" w:hAnsi="Times New Roman" w:cs="Times New Roman"/>
          <w:sz w:val="28"/>
          <w:szCs w:val="28"/>
        </w:rPr>
        <w:t>. – Vol.</w:t>
      </w:r>
      <w:r>
        <w:rPr>
          <w:rFonts w:ascii="Times New Roman" w:hAnsi="Times New Roman" w:cs="Times New Roman"/>
          <w:sz w:val="28"/>
          <w:szCs w:val="28"/>
          <w:lang w:val="uk-UA"/>
        </w:rPr>
        <w:t xml:space="preserve">163(2). </w:t>
      </w:r>
      <w:r>
        <w:rPr>
          <w:rFonts w:ascii="Times New Roman" w:hAnsi="Times New Roman" w:cs="Times New Roman"/>
          <w:sz w:val="28"/>
          <w:szCs w:val="28"/>
        </w:rPr>
        <w:t>– P.</w:t>
      </w:r>
      <w:r w:rsidR="002767DC" w:rsidRPr="008D7EAD">
        <w:rPr>
          <w:rFonts w:ascii="Times New Roman" w:hAnsi="Times New Roman" w:cs="Times New Roman"/>
          <w:sz w:val="28"/>
          <w:szCs w:val="28"/>
          <w:lang w:val="uk-UA"/>
        </w:rPr>
        <w:t>553-</w:t>
      </w:r>
      <w:r>
        <w:rPr>
          <w:rFonts w:ascii="Times New Roman" w:hAnsi="Times New Roman" w:cs="Times New Roman"/>
          <w:sz w:val="28"/>
          <w:szCs w:val="28"/>
        </w:rPr>
        <w:t>55</w:t>
      </w:r>
      <w:r w:rsidR="002767DC" w:rsidRPr="008D7EAD">
        <w:rPr>
          <w:rFonts w:ascii="Times New Roman" w:hAnsi="Times New Roman" w:cs="Times New Roman"/>
          <w:sz w:val="28"/>
          <w:szCs w:val="28"/>
          <w:lang w:val="uk-UA"/>
        </w:rPr>
        <w:t xml:space="preserve">7. </w:t>
      </w:r>
    </w:p>
    <w:p w14:paraId="5EC3D65A" w14:textId="0A0ADE06" w:rsidR="002767DC"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Chauhan A.</w:t>
      </w:r>
      <w:r w:rsidR="002767DC" w:rsidRPr="008D7EAD">
        <w:rPr>
          <w:rFonts w:ascii="Times New Roman" w:hAnsi="Times New Roman" w:cs="Times New Roman"/>
          <w:sz w:val="28"/>
          <w:szCs w:val="28"/>
          <w:lang w:val="uk-UA"/>
        </w:rPr>
        <w:t xml:space="preserve"> Review</w:t>
      </w:r>
      <w:r>
        <w:rPr>
          <w:rFonts w:ascii="Times New Roman" w:hAnsi="Times New Roman" w:cs="Times New Roman"/>
          <w:sz w:val="28"/>
          <w:szCs w:val="28"/>
          <w:lang w:val="uk-UA"/>
        </w:rPr>
        <w:t xml:space="preserve"> of Oxidative stress in autism / </w:t>
      </w:r>
      <w:r w:rsidRPr="008D7EAD">
        <w:rPr>
          <w:rFonts w:ascii="Times New Roman" w:hAnsi="Times New Roman" w:cs="Times New Roman"/>
          <w:sz w:val="28"/>
          <w:szCs w:val="28"/>
          <w:lang w:val="uk-UA"/>
        </w:rPr>
        <w:t>A.</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 xml:space="preserve">Chauhan, </w:t>
      </w:r>
      <w:r>
        <w:rPr>
          <w:rFonts w:ascii="Times New Roman" w:hAnsi="Times New Roman" w:cs="Times New Roman"/>
          <w:sz w:val="28"/>
          <w:szCs w:val="28"/>
        </w:rPr>
        <w:t xml:space="preserve">V. </w:t>
      </w:r>
      <w:r>
        <w:rPr>
          <w:rFonts w:ascii="Times New Roman" w:hAnsi="Times New Roman" w:cs="Times New Roman"/>
          <w:sz w:val="28"/>
          <w:szCs w:val="28"/>
          <w:lang w:val="uk-UA"/>
        </w:rPr>
        <w:t>Chauhan</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Pathophysiology.</w:t>
      </w:r>
      <w:r>
        <w:rPr>
          <w:rFonts w:ascii="Times New Roman" w:hAnsi="Times New Roman" w:cs="Times New Roman"/>
          <w:sz w:val="28"/>
          <w:szCs w:val="28"/>
        </w:rPr>
        <w:t xml:space="preserve"> – 2006. – Vol.</w:t>
      </w:r>
      <w:r>
        <w:rPr>
          <w:rFonts w:ascii="Times New Roman" w:hAnsi="Times New Roman" w:cs="Times New Roman"/>
          <w:sz w:val="28"/>
          <w:szCs w:val="28"/>
          <w:lang w:val="uk-UA"/>
        </w:rPr>
        <w:t xml:space="preserve"> 13.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171–181</w:t>
      </w:r>
      <w:r>
        <w:rPr>
          <w:rFonts w:ascii="Times New Roman" w:hAnsi="Times New Roman" w:cs="Times New Roman"/>
          <w:sz w:val="28"/>
          <w:szCs w:val="28"/>
        </w:rPr>
        <w:t>.</w:t>
      </w:r>
    </w:p>
    <w:p w14:paraId="1A0325FF" w14:textId="5285D20E" w:rsidR="002767DC" w:rsidRDefault="00B8346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Evereklioglu C. </w:t>
      </w:r>
      <w:r w:rsidR="002767DC" w:rsidRPr="008D7EAD">
        <w:rPr>
          <w:rFonts w:ascii="Times New Roman" w:hAnsi="Times New Roman" w:cs="Times New Roman"/>
          <w:sz w:val="28"/>
          <w:szCs w:val="28"/>
          <w:lang w:val="uk-UA"/>
        </w:rPr>
        <w:t xml:space="preserve">Tumour necrosis factor a, lipid peroxidation and NO are increased and associated with decreased free-radical scavenging enzymes in patients </w:t>
      </w:r>
      <w:r>
        <w:rPr>
          <w:rFonts w:ascii="Times New Roman" w:hAnsi="Times New Roman" w:cs="Times New Roman"/>
          <w:sz w:val="28"/>
          <w:szCs w:val="28"/>
          <w:lang w:val="uk-UA"/>
        </w:rPr>
        <w:t xml:space="preserve">with Weill Marchesani syndrome / </w:t>
      </w:r>
      <w:r>
        <w:rPr>
          <w:rFonts w:ascii="Times New Roman" w:hAnsi="Times New Roman" w:cs="Times New Roman"/>
          <w:sz w:val="28"/>
          <w:szCs w:val="28"/>
        </w:rPr>
        <w:t xml:space="preserve">C. </w:t>
      </w:r>
      <w:r w:rsidRPr="008D7EAD">
        <w:rPr>
          <w:rFonts w:ascii="Times New Roman" w:hAnsi="Times New Roman" w:cs="Times New Roman"/>
          <w:sz w:val="28"/>
          <w:szCs w:val="28"/>
          <w:lang w:val="uk-UA"/>
        </w:rPr>
        <w:t>Everek</w:t>
      </w:r>
      <w:r>
        <w:rPr>
          <w:rFonts w:ascii="Times New Roman" w:hAnsi="Times New Roman" w:cs="Times New Roman"/>
          <w:sz w:val="28"/>
          <w:szCs w:val="28"/>
          <w:lang w:val="uk-UA"/>
        </w:rPr>
        <w:t xml:space="preserve">lioglu, </w:t>
      </w:r>
      <w:r>
        <w:rPr>
          <w:rFonts w:ascii="Times New Roman" w:hAnsi="Times New Roman" w:cs="Times New Roman"/>
          <w:sz w:val="28"/>
          <w:szCs w:val="28"/>
        </w:rPr>
        <w:t xml:space="preserve">Y. </w:t>
      </w:r>
      <w:r>
        <w:rPr>
          <w:rFonts w:ascii="Times New Roman" w:hAnsi="Times New Roman" w:cs="Times New Roman"/>
          <w:sz w:val="28"/>
          <w:szCs w:val="28"/>
          <w:lang w:val="uk-UA"/>
        </w:rPr>
        <w:t xml:space="preserve">Turkoz, </w:t>
      </w:r>
      <w:r>
        <w:rPr>
          <w:rFonts w:ascii="Times New Roman" w:hAnsi="Times New Roman" w:cs="Times New Roman"/>
          <w:sz w:val="28"/>
          <w:szCs w:val="28"/>
        </w:rPr>
        <w:t xml:space="preserve">M. </w:t>
      </w:r>
      <w:r>
        <w:rPr>
          <w:rFonts w:ascii="Times New Roman" w:hAnsi="Times New Roman" w:cs="Times New Roman"/>
          <w:sz w:val="28"/>
          <w:szCs w:val="28"/>
          <w:lang w:val="uk-UA"/>
        </w:rPr>
        <w:t xml:space="preserve">Calis </w:t>
      </w:r>
      <w:r>
        <w:rPr>
          <w:rFonts w:ascii="Times New Roman" w:hAnsi="Times New Roman" w:cs="Times New Roman"/>
          <w:sz w:val="28"/>
          <w:szCs w:val="28"/>
        </w:rPr>
        <w:t xml:space="preserve">// </w:t>
      </w:r>
      <w:r>
        <w:rPr>
          <w:rFonts w:ascii="Times New Roman" w:hAnsi="Times New Roman" w:cs="Times New Roman"/>
          <w:sz w:val="28"/>
          <w:szCs w:val="28"/>
          <w:lang w:val="uk-UA"/>
        </w:rPr>
        <w:t>Mediators of Inflammation.</w:t>
      </w:r>
      <w:r>
        <w:rPr>
          <w:rFonts w:ascii="Times New Roman" w:hAnsi="Times New Roman" w:cs="Times New Roman"/>
          <w:sz w:val="28"/>
          <w:szCs w:val="28"/>
        </w:rPr>
        <w:t xml:space="preserve"> – 2004. – Vol.</w:t>
      </w:r>
      <w:r>
        <w:rPr>
          <w:rFonts w:ascii="Times New Roman" w:hAnsi="Times New Roman" w:cs="Times New Roman"/>
          <w:sz w:val="28"/>
          <w:szCs w:val="28"/>
          <w:lang w:val="uk-UA"/>
        </w:rPr>
        <w:t xml:space="preserve"> 13(3).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165–170</w:t>
      </w:r>
      <w:r>
        <w:rPr>
          <w:rFonts w:ascii="Times New Roman" w:hAnsi="Times New Roman" w:cs="Times New Roman"/>
          <w:sz w:val="28"/>
          <w:szCs w:val="28"/>
        </w:rPr>
        <w:t>.</w:t>
      </w:r>
    </w:p>
    <w:p w14:paraId="05D55F50" w14:textId="40AB0DD0"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Sogut</w:t>
      </w:r>
      <w:r w:rsidR="002767DC" w:rsidRPr="008D7EAD">
        <w:rPr>
          <w:rFonts w:ascii="Times New Roman" w:hAnsi="Times New Roman" w:cs="Times New Roman"/>
          <w:sz w:val="28"/>
          <w:szCs w:val="28"/>
          <w:lang w:val="uk-UA"/>
        </w:rPr>
        <w:t xml:space="preserve"> S</w:t>
      </w:r>
      <w:r>
        <w:rPr>
          <w:rFonts w:ascii="Times New Roman" w:hAnsi="Times New Roman" w:cs="Times New Roman"/>
          <w:sz w:val="28"/>
          <w:szCs w:val="28"/>
        </w:rPr>
        <w:t>.</w:t>
      </w:r>
      <w:r w:rsidR="002767DC" w:rsidRPr="008D7EAD">
        <w:rPr>
          <w:rFonts w:ascii="Times New Roman" w:hAnsi="Times New Roman" w:cs="Times New Roman"/>
          <w:sz w:val="28"/>
          <w:szCs w:val="28"/>
          <w:lang w:val="uk-UA"/>
        </w:rPr>
        <w:t xml:space="preserve"> Changes in nitric oxide levels and antioxidant enzyme activities may have a role in the pathophysiologica</w:t>
      </w:r>
      <w:r>
        <w:rPr>
          <w:rFonts w:ascii="Times New Roman" w:hAnsi="Times New Roman" w:cs="Times New Roman"/>
          <w:sz w:val="28"/>
          <w:szCs w:val="28"/>
          <w:lang w:val="uk-UA"/>
        </w:rPr>
        <w:t xml:space="preserve">l mechanisms involved in autism </w:t>
      </w:r>
      <w:r>
        <w:rPr>
          <w:rFonts w:ascii="Times New Roman" w:hAnsi="Times New Roman" w:cs="Times New Roman"/>
          <w:sz w:val="28"/>
          <w:szCs w:val="28"/>
        </w:rPr>
        <w:t xml:space="preserve">/ S. </w:t>
      </w:r>
      <w:r>
        <w:rPr>
          <w:rFonts w:ascii="Times New Roman" w:hAnsi="Times New Roman" w:cs="Times New Roman"/>
          <w:sz w:val="28"/>
          <w:szCs w:val="28"/>
          <w:lang w:val="uk-UA"/>
        </w:rPr>
        <w:t>Sogut</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S. </w:t>
      </w:r>
      <w:r>
        <w:rPr>
          <w:rFonts w:ascii="Times New Roman" w:hAnsi="Times New Roman" w:cs="Times New Roman"/>
          <w:sz w:val="28"/>
          <w:szCs w:val="28"/>
          <w:lang w:val="uk-UA"/>
        </w:rPr>
        <w:t>Zoroglub</w:t>
      </w:r>
      <w:r w:rsidRPr="008D7EAD">
        <w:rPr>
          <w:rFonts w:ascii="Times New Roman" w:hAnsi="Times New Roman" w:cs="Times New Roman"/>
          <w:sz w:val="28"/>
          <w:szCs w:val="28"/>
          <w:lang w:val="uk-UA"/>
        </w:rPr>
        <w:t xml:space="preserve">, </w:t>
      </w:r>
      <w:r>
        <w:rPr>
          <w:rFonts w:ascii="Times New Roman" w:hAnsi="Times New Roman" w:cs="Times New Roman"/>
          <w:sz w:val="28"/>
          <w:szCs w:val="28"/>
        </w:rPr>
        <w:t xml:space="preserve">H. </w:t>
      </w:r>
      <w:r>
        <w:rPr>
          <w:rFonts w:ascii="Times New Roman" w:hAnsi="Times New Roman" w:cs="Times New Roman"/>
          <w:sz w:val="28"/>
          <w:szCs w:val="28"/>
          <w:lang w:val="uk-UA"/>
        </w:rPr>
        <w:t>Zyurtc</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Clinica Chimica Acta.</w:t>
      </w:r>
      <w:r>
        <w:rPr>
          <w:rFonts w:ascii="Times New Roman" w:hAnsi="Times New Roman" w:cs="Times New Roman"/>
          <w:sz w:val="28"/>
          <w:szCs w:val="28"/>
        </w:rPr>
        <w:t xml:space="preserve"> – 2003. – Vol.</w:t>
      </w:r>
      <w:r>
        <w:rPr>
          <w:rFonts w:ascii="Times New Roman" w:hAnsi="Times New Roman" w:cs="Times New Roman"/>
          <w:sz w:val="28"/>
          <w:szCs w:val="28"/>
          <w:lang w:val="uk-UA"/>
        </w:rPr>
        <w:t xml:space="preserve"> 331.</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111–117</w:t>
      </w:r>
      <w:r>
        <w:rPr>
          <w:rFonts w:ascii="Times New Roman" w:hAnsi="Times New Roman" w:cs="Times New Roman"/>
          <w:sz w:val="28"/>
          <w:szCs w:val="28"/>
        </w:rPr>
        <w:t>.</w:t>
      </w:r>
    </w:p>
    <w:p w14:paraId="65B631F6" w14:textId="00943BA2"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Swamy M. </w:t>
      </w:r>
      <w:r w:rsidR="002767DC" w:rsidRPr="008D7EAD">
        <w:rPr>
          <w:rFonts w:ascii="Times New Roman" w:hAnsi="Times New Roman" w:cs="Times New Roman"/>
          <w:sz w:val="28"/>
          <w:szCs w:val="28"/>
          <w:lang w:val="uk-UA"/>
        </w:rPr>
        <w:t>Nitric oxide (NO), citrulline - no cycle enzymes, glutamine synthetase and oxidative stress in anoxia (hypobaric hypoxia</w:t>
      </w:r>
      <w:r>
        <w:rPr>
          <w:rFonts w:ascii="Times New Roman" w:hAnsi="Times New Roman" w:cs="Times New Roman"/>
          <w:sz w:val="28"/>
          <w:szCs w:val="28"/>
          <w:lang w:val="uk-UA"/>
        </w:rPr>
        <w:t xml:space="preserve">) and reperfusion in rat brain / </w:t>
      </w:r>
      <w:r w:rsidRPr="008D7EAD">
        <w:rPr>
          <w:rFonts w:ascii="Times New Roman" w:hAnsi="Times New Roman" w:cs="Times New Roman"/>
          <w:sz w:val="28"/>
          <w:szCs w:val="28"/>
          <w:lang w:val="uk-UA"/>
        </w:rPr>
        <w:t>M.</w:t>
      </w:r>
      <w:r>
        <w:rPr>
          <w:rFonts w:ascii="Times New Roman" w:hAnsi="Times New Roman" w:cs="Times New Roman"/>
          <w:sz w:val="28"/>
          <w:szCs w:val="28"/>
        </w:rPr>
        <w:t xml:space="preserve"> </w:t>
      </w:r>
      <w:r w:rsidRPr="008D7EAD">
        <w:rPr>
          <w:rFonts w:ascii="Times New Roman" w:hAnsi="Times New Roman" w:cs="Times New Roman"/>
          <w:sz w:val="28"/>
          <w:szCs w:val="28"/>
          <w:lang w:val="uk-UA"/>
        </w:rPr>
        <w:t>Swamy,</w:t>
      </w:r>
      <w:r>
        <w:rPr>
          <w:rFonts w:ascii="Times New Roman" w:hAnsi="Times New Roman" w:cs="Times New Roman"/>
          <w:sz w:val="28"/>
          <w:szCs w:val="28"/>
          <w:lang w:val="uk-UA"/>
        </w:rPr>
        <w:t xml:space="preserve"> M. J.</w:t>
      </w:r>
      <w:r>
        <w:rPr>
          <w:rFonts w:ascii="Times New Roman" w:hAnsi="Times New Roman" w:cs="Times New Roman"/>
          <w:sz w:val="28"/>
          <w:szCs w:val="28"/>
        </w:rPr>
        <w:t xml:space="preserve"> </w:t>
      </w:r>
      <w:r>
        <w:rPr>
          <w:rFonts w:ascii="Times New Roman" w:hAnsi="Times New Roman" w:cs="Times New Roman"/>
          <w:sz w:val="28"/>
          <w:szCs w:val="28"/>
          <w:lang w:val="uk-UA"/>
        </w:rPr>
        <w:t>Salleh, K. 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Sirajudeen </w:t>
      </w:r>
      <w:r>
        <w:rPr>
          <w:rFonts w:ascii="Times New Roman" w:hAnsi="Times New Roman" w:cs="Times New Roman"/>
          <w:sz w:val="28"/>
          <w:szCs w:val="28"/>
        </w:rPr>
        <w:t xml:space="preserve">// </w:t>
      </w:r>
      <w:r>
        <w:rPr>
          <w:rFonts w:ascii="Times New Roman" w:hAnsi="Times New Roman" w:cs="Times New Roman"/>
          <w:sz w:val="28"/>
          <w:szCs w:val="28"/>
          <w:lang w:val="uk-UA"/>
        </w:rPr>
        <w:t>Int. J. Med. Sci.</w:t>
      </w:r>
      <w:r>
        <w:rPr>
          <w:rFonts w:ascii="Times New Roman" w:hAnsi="Times New Roman" w:cs="Times New Roman"/>
          <w:sz w:val="28"/>
          <w:szCs w:val="28"/>
        </w:rPr>
        <w:t xml:space="preserve"> – 2010. – Vol.</w:t>
      </w:r>
      <w:r>
        <w:rPr>
          <w:rFonts w:ascii="Times New Roman" w:hAnsi="Times New Roman" w:cs="Times New Roman"/>
          <w:sz w:val="28"/>
          <w:szCs w:val="28"/>
          <w:lang w:val="uk-UA"/>
        </w:rPr>
        <w:t xml:space="preserve"> 7(3).</w:t>
      </w:r>
      <w:r>
        <w:rPr>
          <w:rFonts w:ascii="Times New Roman" w:hAnsi="Times New Roman" w:cs="Times New Roman"/>
          <w:sz w:val="28"/>
          <w:szCs w:val="28"/>
        </w:rPr>
        <w:t xml:space="preserve"> – P.</w:t>
      </w:r>
      <w:r w:rsidR="002767DC" w:rsidRPr="008D7EAD">
        <w:rPr>
          <w:rFonts w:ascii="Times New Roman" w:hAnsi="Times New Roman" w:cs="Times New Roman"/>
          <w:sz w:val="28"/>
          <w:szCs w:val="28"/>
          <w:lang w:val="uk-UA"/>
        </w:rPr>
        <w:t xml:space="preserve"> 147–154</w:t>
      </w:r>
      <w:r>
        <w:rPr>
          <w:rFonts w:ascii="Times New Roman" w:hAnsi="Times New Roman" w:cs="Times New Roman"/>
          <w:sz w:val="28"/>
          <w:szCs w:val="28"/>
        </w:rPr>
        <w:t>.</w:t>
      </w:r>
    </w:p>
    <w:p w14:paraId="19A7A986" w14:textId="1A016BB2"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Tuszkiewicz - Misztal E., Opoka - Winiarska V., Postêpski J. (2000) Significance of dietary antioxidants for chil</w:t>
      </w:r>
      <w:r w:rsidR="00D76E20">
        <w:rPr>
          <w:rFonts w:ascii="Times New Roman" w:hAnsi="Times New Roman" w:cs="Times New Roman"/>
          <w:sz w:val="28"/>
          <w:szCs w:val="28"/>
          <w:lang w:val="uk-UA"/>
        </w:rPr>
        <w:t xml:space="preserve">d proper development and health </w:t>
      </w:r>
      <w:r w:rsidR="00D76E20" w:rsidRPr="00D76E20">
        <w:rPr>
          <w:rFonts w:ascii="Times New Roman" w:hAnsi="Times New Roman" w:cs="Times New Roman"/>
          <w:sz w:val="28"/>
          <w:szCs w:val="28"/>
          <w:lang w:val="uk-UA"/>
        </w:rPr>
        <w:t xml:space="preserve">/ </w:t>
      </w:r>
      <w:r w:rsidR="00D76E20" w:rsidRPr="008D7EAD">
        <w:rPr>
          <w:rFonts w:ascii="Times New Roman" w:hAnsi="Times New Roman" w:cs="Times New Roman"/>
          <w:sz w:val="28"/>
          <w:szCs w:val="28"/>
          <w:lang w:val="uk-UA"/>
        </w:rPr>
        <w:t>E.</w:t>
      </w:r>
      <w:r w:rsidR="00D76E20">
        <w:rPr>
          <w:rFonts w:ascii="Times New Roman" w:hAnsi="Times New Roman" w:cs="Times New Roman"/>
          <w:sz w:val="28"/>
          <w:szCs w:val="28"/>
        </w:rPr>
        <w:t xml:space="preserve"> </w:t>
      </w:r>
      <w:r w:rsidR="00D76E20" w:rsidRPr="008D7EAD">
        <w:rPr>
          <w:rFonts w:ascii="Times New Roman" w:hAnsi="Times New Roman" w:cs="Times New Roman"/>
          <w:sz w:val="28"/>
          <w:szCs w:val="28"/>
          <w:lang w:val="uk-UA"/>
        </w:rPr>
        <w:t>Tuszkiewicz - Misztal, V.</w:t>
      </w:r>
      <w:r w:rsidR="00D76E20">
        <w:rPr>
          <w:rFonts w:ascii="Times New Roman" w:hAnsi="Times New Roman" w:cs="Times New Roman"/>
          <w:sz w:val="28"/>
          <w:szCs w:val="28"/>
        </w:rPr>
        <w:t xml:space="preserve"> </w:t>
      </w:r>
      <w:r w:rsidR="00D76E20" w:rsidRPr="008D7EAD">
        <w:rPr>
          <w:rFonts w:ascii="Times New Roman" w:hAnsi="Times New Roman" w:cs="Times New Roman"/>
          <w:sz w:val="28"/>
          <w:szCs w:val="28"/>
          <w:lang w:val="uk-UA"/>
        </w:rPr>
        <w:t xml:space="preserve">Opoka - Winiarska, </w:t>
      </w:r>
      <w:r w:rsidR="00D76E20">
        <w:rPr>
          <w:rFonts w:ascii="Times New Roman" w:hAnsi="Times New Roman" w:cs="Times New Roman"/>
          <w:sz w:val="28"/>
          <w:szCs w:val="28"/>
        </w:rPr>
        <w:t xml:space="preserve">J. </w:t>
      </w:r>
      <w:r w:rsidR="00D76E20">
        <w:rPr>
          <w:rFonts w:ascii="Times New Roman" w:hAnsi="Times New Roman" w:cs="Times New Roman"/>
          <w:sz w:val="28"/>
          <w:szCs w:val="28"/>
          <w:lang w:val="uk-UA"/>
        </w:rPr>
        <w:t>Postêpski</w:t>
      </w:r>
      <w:r w:rsidR="00D76E20" w:rsidRPr="008D7EAD">
        <w:rPr>
          <w:rFonts w:ascii="Times New Roman" w:hAnsi="Times New Roman" w:cs="Times New Roman"/>
          <w:sz w:val="28"/>
          <w:szCs w:val="28"/>
          <w:lang w:val="uk-UA"/>
        </w:rPr>
        <w:t xml:space="preserve"> </w:t>
      </w:r>
      <w:r w:rsidR="00D76E20" w:rsidRPr="00D76E20">
        <w:rPr>
          <w:rFonts w:ascii="Times New Roman" w:hAnsi="Times New Roman" w:cs="Times New Roman"/>
          <w:sz w:val="28"/>
          <w:szCs w:val="28"/>
          <w:lang w:val="uk-UA"/>
        </w:rPr>
        <w:t>//</w:t>
      </w:r>
      <w:r w:rsidR="00D76E20">
        <w:rPr>
          <w:rFonts w:ascii="Times New Roman" w:hAnsi="Times New Roman" w:cs="Times New Roman"/>
          <w:sz w:val="28"/>
          <w:szCs w:val="28"/>
          <w:lang w:val="uk-UA"/>
        </w:rPr>
        <w:t xml:space="preserve"> Pediatr Pol. </w:t>
      </w:r>
      <w:r w:rsidR="00D76E20">
        <w:rPr>
          <w:rFonts w:ascii="Times New Roman" w:hAnsi="Times New Roman" w:cs="Times New Roman"/>
          <w:sz w:val="28"/>
          <w:szCs w:val="28"/>
        </w:rPr>
        <w:t>– 2000. – Vol.</w:t>
      </w:r>
      <w:r w:rsidR="00D76E20">
        <w:rPr>
          <w:rFonts w:ascii="Times New Roman" w:hAnsi="Times New Roman" w:cs="Times New Roman"/>
          <w:sz w:val="28"/>
          <w:szCs w:val="28"/>
          <w:lang w:val="uk-UA"/>
        </w:rPr>
        <w:t xml:space="preserve">75. </w:t>
      </w:r>
      <w:r w:rsidR="00D76E20">
        <w:rPr>
          <w:rFonts w:ascii="Times New Roman" w:hAnsi="Times New Roman" w:cs="Times New Roman"/>
          <w:sz w:val="28"/>
          <w:szCs w:val="28"/>
        </w:rPr>
        <w:t>– P.</w:t>
      </w:r>
      <w:r w:rsidRPr="008D7EAD">
        <w:rPr>
          <w:rFonts w:ascii="Times New Roman" w:hAnsi="Times New Roman" w:cs="Times New Roman"/>
          <w:sz w:val="28"/>
          <w:szCs w:val="28"/>
          <w:lang w:val="uk-UA"/>
        </w:rPr>
        <w:t>359–366</w:t>
      </w:r>
      <w:r w:rsidR="00D76E20">
        <w:rPr>
          <w:rFonts w:ascii="Times New Roman" w:hAnsi="Times New Roman" w:cs="Times New Roman"/>
          <w:sz w:val="28"/>
          <w:szCs w:val="28"/>
        </w:rPr>
        <w:t>.</w:t>
      </w:r>
    </w:p>
    <w:p w14:paraId="501F3685" w14:textId="77777777" w:rsidR="002767DC" w:rsidRPr="008D7EAD"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Коркушко О.В. Эндотелиальная дисфункция. Клинические аспекты, проблемы /</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О.В. Коркушко, В.Ю. Лишневская // Кровообіг та гемостаз. – 2003. – № 2. – С. 4–15.</w:t>
      </w:r>
    </w:p>
    <w:p w14:paraId="587B7909" w14:textId="77777777" w:rsidR="002767DC" w:rsidRPr="008D7EAD"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Малая Л.Т. Эндотелиальная дисфункция при патологии сердечно-сосудистой</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системы / Л.Т. Малая, А.Н. Корж. – Х: Торсинг, 2000. – 432 с.</w:t>
      </w:r>
    </w:p>
    <w:p w14:paraId="13DF3D9E"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D7EAD">
        <w:rPr>
          <w:rFonts w:ascii="Times New Roman" w:hAnsi="Times New Roman" w:cs="Times New Roman"/>
          <w:sz w:val="28"/>
          <w:szCs w:val="28"/>
          <w:lang w:val="uk-UA"/>
        </w:rPr>
        <w:t>Мащенко И.С. Пути формирования вторичного иммунодефицитног</w:t>
      </w:r>
      <w:r>
        <w:rPr>
          <w:rFonts w:ascii="Times New Roman" w:hAnsi="Times New Roman" w:cs="Times New Roman"/>
          <w:sz w:val="28"/>
          <w:szCs w:val="28"/>
          <w:lang w:val="uk-UA"/>
        </w:rPr>
        <w:t>о состоя</w:t>
      </w:r>
      <w:r w:rsidRPr="008D7EAD">
        <w:rPr>
          <w:rFonts w:ascii="Times New Roman" w:hAnsi="Times New Roman" w:cs="Times New Roman"/>
          <w:sz w:val="28"/>
          <w:szCs w:val="28"/>
          <w:lang w:val="uk-UA"/>
        </w:rPr>
        <w:t>ния у больных генерализованным пародонтитом / И.С. Мащенко, А.В. Самойленко //</w:t>
      </w:r>
      <w:r>
        <w:rPr>
          <w:rFonts w:ascii="Times New Roman" w:hAnsi="Times New Roman" w:cs="Times New Roman"/>
          <w:sz w:val="28"/>
          <w:szCs w:val="28"/>
          <w:lang w:val="uk-UA"/>
        </w:rPr>
        <w:t xml:space="preserve"> </w:t>
      </w:r>
      <w:r w:rsidRPr="008D7EAD">
        <w:rPr>
          <w:rFonts w:ascii="Times New Roman" w:hAnsi="Times New Roman" w:cs="Times New Roman"/>
          <w:sz w:val="28"/>
          <w:szCs w:val="28"/>
          <w:lang w:val="uk-UA"/>
        </w:rPr>
        <w:t>Современная стоматология. – 2002. – № 1. – с. 8–12.</w:t>
      </w:r>
    </w:p>
    <w:p w14:paraId="764B86B9" w14:textId="325755EF"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0D77F3">
        <w:rPr>
          <w:rFonts w:ascii="Times New Roman" w:hAnsi="Times New Roman" w:cs="Times New Roman"/>
          <w:sz w:val="28"/>
          <w:szCs w:val="28"/>
          <w:lang w:val="uk-UA"/>
        </w:rPr>
        <w:t>алаева Т.В. Механизм взаимодействия клеток крови и сосудистой стенки в реализации воспалительного и иммунного ответов</w:t>
      </w:r>
      <w:r w:rsidR="00D76E20" w:rsidRPr="00D76E20">
        <w:rPr>
          <w:rFonts w:ascii="Times New Roman" w:hAnsi="Times New Roman" w:cs="Times New Roman"/>
          <w:sz w:val="28"/>
          <w:szCs w:val="28"/>
          <w:lang w:val="ru-RU"/>
        </w:rPr>
        <w:t xml:space="preserve"> / </w:t>
      </w:r>
      <w:r w:rsidR="00D76E20">
        <w:rPr>
          <w:rFonts w:ascii="Times New Roman" w:hAnsi="Times New Roman" w:cs="Times New Roman"/>
          <w:sz w:val="28"/>
          <w:szCs w:val="28"/>
          <w:lang w:val="uk-UA"/>
        </w:rPr>
        <w:t>Т.В. Талаева</w:t>
      </w:r>
      <w:r w:rsidRPr="000D77F3">
        <w:rPr>
          <w:rFonts w:ascii="Times New Roman" w:hAnsi="Times New Roman" w:cs="Times New Roman"/>
          <w:sz w:val="28"/>
          <w:szCs w:val="28"/>
          <w:lang w:val="uk-UA"/>
        </w:rPr>
        <w:t xml:space="preserve"> // Український ревматологічний журнал. – 2001. </w:t>
      </w:r>
      <w:r w:rsidR="00D76E20" w:rsidRPr="000D77F3">
        <w:rPr>
          <w:rFonts w:ascii="Times New Roman" w:hAnsi="Times New Roman" w:cs="Times New Roman"/>
          <w:sz w:val="28"/>
          <w:szCs w:val="28"/>
          <w:lang w:val="uk-UA"/>
        </w:rPr>
        <w:t>–</w:t>
      </w:r>
      <w:r w:rsidRPr="000D77F3">
        <w:rPr>
          <w:rFonts w:ascii="Times New Roman" w:hAnsi="Times New Roman" w:cs="Times New Roman"/>
          <w:sz w:val="28"/>
          <w:szCs w:val="28"/>
          <w:lang w:val="uk-UA"/>
        </w:rPr>
        <w:t xml:space="preserve"> № 3-4 (5-6). – С. 45-52</w:t>
      </w:r>
      <w:r w:rsidR="00D76E20">
        <w:rPr>
          <w:rFonts w:ascii="Times New Roman" w:hAnsi="Times New Roman" w:cs="Times New Roman"/>
          <w:sz w:val="28"/>
          <w:szCs w:val="28"/>
          <w:lang w:val="uk-UA"/>
        </w:rPr>
        <w:t>.</w:t>
      </w:r>
    </w:p>
    <w:p w14:paraId="4A7C6D7A" w14:textId="77777777" w:rsidR="002767DC" w:rsidRPr="000D77F3"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Акопова О.В. Влияние доноров NO на аккумуляцию Са2+ в митохондриях миокарда и печени крыс / О.В. Акопова, В.Ф. Сагач // Укр. біохім. журн. –. 2005. – Т. 77, № 2. – С. 82-87.</w:t>
      </w:r>
    </w:p>
    <w:p w14:paraId="2280CE58" w14:textId="77777777" w:rsidR="002767DC" w:rsidRPr="000D77F3"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Batista AC</w:t>
      </w:r>
      <w:r>
        <w:rPr>
          <w:rFonts w:ascii="Times New Roman" w:hAnsi="Times New Roman" w:cs="Times New Roman"/>
          <w:sz w:val="28"/>
          <w:szCs w:val="28"/>
        </w:rPr>
        <w:t>.</w:t>
      </w:r>
      <w:r w:rsidRPr="000D77F3">
        <w:rPr>
          <w:rFonts w:ascii="Times New Roman" w:hAnsi="Times New Roman" w:cs="Times New Roman"/>
          <w:sz w:val="28"/>
          <w:szCs w:val="28"/>
          <w:lang w:val="uk-UA"/>
        </w:rPr>
        <w:t xml:space="preserve"> Nitric oxide synthesis and severi</w:t>
      </w:r>
      <w:r>
        <w:rPr>
          <w:rFonts w:ascii="Times New Roman" w:hAnsi="Times New Roman" w:cs="Times New Roman"/>
          <w:sz w:val="28"/>
          <w:szCs w:val="28"/>
          <w:lang w:val="uk-UA"/>
        </w:rPr>
        <w:t xml:space="preserve">ty of human periodontal disease / </w:t>
      </w:r>
      <w:r w:rsidRPr="000D77F3">
        <w:rPr>
          <w:rFonts w:ascii="Times New Roman" w:hAnsi="Times New Roman" w:cs="Times New Roman"/>
          <w:sz w:val="28"/>
          <w:szCs w:val="28"/>
          <w:lang w:val="uk-UA"/>
        </w:rPr>
        <w:t>Batista AC1, Silva TA, Chun JH, Lara VS.</w:t>
      </w:r>
      <w:r>
        <w:rPr>
          <w:rFonts w:ascii="Times New Roman" w:hAnsi="Times New Roman" w:cs="Times New Roman"/>
          <w:sz w:val="28"/>
          <w:szCs w:val="28"/>
        </w:rPr>
        <w:t xml:space="preserve"> </w:t>
      </w:r>
      <w:r w:rsidRPr="000D77F3">
        <w:rPr>
          <w:rFonts w:ascii="Times New Roman" w:hAnsi="Times New Roman" w:cs="Times New Roman"/>
          <w:sz w:val="28"/>
          <w:szCs w:val="28"/>
          <w:lang w:val="uk-UA"/>
        </w:rPr>
        <w:t>Oral Dis. 2002 Sep;8(5):254-60.</w:t>
      </w:r>
    </w:p>
    <w:p w14:paraId="4278C476"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D77F3">
        <w:rPr>
          <w:rFonts w:ascii="Times New Roman" w:hAnsi="Times New Roman" w:cs="Times New Roman"/>
          <w:sz w:val="28"/>
          <w:szCs w:val="28"/>
          <w:lang w:val="uk-UA"/>
        </w:rPr>
        <w:t>Lappin DF</w:t>
      </w:r>
      <w:r>
        <w:rPr>
          <w:rFonts w:ascii="Times New Roman" w:hAnsi="Times New Roman" w:cs="Times New Roman"/>
          <w:sz w:val="28"/>
          <w:szCs w:val="28"/>
        </w:rPr>
        <w:t>.</w:t>
      </w:r>
      <w:r w:rsidRPr="000D77F3">
        <w:rPr>
          <w:rFonts w:ascii="Times New Roman" w:hAnsi="Times New Roman" w:cs="Times New Roman"/>
          <w:sz w:val="28"/>
          <w:szCs w:val="28"/>
          <w:lang w:val="uk-UA"/>
        </w:rPr>
        <w:t xml:space="preserve"> Inducible nitric oxide synthase expression in periodontitis.</w:t>
      </w:r>
      <w:r>
        <w:rPr>
          <w:rFonts w:ascii="Times New Roman" w:hAnsi="Times New Roman" w:cs="Times New Roman"/>
          <w:sz w:val="28"/>
          <w:szCs w:val="28"/>
        </w:rPr>
        <w:t xml:space="preserve"> </w:t>
      </w:r>
      <w:r w:rsidRPr="000D77F3">
        <w:rPr>
          <w:rFonts w:ascii="Times New Roman" w:hAnsi="Times New Roman" w:cs="Times New Roman"/>
          <w:sz w:val="28"/>
          <w:szCs w:val="28"/>
          <w:lang w:val="uk-UA"/>
        </w:rPr>
        <w:t>Lappin DF, et al. J Periodontal Res. 2000 Dec;35(6):369-73.</w:t>
      </w:r>
    </w:p>
    <w:p w14:paraId="2E15A914" w14:textId="43BF4A0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E5EDD">
        <w:rPr>
          <w:rFonts w:ascii="Times New Roman" w:hAnsi="Times New Roman" w:cs="Times New Roman"/>
          <w:sz w:val="28"/>
          <w:szCs w:val="28"/>
          <w:lang w:val="uk-UA"/>
        </w:rPr>
        <w:t>Poriadin G</w:t>
      </w:r>
      <w:r w:rsidR="00D76E20">
        <w:rPr>
          <w:rFonts w:ascii="Times New Roman" w:hAnsi="Times New Roman" w:cs="Times New Roman"/>
          <w:sz w:val="28"/>
          <w:szCs w:val="28"/>
        </w:rPr>
        <w:t>.</w:t>
      </w:r>
      <w:r w:rsidRPr="000E5EDD">
        <w:rPr>
          <w:rFonts w:ascii="Times New Roman" w:hAnsi="Times New Roman" w:cs="Times New Roman"/>
          <w:sz w:val="28"/>
          <w:szCs w:val="28"/>
          <w:lang w:val="uk-UA"/>
        </w:rPr>
        <w:t>V</w:t>
      </w:r>
      <w:r w:rsidR="00D76E20">
        <w:rPr>
          <w:rFonts w:ascii="Times New Roman" w:hAnsi="Times New Roman" w:cs="Times New Roman"/>
          <w:sz w:val="28"/>
          <w:szCs w:val="28"/>
        </w:rPr>
        <w:t>.</w:t>
      </w:r>
      <w:r w:rsidR="00D76E20">
        <w:rPr>
          <w:rFonts w:ascii="Times New Roman" w:hAnsi="Times New Roman" w:cs="Times New Roman"/>
          <w:sz w:val="28"/>
          <w:szCs w:val="28"/>
          <w:lang w:val="uk-UA"/>
        </w:rPr>
        <w:t xml:space="preserve"> </w:t>
      </w:r>
      <w:r w:rsidRPr="000E5EDD">
        <w:rPr>
          <w:rFonts w:ascii="Times New Roman" w:hAnsi="Times New Roman" w:cs="Times New Roman"/>
          <w:sz w:val="28"/>
          <w:szCs w:val="28"/>
          <w:lang w:val="uk-UA"/>
        </w:rPr>
        <w:t>Activation processes in the lymphocytes of pat</w:t>
      </w:r>
      <w:r w:rsidR="00D76E20">
        <w:rPr>
          <w:rFonts w:ascii="Times New Roman" w:hAnsi="Times New Roman" w:cs="Times New Roman"/>
          <w:sz w:val="28"/>
          <w:szCs w:val="28"/>
          <w:lang w:val="uk-UA"/>
        </w:rPr>
        <w:t xml:space="preserve">ients with latent sensitization / </w:t>
      </w:r>
      <w:r w:rsidR="00D76E20" w:rsidRPr="000E5EDD">
        <w:rPr>
          <w:rFonts w:ascii="Times New Roman" w:hAnsi="Times New Roman" w:cs="Times New Roman"/>
          <w:sz w:val="28"/>
          <w:szCs w:val="28"/>
          <w:lang w:val="uk-UA"/>
        </w:rPr>
        <w:t>G</w:t>
      </w:r>
      <w:r w:rsidR="00D76E20">
        <w:rPr>
          <w:rFonts w:ascii="Times New Roman" w:hAnsi="Times New Roman" w:cs="Times New Roman"/>
          <w:sz w:val="28"/>
          <w:szCs w:val="28"/>
        </w:rPr>
        <w:t>.</w:t>
      </w:r>
      <w:r w:rsidR="00D76E20" w:rsidRPr="000E5EDD">
        <w:rPr>
          <w:rFonts w:ascii="Times New Roman" w:hAnsi="Times New Roman" w:cs="Times New Roman"/>
          <w:sz w:val="28"/>
          <w:szCs w:val="28"/>
          <w:lang w:val="uk-UA"/>
        </w:rPr>
        <w:t>V</w:t>
      </w:r>
      <w:r w:rsidR="00D76E20">
        <w:rPr>
          <w:rFonts w:ascii="Times New Roman" w:hAnsi="Times New Roman" w:cs="Times New Roman"/>
          <w:sz w:val="28"/>
          <w:szCs w:val="28"/>
        </w:rPr>
        <w:t xml:space="preserve">. </w:t>
      </w:r>
      <w:r w:rsidR="00D76E20" w:rsidRPr="000E5EDD">
        <w:rPr>
          <w:rFonts w:ascii="Times New Roman" w:hAnsi="Times New Roman" w:cs="Times New Roman"/>
          <w:sz w:val="28"/>
          <w:szCs w:val="28"/>
          <w:lang w:val="uk-UA"/>
        </w:rPr>
        <w:t xml:space="preserve">Poriadin, </w:t>
      </w:r>
      <w:r w:rsidR="00D76E20">
        <w:rPr>
          <w:rFonts w:ascii="Times New Roman" w:hAnsi="Times New Roman" w:cs="Times New Roman"/>
          <w:sz w:val="28"/>
          <w:szCs w:val="28"/>
        </w:rPr>
        <w:t xml:space="preserve">A.M. </w:t>
      </w:r>
      <w:r w:rsidR="00D76E20">
        <w:rPr>
          <w:rFonts w:ascii="Times New Roman" w:hAnsi="Times New Roman" w:cs="Times New Roman"/>
          <w:sz w:val="28"/>
          <w:szCs w:val="28"/>
          <w:lang w:val="uk-UA"/>
        </w:rPr>
        <w:t>Orshanko</w:t>
      </w:r>
      <w:r w:rsidR="00D76E20" w:rsidRPr="000E5EDD">
        <w:rPr>
          <w:rFonts w:ascii="Times New Roman" w:hAnsi="Times New Roman" w:cs="Times New Roman"/>
          <w:sz w:val="28"/>
          <w:szCs w:val="28"/>
          <w:lang w:val="uk-UA"/>
        </w:rPr>
        <w:t xml:space="preserve">, </w:t>
      </w:r>
      <w:r w:rsidR="00D76E20">
        <w:rPr>
          <w:rFonts w:ascii="Times New Roman" w:hAnsi="Times New Roman" w:cs="Times New Roman"/>
          <w:sz w:val="28"/>
          <w:szCs w:val="28"/>
        </w:rPr>
        <w:t xml:space="preserve">ZhM. </w:t>
      </w:r>
      <w:r w:rsidR="00D76E20">
        <w:rPr>
          <w:rFonts w:ascii="Times New Roman" w:hAnsi="Times New Roman" w:cs="Times New Roman"/>
          <w:sz w:val="28"/>
          <w:szCs w:val="28"/>
          <w:lang w:val="uk-UA"/>
        </w:rPr>
        <w:t xml:space="preserve">Salmasi </w:t>
      </w:r>
      <w:r w:rsidR="00D76E20">
        <w:rPr>
          <w:rFonts w:ascii="Times New Roman" w:hAnsi="Times New Roman" w:cs="Times New Roman"/>
          <w:sz w:val="28"/>
          <w:szCs w:val="28"/>
        </w:rPr>
        <w:t>//</w:t>
      </w:r>
      <w:r w:rsidRPr="000E5EDD">
        <w:rPr>
          <w:rFonts w:ascii="Times New Roman" w:hAnsi="Times New Roman" w:cs="Times New Roman"/>
          <w:sz w:val="28"/>
          <w:szCs w:val="28"/>
          <w:lang w:val="uk-UA"/>
        </w:rPr>
        <w:t xml:space="preserve"> Patol Fiziol Eksp Ter. </w:t>
      </w:r>
      <w:r w:rsidR="00D76E20">
        <w:rPr>
          <w:rFonts w:ascii="Times New Roman" w:hAnsi="Times New Roman" w:cs="Times New Roman"/>
          <w:sz w:val="28"/>
          <w:szCs w:val="28"/>
        </w:rPr>
        <w:t xml:space="preserve">– </w:t>
      </w:r>
      <w:r w:rsidRPr="000E5EDD">
        <w:rPr>
          <w:rFonts w:ascii="Times New Roman" w:hAnsi="Times New Roman" w:cs="Times New Roman"/>
          <w:sz w:val="28"/>
          <w:szCs w:val="28"/>
          <w:lang w:val="uk-UA"/>
        </w:rPr>
        <w:t>2009</w:t>
      </w:r>
      <w:r w:rsidR="00D76E20">
        <w:rPr>
          <w:rFonts w:ascii="Times New Roman" w:hAnsi="Times New Roman" w:cs="Times New Roman"/>
          <w:sz w:val="28"/>
          <w:szCs w:val="28"/>
        </w:rPr>
        <w:t>. – Vol.</w:t>
      </w:r>
      <w:r w:rsidR="00D76E20">
        <w:rPr>
          <w:rFonts w:ascii="Times New Roman" w:hAnsi="Times New Roman" w:cs="Times New Roman"/>
          <w:sz w:val="28"/>
          <w:szCs w:val="28"/>
          <w:lang w:val="uk-UA"/>
        </w:rPr>
        <w:t xml:space="preserve"> 1.</w:t>
      </w:r>
      <w:r w:rsidR="00D76E20">
        <w:rPr>
          <w:rFonts w:ascii="Times New Roman" w:hAnsi="Times New Roman" w:cs="Times New Roman"/>
          <w:sz w:val="28"/>
          <w:szCs w:val="28"/>
        </w:rPr>
        <w:t xml:space="preserve"> – P.</w:t>
      </w:r>
      <w:r w:rsidRPr="000E5EDD">
        <w:rPr>
          <w:rFonts w:ascii="Times New Roman" w:hAnsi="Times New Roman" w:cs="Times New Roman"/>
          <w:sz w:val="28"/>
          <w:szCs w:val="28"/>
          <w:lang w:val="uk-UA"/>
        </w:rPr>
        <w:t>23-</w:t>
      </w:r>
      <w:r w:rsidR="00D76E20">
        <w:rPr>
          <w:rFonts w:ascii="Times New Roman" w:hAnsi="Times New Roman" w:cs="Times New Roman"/>
          <w:sz w:val="28"/>
          <w:szCs w:val="28"/>
        </w:rPr>
        <w:t>2</w:t>
      </w:r>
      <w:r w:rsidRPr="000E5EDD">
        <w:rPr>
          <w:rFonts w:ascii="Times New Roman" w:hAnsi="Times New Roman" w:cs="Times New Roman"/>
          <w:sz w:val="28"/>
          <w:szCs w:val="28"/>
          <w:lang w:val="uk-UA"/>
        </w:rPr>
        <w:t>5.</w:t>
      </w:r>
    </w:p>
    <w:p w14:paraId="10041F50" w14:textId="1AA43A01"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Holla L</w:t>
      </w:r>
      <w:r w:rsidR="002767DC" w:rsidRPr="000E5EDD">
        <w:rPr>
          <w:rFonts w:ascii="Times New Roman" w:hAnsi="Times New Roman" w:cs="Times New Roman"/>
          <w:sz w:val="28"/>
          <w:szCs w:val="28"/>
          <w:lang w:val="uk-UA"/>
        </w:rPr>
        <w:t>. Analysis of the inducible nitric oxide synthase gene polymorphisms in Czech</w:t>
      </w:r>
      <w:r>
        <w:rPr>
          <w:rFonts w:ascii="Times New Roman" w:hAnsi="Times New Roman" w:cs="Times New Roman"/>
          <w:sz w:val="28"/>
          <w:szCs w:val="28"/>
          <w:lang w:val="uk-UA"/>
        </w:rPr>
        <w:t xml:space="preserve"> patients with atopic diseases / </w:t>
      </w:r>
      <w:r>
        <w:rPr>
          <w:rFonts w:ascii="Times New Roman" w:hAnsi="Times New Roman" w:cs="Times New Roman"/>
          <w:sz w:val="28"/>
          <w:szCs w:val="28"/>
        </w:rPr>
        <w:t>L</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Holla</w:t>
      </w:r>
      <w:r w:rsidRPr="000E5EDD">
        <w:rPr>
          <w:rFonts w:ascii="Times New Roman" w:hAnsi="Times New Roman" w:cs="Times New Roman"/>
          <w:sz w:val="28"/>
          <w:szCs w:val="28"/>
          <w:lang w:val="uk-UA"/>
        </w:rPr>
        <w:t xml:space="preserve">, </w:t>
      </w:r>
      <w:r>
        <w:rPr>
          <w:rFonts w:ascii="Times New Roman" w:hAnsi="Times New Roman" w:cs="Times New Roman"/>
          <w:sz w:val="28"/>
          <w:szCs w:val="28"/>
        </w:rPr>
        <w:t>A</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Stejskalova</w:t>
      </w:r>
      <w:r w:rsidRPr="000E5EDD">
        <w:rPr>
          <w:rFonts w:ascii="Times New Roman" w:hAnsi="Times New Roman" w:cs="Times New Roman"/>
          <w:sz w:val="28"/>
          <w:szCs w:val="28"/>
          <w:lang w:val="uk-UA"/>
        </w:rPr>
        <w:t xml:space="preserve">, </w:t>
      </w:r>
      <w:r>
        <w:rPr>
          <w:rFonts w:ascii="Times New Roman" w:hAnsi="Times New Roman" w:cs="Times New Roman"/>
          <w:sz w:val="28"/>
          <w:szCs w:val="28"/>
        </w:rPr>
        <w:t>V</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Znojil</w:t>
      </w:r>
      <w:r w:rsidRPr="000E5EDD">
        <w:rPr>
          <w:rFonts w:ascii="Times New Roman" w:hAnsi="Times New Roman" w:cs="Times New Roman"/>
          <w:sz w:val="28"/>
          <w:szCs w:val="28"/>
          <w:lang w:val="uk-UA"/>
        </w:rPr>
        <w:t xml:space="preserve"> </w:t>
      </w:r>
      <w:r w:rsidRPr="00D76E20">
        <w:rPr>
          <w:rFonts w:ascii="Times New Roman" w:hAnsi="Times New Roman" w:cs="Times New Roman"/>
          <w:sz w:val="28"/>
          <w:szCs w:val="28"/>
          <w:lang w:val="uk-UA"/>
        </w:rPr>
        <w:t xml:space="preserve">// </w:t>
      </w:r>
      <w:r w:rsidR="002767DC" w:rsidRPr="000E5EDD">
        <w:rPr>
          <w:rFonts w:ascii="Times New Roman" w:hAnsi="Times New Roman" w:cs="Times New Roman"/>
          <w:sz w:val="28"/>
          <w:szCs w:val="28"/>
          <w:lang w:val="uk-UA"/>
        </w:rPr>
        <w:t xml:space="preserve">Clin Exp Allergy. </w:t>
      </w:r>
      <w:r w:rsidRPr="00D76E20">
        <w:rPr>
          <w:rFonts w:ascii="Times New Roman" w:hAnsi="Times New Roman" w:cs="Times New Roman"/>
          <w:sz w:val="28"/>
          <w:szCs w:val="28"/>
          <w:lang w:val="uk-UA"/>
        </w:rPr>
        <w:t xml:space="preserve">– </w:t>
      </w:r>
      <w:r w:rsidR="002767DC" w:rsidRPr="000E5EDD">
        <w:rPr>
          <w:rFonts w:ascii="Times New Roman" w:hAnsi="Times New Roman" w:cs="Times New Roman"/>
          <w:sz w:val="28"/>
          <w:szCs w:val="28"/>
          <w:lang w:val="uk-UA"/>
        </w:rPr>
        <w:t>2006</w:t>
      </w:r>
      <w:r w:rsidRPr="00D76E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76E20">
        <w:rPr>
          <w:rFonts w:ascii="Times New Roman" w:hAnsi="Times New Roman" w:cs="Times New Roman"/>
          <w:sz w:val="28"/>
          <w:szCs w:val="28"/>
          <w:lang w:val="uk-UA"/>
        </w:rPr>
        <w:t xml:space="preserve"> </w:t>
      </w:r>
      <w:r>
        <w:rPr>
          <w:rFonts w:ascii="Times New Roman" w:hAnsi="Times New Roman" w:cs="Times New Roman"/>
          <w:sz w:val="28"/>
          <w:szCs w:val="28"/>
        </w:rPr>
        <w:t>Vol</w:t>
      </w:r>
      <w:r w:rsidRPr="00D76E20">
        <w:rPr>
          <w:rFonts w:ascii="Times New Roman" w:hAnsi="Times New Roman" w:cs="Times New Roman"/>
          <w:sz w:val="28"/>
          <w:szCs w:val="28"/>
          <w:lang w:val="uk-UA"/>
        </w:rPr>
        <w:t>.</w:t>
      </w:r>
      <w:r>
        <w:rPr>
          <w:rFonts w:ascii="Times New Roman" w:hAnsi="Times New Roman" w:cs="Times New Roman"/>
          <w:sz w:val="28"/>
          <w:szCs w:val="28"/>
          <w:lang w:val="uk-UA"/>
        </w:rPr>
        <w:t xml:space="preserve">36(12). </w:t>
      </w:r>
      <w:r>
        <w:rPr>
          <w:rFonts w:ascii="Times New Roman" w:hAnsi="Times New Roman" w:cs="Times New Roman"/>
          <w:sz w:val="28"/>
          <w:szCs w:val="28"/>
        </w:rPr>
        <w:t>– P.</w:t>
      </w:r>
      <w:r w:rsidR="002767DC" w:rsidRPr="000E5EDD">
        <w:rPr>
          <w:rFonts w:ascii="Times New Roman" w:hAnsi="Times New Roman" w:cs="Times New Roman"/>
          <w:sz w:val="28"/>
          <w:szCs w:val="28"/>
          <w:lang w:val="uk-UA"/>
        </w:rPr>
        <w:t>1592-</w:t>
      </w:r>
      <w:r>
        <w:rPr>
          <w:rFonts w:ascii="Times New Roman" w:hAnsi="Times New Roman" w:cs="Times New Roman"/>
          <w:sz w:val="28"/>
          <w:szCs w:val="28"/>
        </w:rPr>
        <w:t>1</w:t>
      </w:r>
      <w:r w:rsidR="002767DC" w:rsidRPr="000E5EDD">
        <w:rPr>
          <w:rFonts w:ascii="Times New Roman" w:hAnsi="Times New Roman" w:cs="Times New Roman"/>
          <w:sz w:val="28"/>
          <w:szCs w:val="28"/>
          <w:lang w:val="uk-UA"/>
        </w:rPr>
        <w:t>601.</w:t>
      </w:r>
    </w:p>
    <w:p w14:paraId="0931F8A3" w14:textId="13AC852A"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Гудима А.А. Дослідження процесів вільнорадикального окиснення при гострому ураженні легень</w:t>
      </w:r>
      <w:r w:rsidR="00D76E20" w:rsidRPr="00D76E20">
        <w:rPr>
          <w:rFonts w:ascii="Times New Roman" w:hAnsi="Times New Roman" w:cs="Times New Roman"/>
          <w:sz w:val="28"/>
          <w:szCs w:val="28"/>
          <w:lang w:val="ru-RU"/>
        </w:rPr>
        <w:t xml:space="preserve"> / </w:t>
      </w:r>
      <w:r w:rsidR="00D76E20">
        <w:rPr>
          <w:rFonts w:ascii="Times New Roman" w:hAnsi="Times New Roman" w:cs="Times New Roman"/>
          <w:sz w:val="28"/>
          <w:szCs w:val="28"/>
          <w:lang w:val="ru-RU"/>
        </w:rPr>
        <w:t>А.А. Гудима</w:t>
      </w:r>
      <w:r w:rsidRPr="003E54D5">
        <w:rPr>
          <w:rFonts w:ascii="Times New Roman" w:hAnsi="Times New Roman" w:cs="Times New Roman"/>
          <w:sz w:val="28"/>
          <w:szCs w:val="28"/>
          <w:lang w:val="uk-UA"/>
        </w:rPr>
        <w:t xml:space="preserve"> // Бюлетень Х читань ім.В.В.Підвисоцького. – Одеса, 2011. – С. 42-43</w:t>
      </w:r>
    </w:p>
    <w:p w14:paraId="5D1C3E02" w14:textId="7777777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Регеда М.С., Кресюн В.Й., Федорів Я.М. Клінічна алергологія. Вид. четверте, доп. та перер. Львів: В-во: “Сполом”, 2004.– 210 с.</w:t>
      </w:r>
    </w:p>
    <w:p w14:paraId="1F83C6CB" w14:textId="11D501E1"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Laurikainen K.</w:t>
      </w:r>
      <w:r w:rsidR="002767DC" w:rsidRPr="003E54D5">
        <w:rPr>
          <w:rFonts w:ascii="Times New Roman" w:hAnsi="Times New Roman" w:cs="Times New Roman"/>
          <w:sz w:val="28"/>
          <w:szCs w:val="28"/>
          <w:lang w:val="uk-UA"/>
        </w:rPr>
        <w:t xml:space="preserve"> Comparison of the oral health status and salivary flow of asthmatic patients with those  of nonasthmatic adults – result</w:t>
      </w:r>
      <w:r>
        <w:rPr>
          <w:rFonts w:ascii="Times New Roman" w:hAnsi="Times New Roman" w:cs="Times New Roman"/>
          <w:sz w:val="28"/>
          <w:szCs w:val="28"/>
          <w:lang w:val="uk-UA"/>
        </w:rPr>
        <w:t xml:space="preserve"> of a pilot study / </w:t>
      </w:r>
      <w:r>
        <w:rPr>
          <w:rFonts w:ascii="Times New Roman" w:hAnsi="Times New Roman" w:cs="Times New Roman"/>
          <w:sz w:val="28"/>
          <w:szCs w:val="28"/>
        </w:rPr>
        <w:t xml:space="preserve">K. </w:t>
      </w:r>
      <w:r>
        <w:rPr>
          <w:rFonts w:ascii="Times New Roman" w:hAnsi="Times New Roman" w:cs="Times New Roman"/>
          <w:sz w:val="28"/>
          <w:szCs w:val="28"/>
          <w:lang w:val="uk-UA"/>
        </w:rPr>
        <w:t>Laurikainen</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K. </w:t>
      </w:r>
      <w:r>
        <w:rPr>
          <w:rFonts w:ascii="Times New Roman" w:hAnsi="Times New Roman" w:cs="Times New Roman"/>
          <w:sz w:val="28"/>
          <w:szCs w:val="28"/>
          <w:lang w:val="uk-UA"/>
        </w:rPr>
        <w:t>Kuusisto</w:t>
      </w:r>
      <w:r w:rsidRPr="003E54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767DC" w:rsidRPr="003E54D5">
        <w:rPr>
          <w:rFonts w:ascii="Times New Roman" w:hAnsi="Times New Roman" w:cs="Times New Roman"/>
          <w:sz w:val="28"/>
          <w:szCs w:val="28"/>
          <w:lang w:val="uk-UA"/>
        </w:rPr>
        <w:t>Allergy</w:t>
      </w:r>
      <w:r w:rsidR="004E3E8D">
        <w:rPr>
          <w:rFonts w:ascii="Times New Roman" w:hAnsi="Times New Roman" w:cs="Times New Roman"/>
          <w:sz w:val="28"/>
          <w:szCs w:val="28"/>
          <w:lang w:val="uk-UA"/>
        </w:rPr>
        <w:t>. – 2002</w:t>
      </w:r>
      <w:r>
        <w:rPr>
          <w:rFonts w:ascii="Times New Roman" w:hAnsi="Times New Roman" w:cs="Times New Roman"/>
          <w:sz w:val="28"/>
          <w:szCs w:val="28"/>
          <w:lang w:val="uk-UA"/>
        </w:rPr>
        <w:t>.</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53. </w:t>
      </w:r>
      <w:r>
        <w:rPr>
          <w:rFonts w:ascii="Times New Roman" w:hAnsi="Times New Roman" w:cs="Times New Roman"/>
          <w:sz w:val="28"/>
          <w:szCs w:val="28"/>
        </w:rPr>
        <w:t>– P.</w:t>
      </w:r>
      <w:r w:rsidR="002767DC" w:rsidRPr="003E54D5">
        <w:rPr>
          <w:rFonts w:ascii="Times New Roman" w:hAnsi="Times New Roman" w:cs="Times New Roman"/>
          <w:sz w:val="28"/>
          <w:szCs w:val="28"/>
          <w:lang w:val="uk-UA"/>
        </w:rPr>
        <w:t xml:space="preserve">316-319. </w:t>
      </w:r>
    </w:p>
    <w:p w14:paraId="1D6E1B16" w14:textId="14A7F3C9"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Scannapieco F.A</w:t>
      </w:r>
      <w:r w:rsidR="002767DC" w:rsidRPr="003E54D5">
        <w:rPr>
          <w:rFonts w:ascii="Times New Roman" w:hAnsi="Times New Roman" w:cs="Times New Roman"/>
          <w:sz w:val="28"/>
          <w:szCs w:val="28"/>
          <w:lang w:val="uk-UA"/>
        </w:rPr>
        <w:t xml:space="preserve">. Potential association between chronic  respiratory disease and periodontal </w:t>
      </w:r>
      <w:r>
        <w:rPr>
          <w:rFonts w:ascii="Times New Roman" w:hAnsi="Times New Roman" w:cs="Times New Roman"/>
          <w:sz w:val="28"/>
          <w:szCs w:val="28"/>
          <w:lang w:val="uk-UA"/>
        </w:rPr>
        <w:t xml:space="preserve">disease: analysis of NHANES III / </w:t>
      </w:r>
      <w:r>
        <w:rPr>
          <w:rFonts w:ascii="Times New Roman" w:hAnsi="Times New Roman" w:cs="Times New Roman"/>
          <w:sz w:val="28"/>
          <w:szCs w:val="28"/>
        </w:rPr>
        <w:t xml:space="preserve">F.A. </w:t>
      </w:r>
      <w:r>
        <w:rPr>
          <w:rFonts w:ascii="Times New Roman" w:hAnsi="Times New Roman" w:cs="Times New Roman"/>
          <w:sz w:val="28"/>
          <w:szCs w:val="28"/>
          <w:lang w:val="uk-UA"/>
        </w:rPr>
        <w:t>Scannapieco</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A.W. </w:t>
      </w:r>
      <w:r>
        <w:rPr>
          <w:rFonts w:ascii="Times New Roman" w:hAnsi="Times New Roman" w:cs="Times New Roman"/>
          <w:sz w:val="28"/>
          <w:szCs w:val="28"/>
          <w:lang w:val="uk-UA"/>
        </w:rPr>
        <w:t>Ho</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sidRPr="003E54D5">
        <w:rPr>
          <w:rFonts w:ascii="Times New Roman" w:hAnsi="Times New Roman" w:cs="Times New Roman"/>
          <w:sz w:val="28"/>
          <w:szCs w:val="28"/>
          <w:lang w:val="uk-UA"/>
        </w:rPr>
        <w:t xml:space="preserve"> </w:t>
      </w:r>
      <w:r w:rsidR="002767DC">
        <w:rPr>
          <w:rFonts w:ascii="Times New Roman" w:hAnsi="Times New Roman" w:cs="Times New Roman"/>
          <w:sz w:val="28"/>
          <w:szCs w:val="28"/>
          <w:lang w:val="uk-UA"/>
        </w:rPr>
        <w:t>J Periodontol.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2001</w:t>
      </w:r>
      <w:r>
        <w:rPr>
          <w:rFonts w:ascii="Times New Roman" w:hAnsi="Times New Roman" w:cs="Times New Roman"/>
          <w:sz w:val="28"/>
          <w:szCs w:val="28"/>
        </w:rPr>
        <w:t>. – Vol.</w:t>
      </w:r>
      <w:r>
        <w:rPr>
          <w:rFonts w:ascii="Times New Roman" w:hAnsi="Times New Roman" w:cs="Times New Roman"/>
          <w:sz w:val="28"/>
          <w:szCs w:val="28"/>
          <w:lang w:val="uk-UA"/>
        </w:rPr>
        <w:t>72.</w:t>
      </w:r>
      <w:r>
        <w:rPr>
          <w:rFonts w:ascii="Times New Roman" w:hAnsi="Times New Roman" w:cs="Times New Roman"/>
          <w:sz w:val="28"/>
          <w:szCs w:val="28"/>
        </w:rPr>
        <w:t xml:space="preserve"> – P.</w:t>
      </w:r>
      <w:r w:rsidR="002767DC">
        <w:rPr>
          <w:rFonts w:ascii="Times New Roman" w:hAnsi="Times New Roman" w:cs="Times New Roman"/>
          <w:sz w:val="28"/>
          <w:szCs w:val="28"/>
          <w:lang w:val="uk-UA"/>
        </w:rPr>
        <w:t xml:space="preserve"> 50-56</w:t>
      </w:r>
      <w:r>
        <w:rPr>
          <w:rFonts w:ascii="Times New Roman" w:hAnsi="Times New Roman" w:cs="Times New Roman"/>
          <w:sz w:val="28"/>
          <w:szCs w:val="28"/>
        </w:rPr>
        <w:t>.</w:t>
      </w:r>
    </w:p>
    <w:p w14:paraId="2411DD75" w14:textId="3AD9E9B8" w:rsidR="002767DC" w:rsidRDefault="00D76E20"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Mehta A.</w:t>
      </w:r>
      <w:r w:rsidR="002767DC" w:rsidRPr="003E54D5">
        <w:rPr>
          <w:rFonts w:ascii="Times New Roman" w:hAnsi="Times New Roman" w:cs="Times New Roman"/>
          <w:sz w:val="28"/>
          <w:szCs w:val="28"/>
          <w:lang w:val="uk-UA"/>
        </w:rPr>
        <w:t xml:space="preserve"> Is bronchial asthma a risk factor for gingival diseases? A control study.</w:t>
      </w:r>
      <w:r>
        <w:rPr>
          <w:rFonts w:ascii="Times New Roman" w:hAnsi="Times New Roman" w:cs="Times New Roman"/>
          <w:sz w:val="28"/>
          <w:szCs w:val="28"/>
        </w:rPr>
        <w:t xml:space="preserve"> / A. </w:t>
      </w:r>
      <w:r>
        <w:rPr>
          <w:rFonts w:ascii="Times New Roman" w:hAnsi="Times New Roman" w:cs="Times New Roman"/>
          <w:sz w:val="28"/>
          <w:szCs w:val="28"/>
          <w:lang w:val="uk-UA"/>
        </w:rPr>
        <w:t>Mehta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P.S. </w:t>
      </w:r>
      <w:r>
        <w:rPr>
          <w:rFonts w:ascii="Times New Roman" w:hAnsi="Times New Roman" w:cs="Times New Roman"/>
          <w:sz w:val="28"/>
          <w:szCs w:val="28"/>
          <w:lang w:val="uk-UA"/>
        </w:rPr>
        <w:t>Sequeira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R.C. </w:t>
      </w:r>
      <w:r>
        <w:rPr>
          <w:rFonts w:ascii="Times New Roman" w:hAnsi="Times New Roman" w:cs="Times New Roman"/>
          <w:sz w:val="28"/>
          <w:szCs w:val="28"/>
          <w:lang w:val="uk-UA"/>
        </w:rPr>
        <w:t>Sahoo et al.</w:t>
      </w:r>
      <w:r>
        <w:rPr>
          <w:rFonts w:ascii="Times New Roman" w:hAnsi="Times New Roman" w:cs="Times New Roman"/>
          <w:sz w:val="28"/>
          <w:szCs w:val="28"/>
        </w:rPr>
        <w:t xml:space="preserve"> //</w:t>
      </w:r>
      <w:r w:rsidR="002767DC" w:rsidRPr="003E54D5">
        <w:rPr>
          <w:rFonts w:ascii="Times New Roman" w:hAnsi="Times New Roman" w:cs="Times New Roman"/>
          <w:sz w:val="28"/>
          <w:szCs w:val="28"/>
          <w:lang w:val="uk-UA"/>
        </w:rPr>
        <w:t xml:space="preserve"> N.Y. State Dent. J. </w:t>
      </w:r>
      <w:r>
        <w:rPr>
          <w:rFonts w:ascii="Times New Roman" w:hAnsi="Times New Roman" w:cs="Times New Roman"/>
          <w:sz w:val="28"/>
          <w:szCs w:val="28"/>
        </w:rPr>
        <w:t xml:space="preserve">– </w:t>
      </w:r>
      <w:r w:rsidR="002767DC" w:rsidRPr="003E54D5">
        <w:rPr>
          <w:rFonts w:ascii="Times New Roman" w:hAnsi="Times New Roman" w:cs="Times New Roman"/>
          <w:sz w:val="28"/>
          <w:szCs w:val="28"/>
          <w:lang w:val="uk-UA"/>
        </w:rPr>
        <w:t>2009</w:t>
      </w:r>
      <w:r>
        <w:rPr>
          <w:rFonts w:ascii="Times New Roman" w:hAnsi="Times New Roman" w:cs="Times New Roman"/>
          <w:sz w:val="28"/>
          <w:szCs w:val="28"/>
        </w:rPr>
        <w:t>. – Vol.</w:t>
      </w:r>
      <w:r>
        <w:rPr>
          <w:rFonts w:ascii="Times New Roman" w:hAnsi="Times New Roman" w:cs="Times New Roman"/>
          <w:sz w:val="28"/>
          <w:szCs w:val="28"/>
          <w:lang w:val="uk-UA"/>
        </w:rPr>
        <w:t xml:space="preserve">75. </w:t>
      </w:r>
      <w:r>
        <w:rPr>
          <w:rFonts w:ascii="Times New Roman" w:hAnsi="Times New Roman" w:cs="Times New Roman"/>
          <w:sz w:val="28"/>
          <w:szCs w:val="28"/>
        </w:rPr>
        <w:t>– P.</w:t>
      </w:r>
      <w:r w:rsidR="002767DC" w:rsidRPr="003E54D5">
        <w:rPr>
          <w:rFonts w:ascii="Times New Roman" w:hAnsi="Times New Roman" w:cs="Times New Roman"/>
          <w:sz w:val="28"/>
          <w:szCs w:val="28"/>
          <w:lang w:val="uk-UA"/>
        </w:rPr>
        <w:t>44-46.</w:t>
      </w:r>
    </w:p>
    <w:p w14:paraId="5C698966" w14:textId="3B8EEFA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Sowmy</w:t>
      </w:r>
      <w:r w:rsidR="008E5B91">
        <w:rPr>
          <w:rFonts w:ascii="Times New Roman" w:hAnsi="Times New Roman" w:cs="Times New Roman"/>
          <w:sz w:val="28"/>
          <w:szCs w:val="28"/>
          <w:lang w:val="uk-UA"/>
        </w:rPr>
        <w:t>a K.R</w:t>
      </w:r>
      <w:r w:rsidRPr="003E54D5">
        <w:rPr>
          <w:rFonts w:ascii="Times New Roman" w:hAnsi="Times New Roman" w:cs="Times New Roman"/>
          <w:sz w:val="28"/>
          <w:szCs w:val="28"/>
          <w:lang w:val="uk-UA"/>
        </w:rPr>
        <w:t>.Oral Health Status and Treatme</w:t>
      </w:r>
      <w:r w:rsidR="008E5B91">
        <w:rPr>
          <w:rFonts w:ascii="Times New Roman" w:hAnsi="Times New Roman" w:cs="Times New Roman"/>
          <w:sz w:val="28"/>
          <w:szCs w:val="28"/>
          <w:lang w:val="uk-UA"/>
        </w:rPr>
        <w:t xml:space="preserve">nt Needs of Asthmatic Children / </w:t>
      </w:r>
      <w:r w:rsidR="008E5B91" w:rsidRPr="003E54D5">
        <w:rPr>
          <w:rFonts w:ascii="Times New Roman" w:hAnsi="Times New Roman" w:cs="Times New Roman"/>
          <w:sz w:val="28"/>
          <w:szCs w:val="28"/>
          <w:lang w:val="uk-UA"/>
        </w:rPr>
        <w:t>K.R</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Sowmya, C.V.K</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Reddy, D.J</w:t>
      </w:r>
      <w:r w:rsidR="008E5B91">
        <w:rPr>
          <w:rFonts w:ascii="Times New Roman" w:hAnsi="Times New Roman" w:cs="Times New Roman"/>
          <w:sz w:val="28"/>
          <w:szCs w:val="28"/>
        </w:rPr>
        <w:t>.</w:t>
      </w:r>
      <w:r w:rsidR="008E5B91" w:rsidRPr="003E54D5">
        <w:rPr>
          <w:rFonts w:ascii="Times New Roman" w:hAnsi="Times New Roman" w:cs="Times New Roman"/>
          <w:sz w:val="28"/>
          <w:szCs w:val="28"/>
          <w:lang w:val="uk-UA"/>
        </w:rPr>
        <w:t xml:space="preserve"> Veeresh </w:t>
      </w:r>
      <w:r w:rsidR="008E5B91">
        <w:rPr>
          <w:rFonts w:ascii="Times New Roman" w:hAnsi="Times New Roman" w:cs="Times New Roman"/>
          <w:sz w:val="28"/>
          <w:szCs w:val="28"/>
        </w:rPr>
        <w:t xml:space="preserve">// </w:t>
      </w:r>
      <w:r w:rsidRPr="003E54D5">
        <w:rPr>
          <w:rFonts w:ascii="Times New Roman" w:hAnsi="Times New Roman" w:cs="Times New Roman"/>
          <w:sz w:val="28"/>
          <w:szCs w:val="28"/>
          <w:lang w:val="uk-UA"/>
        </w:rPr>
        <w:t>Journal of the Indian Association of Public Hea</w:t>
      </w:r>
      <w:r w:rsidR="00606B4A">
        <w:rPr>
          <w:rFonts w:ascii="Times New Roman" w:hAnsi="Times New Roman" w:cs="Times New Roman"/>
          <w:sz w:val="28"/>
          <w:szCs w:val="28"/>
          <w:lang w:val="uk-UA"/>
        </w:rPr>
        <w:t>lth Dentistry. –</w:t>
      </w:r>
      <w:r w:rsidRPr="003E54D5">
        <w:rPr>
          <w:rFonts w:ascii="Times New Roman" w:hAnsi="Times New Roman" w:cs="Times New Roman"/>
          <w:sz w:val="28"/>
          <w:szCs w:val="28"/>
          <w:lang w:val="uk-UA"/>
        </w:rPr>
        <w:t xml:space="preserve"> 2007</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9</w:t>
      </w:r>
      <w:r w:rsidR="00606B4A">
        <w:rPr>
          <w:rFonts w:ascii="Times New Roman" w:hAnsi="Times New Roman" w:cs="Times New Roman"/>
          <w:sz w:val="28"/>
          <w:szCs w:val="28"/>
        </w:rPr>
        <w:t>. – P.</w:t>
      </w:r>
      <w:r w:rsidRPr="003E54D5">
        <w:rPr>
          <w:rFonts w:ascii="Times New Roman" w:hAnsi="Times New Roman" w:cs="Times New Roman"/>
          <w:sz w:val="28"/>
          <w:szCs w:val="28"/>
          <w:lang w:val="uk-UA"/>
        </w:rPr>
        <w:t xml:space="preserve"> 13-17.</w:t>
      </w:r>
    </w:p>
    <w:p w14:paraId="57C8FB39" w14:textId="1BE709D4" w:rsidR="002767DC" w:rsidRDefault="00606B4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Thomas M</w:t>
      </w:r>
      <w:r>
        <w:rPr>
          <w:rFonts w:ascii="Times New Roman" w:hAnsi="Times New Roman" w:cs="Times New Roman"/>
          <w:sz w:val="28"/>
          <w:szCs w:val="28"/>
        </w:rPr>
        <w:t>.</w:t>
      </w:r>
      <w:r>
        <w:rPr>
          <w:rFonts w:ascii="Times New Roman" w:hAnsi="Times New Roman" w:cs="Times New Roman"/>
          <w:sz w:val="28"/>
          <w:szCs w:val="28"/>
          <w:lang w:val="uk-UA"/>
        </w:rPr>
        <w:t>S</w:t>
      </w:r>
      <w:r w:rsidR="002767DC" w:rsidRPr="003E54D5">
        <w:rPr>
          <w:rFonts w:ascii="Times New Roman" w:hAnsi="Times New Roman" w:cs="Times New Roman"/>
          <w:sz w:val="28"/>
          <w:szCs w:val="28"/>
          <w:lang w:val="uk-UA"/>
        </w:rPr>
        <w:t>. As</w:t>
      </w:r>
      <w:r>
        <w:rPr>
          <w:rFonts w:ascii="Times New Roman" w:hAnsi="Times New Roman" w:cs="Times New Roman"/>
          <w:sz w:val="28"/>
          <w:szCs w:val="28"/>
          <w:lang w:val="uk-UA"/>
        </w:rPr>
        <w:t xml:space="preserve">thma and Oral Health: a review / </w:t>
      </w:r>
      <w:r>
        <w:rPr>
          <w:rFonts w:ascii="Times New Roman" w:hAnsi="Times New Roman" w:cs="Times New Roman"/>
          <w:sz w:val="28"/>
          <w:szCs w:val="28"/>
        </w:rPr>
        <w:t xml:space="preserve">M.S. </w:t>
      </w:r>
      <w:r>
        <w:rPr>
          <w:rFonts w:ascii="Times New Roman" w:hAnsi="Times New Roman" w:cs="Times New Roman"/>
          <w:sz w:val="28"/>
          <w:szCs w:val="28"/>
          <w:lang w:val="uk-UA"/>
        </w:rPr>
        <w:t>Thomas</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A. </w:t>
      </w:r>
      <w:r>
        <w:rPr>
          <w:rFonts w:ascii="Times New Roman" w:hAnsi="Times New Roman" w:cs="Times New Roman"/>
          <w:sz w:val="28"/>
          <w:szCs w:val="28"/>
          <w:lang w:val="uk-UA"/>
        </w:rPr>
        <w:t>Parolia</w:t>
      </w:r>
      <w:r w:rsidRPr="003E54D5">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Kundabala</w:t>
      </w:r>
      <w:r w:rsidRPr="00606B4A">
        <w:rPr>
          <w:rFonts w:ascii="Times New Roman" w:hAnsi="Times New Roman" w:cs="Times New Roman"/>
          <w:sz w:val="28"/>
          <w:szCs w:val="28"/>
          <w:lang w:val="uk-UA"/>
        </w:rPr>
        <w:t xml:space="preserve"> // </w:t>
      </w:r>
      <w:r>
        <w:rPr>
          <w:rFonts w:ascii="Times New Roman" w:hAnsi="Times New Roman" w:cs="Times New Roman"/>
          <w:sz w:val="28"/>
          <w:szCs w:val="28"/>
          <w:lang w:val="uk-UA"/>
        </w:rPr>
        <w:t>Australian Dental Journal.</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767DC" w:rsidRPr="003E54D5">
        <w:rPr>
          <w:rFonts w:ascii="Times New Roman" w:hAnsi="Times New Roman" w:cs="Times New Roman"/>
          <w:sz w:val="28"/>
          <w:szCs w:val="28"/>
          <w:lang w:val="uk-UA"/>
        </w:rPr>
        <w:t xml:space="preserve"> 2010</w:t>
      </w:r>
      <w:r w:rsidRPr="00606B4A">
        <w:rPr>
          <w:rFonts w:ascii="Times New Roman" w:hAnsi="Times New Roman" w:cs="Times New Roman"/>
          <w:sz w:val="28"/>
          <w:szCs w:val="28"/>
          <w:lang w:val="uk-UA"/>
        </w:rPr>
        <w:t xml:space="preserve">. – </w:t>
      </w:r>
      <w:r>
        <w:rPr>
          <w:rFonts w:ascii="Times New Roman" w:hAnsi="Times New Roman" w:cs="Times New Roman"/>
          <w:sz w:val="28"/>
          <w:szCs w:val="28"/>
        </w:rPr>
        <w:t>Vol</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55.</w:t>
      </w:r>
      <w:r w:rsidRPr="00606B4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P.</w:t>
      </w:r>
      <w:r w:rsidR="002767DC" w:rsidRPr="003E54D5">
        <w:rPr>
          <w:rFonts w:ascii="Times New Roman" w:hAnsi="Times New Roman" w:cs="Times New Roman"/>
          <w:sz w:val="28"/>
          <w:szCs w:val="28"/>
          <w:lang w:val="uk-UA"/>
        </w:rPr>
        <w:t xml:space="preserve"> 128-33.</w:t>
      </w:r>
    </w:p>
    <w:p w14:paraId="545AAC7F" w14:textId="3752FEB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3E54D5">
        <w:rPr>
          <w:rFonts w:ascii="Times New Roman" w:hAnsi="Times New Roman" w:cs="Times New Roman"/>
          <w:sz w:val="28"/>
          <w:szCs w:val="28"/>
          <w:lang w:val="uk-UA"/>
        </w:rPr>
        <w:t>Забелина К.А. Опенка состояния тканей пар</w:t>
      </w:r>
      <w:r>
        <w:rPr>
          <w:rFonts w:ascii="Times New Roman" w:hAnsi="Times New Roman" w:cs="Times New Roman"/>
          <w:sz w:val="28"/>
          <w:szCs w:val="28"/>
          <w:lang w:val="uk-UA"/>
        </w:rPr>
        <w:t>одонта у детей, больных аллерто</w:t>
      </w:r>
      <w:r w:rsidRPr="003E54D5">
        <w:rPr>
          <w:rFonts w:ascii="Times New Roman" w:hAnsi="Times New Roman" w:cs="Times New Roman"/>
          <w:sz w:val="28"/>
          <w:szCs w:val="28"/>
          <w:lang w:val="uk-UA"/>
        </w:rPr>
        <w:t>дерматозами</w:t>
      </w:r>
      <w:r w:rsidR="00606B4A" w:rsidRPr="00606B4A">
        <w:rPr>
          <w:rFonts w:ascii="Times New Roman" w:hAnsi="Times New Roman" w:cs="Times New Roman"/>
          <w:sz w:val="28"/>
          <w:szCs w:val="28"/>
          <w:lang w:val="ru-RU"/>
        </w:rPr>
        <w:t xml:space="preserve"> / </w:t>
      </w:r>
      <w:r w:rsidR="00606B4A">
        <w:rPr>
          <w:rFonts w:ascii="Times New Roman" w:hAnsi="Times New Roman" w:cs="Times New Roman"/>
          <w:sz w:val="28"/>
          <w:szCs w:val="28"/>
          <w:lang w:val="ru-RU"/>
        </w:rPr>
        <w:t>К.А. Забелина</w:t>
      </w:r>
      <w:r w:rsidRPr="003E54D5">
        <w:rPr>
          <w:rFonts w:ascii="Times New Roman" w:hAnsi="Times New Roman" w:cs="Times New Roman"/>
          <w:sz w:val="28"/>
          <w:szCs w:val="28"/>
          <w:lang w:val="uk-UA"/>
        </w:rPr>
        <w:t xml:space="preserve"> // Тр. молодых ученых. – Минск, 2000. – С. 203–207.</w:t>
      </w:r>
    </w:p>
    <w:p w14:paraId="35986877" w14:textId="71C06E06" w:rsidR="002767DC" w:rsidRDefault="00606B4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И</w:t>
      </w:r>
      <w:r w:rsidRPr="00BB23F5">
        <w:rPr>
          <w:rFonts w:ascii="Times New Roman" w:hAnsi="Times New Roman" w:cs="Times New Roman"/>
          <w:sz w:val="28"/>
          <w:szCs w:val="28"/>
          <w:lang w:val="uk-UA"/>
        </w:rPr>
        <w:t>саму</w:t>
      </w:r>
      <w:r>
        <w:rPr>
          <w:rFonts w:ascii="Times New Roman" w:hAnsi="Times New Roman" w:cs="Times New Roman"/>
          <w:sz w:val="28"/>
          <w:szCs w:val="28"/>
          <w:lang w:val="uk-UA"/>
        </w:rPr>
        <w:t xml:space="preserve">лаева А. </w:t>
      </w:r>
      <w:r w:rsidR="002767DC" w:rsidRPr="003E54D5">
        <w:rPr>
          <w:rFonts w:ascii="Times New Roman" w:hAnsi="Times New Roman" w:cs="Times New Roman"/>
          <w:sz w:val="28"/>
          <w:szCs w:val="28"/>
          <w:lang w:val="uk-UA"/>
        </w:rPr>
        <w:t>Стоматологический статус и показатели цитокинового спектра в секрете полости рта у детей с бронхиальной астмой</w:t>
      </w:r>
      <w:r w:rsidR="002767DC">
        <w:rPr>
          <w:rFonts w:ascii="Times New Roman" w:hAnsi="Times New Roman" w:cs="Times New Roman"/>
          <w:sz w:val="28"/>
          <w:szCs w:val="28"/>
          <w:lang w:val="uk-UA"/>
        </w:rPr>
        <w:t xml:space="preserve"> / </w:t>
      </w:r>
      <w:r>
        <w:rPr>
          <w:rFonts w:ascii="Times New Roman" w:hAnsi="Times New Roman" w:cs="Times New Roman"/>
          <w:sz w:val="28"/>
          <w:szCs w:val="28"/>
          <w:lang w:val="uk-UA"/>
        </w:rPr>
        <w:t>А. И</w:t>
      </w:r>
      <w:r w:rsidR="002767DC" w:rsidRPr="00BB23F5">
        <w:rPr>
          <w:rFonts w:ascii="Times New Roman" w:hAnsi="Times New Roman" w:cs="Times New Roman"/>
          <w:sz w:val="28"/>
          <w:szCs w:val="28"/>
          <w:lang w:val="uk-UA"/>
        </w:rPr>
        <w:t>саму</w:t>
      </w:r>
      <w:r>
        <w:rPr>
          <w:rFonts w:ascii="Times New Roman" w:hAnsi="Times New Roman" w:cs="Times New Roman"/>
          <w:sz w:val="28"/>
          <w:szCs w:val="28"/>
          <w:lang w:val="uk-UA"/>
        </w:rPr>
        <w:t>лаева, Д. Зинулгабделовна, Т. Д</w:t>
      </w:r>
      <w:r w:rsidR="002767DC" w:rsidRPr="00BB23F5">
        <w:rPr>
          <w:rFonts w:ascii="Times New Roman" w:hAnsi="Times New Roman" w:cs="Times New Roman"/>
          <w:sz w:val="28"/>
          <w:szCs w:val="28"/>
          <w:lang w:val="uk-UA"/>
        </w:rPr>
        <w:t xml:space="preserve">анилина </w:t>
      </w:r>
      <w:r>
        <w:rPr>
          <w:rFonts w:ascii="Times New Roman" w:hAnsi="Times New Roman" w:cs="Times New Roman"/>
          <w:sz w:val="28"/>
          <w:szCs w:val="28"/>
          <w:lang w:val="uk-UA"/>
        </w:rPr>
        <w:t xml:space="preserve">и др. </w:t>
      </w:r>
      <w:r w:rsidR="002767DC">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BB23F5">
        <w:rPr>
          <w:rFonts w:ascii="Times New Roman" w:hAnsi="Times New Roman" w:cs="Times New Roman"/>
          <w:sz w:val="28"/>
          <w:szCs w:val="28"/>
          <w:lang w:val="uk-UA"/>
        </w:rPr>
        <w:t>страханский медицинский журнал</w:t>
      </w:r>
      <w:r w:rsidR="002767DC">
        <w:rPr>
          <w:rFonts w:ascii="Times New Roman" w:hAnsi="Times New Roman" w:cs="Times New Roman"/>
          <w:sz w:val="28"/>
          <w:szCs w:val="28"/>
          <w:lang w:val="uk-UA"/>
        </w:rPr>
        <w:t>. – 2010. – Т.5, №4. – С.33-37</w:t>
      </w:r>
      <w:r>
        <w:rPr>
          <w:rFonts w:ascii="Times New Roman" w:hAnsi="Times New Roman" w:cs="Times New Roman"/>
          <w:sz w:val="28"/>
          <w:szCs w:val="28"/>
          <w:lang w:val="uk-UA"/>
        </w:rPr>
        <w:t>.</w:t>
      </w:r>
    </w:p>
    <w:p w14:paraId="32EC7F63" w14:textId="5958B1CB"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BB23F5">
        <w:rPr>
          <w:rFonts w:ascii="Times New Roman" w:hAnsi="Times New Roman" w:cs="Times New Roman"/>
          <w:sz w:val="28"/>
          <w:szCs w:val="28"/>
          <w:lang w:val="uk-UA"/>
        </w:rPr>
        <w:t xml:space="preserve">Uppal R. Association between asthma and chronic periodontitis: a clinical study / R. Uppal, R.. Brar, F. Goel // Pakistan oral &amp; dental journal. </w:t>
      </w:r>
      <w:r w:rsidR="004E3E8D" w:rsidRPr="00BB23F5">
        <w:rPr>
          <w:rFonts w:ascii="Times New Roman" w:hAnsi="Times New Roman" w:cs="Times New Roman"/>
          <w:sz w:val="28"/>
          <w:szCs w:val="28"/>
          <w:lang w:val="uk-UA"/>
        </w:rPr>
        <w:t>–</w:t>
      </w:r>
      <w:r w:rsidRPr="00BB23F5">
        <w:rPr>
          <w:rFonts w:ascii="Times New Roman" w:hAnsi="Times New Roman" w:cs="Times New Roman"/>
          <w:sz w:val="28"/>
          <w:szCs w:val="28"/>
          <w:lang w:val="uk-UA"/>
        </w:rPr>
        <w:t xml:space="preserve"> 2015. </w:t>
      </w:r>
      <w:r w:rsidR="004E3E8D" w:rsidRPr="00BB23F5">
        <w:rPr>
          <w:rFonts w:ascii="Times New Roman" w:hAnsi="Times New Roman" w:cs="Times New Roman"/>
          <w:sz w:val="28"/>
          <w:szCs w:val="28"/>
          <w:lang w:val="uk-UA"/>
        </w:rPr>
        <w:t xml:space="preserve">– Vol 35, no. 3. </w:t>
      </w:r>
      <w:r w:rsidRPr="00BB23F5">
        <w:rPr>
          <w:rFonts w:ascii="Times New Roman" w:hAnsi="Times New Roman" w:cs="Times New Roman"/>
          <w:sz w:val="28"/>
          <w:szCs w:val="28"/>
          <w:lang w:val="uk-UA"/>
        </w:rPr>
        <w:t>– P. 448-451</w:t>
      </w:r>
      <w:r w:rsidR="004E3E8D">
        <w:rPr>
          <w:rFonts w:ascii="Times New Roman" w:hAnsi="Times New Roman" w:cs="Times New Roman"/>
          <w:sz w:val="28"/>
          <w:szCs w:val="28"/>
        </w:rPr>
        <w:t>.</w:t>
      </w:r>
    </w:p>
    <w:p w14:paraId="10A7D91F" w14:textId="77777777" w:rsidR="004E3E8D" w:rsidRDefault="002767DC" w:rsidP="004E3E8D">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 xml:space="preserve">Yaghobee S. Association between </w:t>
      </w:r>
      <w:r w:rsidR="00606B4A">
        <w:rPr>
          <w:rFonts w:ascii="Times New Roman" w:hAnsi="Times New Roman" w:cs="Times New Roman"/>
          <w:sz w:val="28"/>
          <w:szCs w:val="28"/>
          <w:lang w:val="uk-UA"/>
        </w:rPr>
        <w:t xml:space="preserve">asthma and periodontal diseases </w:t>
      </w:r>
      <w:r w:rsidR="00606B4A">
        <w:rPr>
          <w:rFonts w:ascii="Times New Roman" w:hAnsi="Times New Roman" w:cs="Times New Roman"/>
          <w:sz w:val="28"/>
          <w:szCs w:val="28"/>
        </w:rPr>
        <w:t xml:space="preserve">/ S. </w:t>
      </w:r>
      <w:r w:rsidR="00606B4A">
        <w:rPr>
          <w:rFonts w:ascii="Times New Roman" w:hAnsi="Times New Roman" w:cs="Times New Roman"/>
          <w:sz w:val="28"/>
          <w:szCs w:val="28"/>
          <w:lang w:val="uk-UA"/>
        </w:rPr>
        <w:t>Yaghobee</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 </w:t>
      </w:r>
      <w:r w:rsidR="00606B4A">
        <w:rPr>
          <w:rFonts w:ascii="Times New Roman" w:hAnsi="Times New Roman" w:cs="Times New Roman"/>
          <w:sz w:val="28"/>
          <w:szCs w:val="28"/>
          <w:lang w:val="uk-UA"/>
        </w:rPr>
        <w:t>Paknejad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A. </w:t>
      </w:r>
      <w:r w:rsidR="00606B4A">
        <w:rPr>
          <w:rFonts w:ascii="Times New Roman" w:hAnsi="Times New Roman" w:cs="Times New Roman"/>
          <w:sz w:val="28"/>
          <w:szCs w:val="28"/>
          <w:lang w:val="uk-UA"/>
        </w:rPr>
        <w:t>Khorsand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w:t>
      </w:r>
      <w:r w:rsidRPr="00040724">
        <w:rPr>
          <w:rFonts w:ascii="Times New Roman" w:hAnsi="Times New Roman" w:cs="Times New Roman"/>
          <w:sz w:val="28"/>
          <w:szCs w:val="28"/>
          <w:lang w:val="uk-UA"/>
        </w:rPr>
        <w:t xml:space="preserve"> Journal of Dent</w:t>
      </w:r>
      <w:r w:rsidR="00606B4A">
        <w:rPr>
          <w:rFonts w:ascii="Times New Roman" w:hAnsi="Times New Roman" w:cs="Times New Roman"/>
          <w:sz w:val="28"/>
          <w:szCs w:val="28"/>
          <w:lang w:val="uk-UA"/>
        </w:rPr>
        <w:t xml:space="preserve">istry </w:t>
      </w:r>
      <w:r>
        <w:rPr>
          <w:rFonts w:ascii="Times New Roman" w:hAnsi="Times New Roman" w:cs="Times New Roman"/>
          <w:sz w:val="28"/>
          <w:szCs w:val="28"/>
          <w:lang w:val="uk-UA"/>
        </w:rPr>
        <w:t>TUMS</w:t>
      </w:r>
      <w:r w:rsidR="00606B4A">
        <w:rPr>
          <w:rFonts w:ascii="Times New Roman" w:hAnsi="Times New Roman" w:cs="Times New Roman"/>
          <w:sz w:val="28"/>
          <w:szCs w:val="28"/>
        </w:rPr>
        <w:t>. –</w:t>
      </w:r>
      <w:r>
        <w:rPr>
          <w:rFonts w:ascii="Times New Roman" w:hAnsi="Times New Roman" w:cs="Times New Roman"/>
          <w:sz w:val="28"/>
          <w:szCs w:val="28"/>
          <w:lang w:val="uk-UA"/>
        </w:rPr>
        <w:t xml:space="preserve"> 2008</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5(2).</w:t>
      </w:r>
      <w:r w:rsidR="00606B4A">
        <w:rPr>
          <w:rFonts w:ascii="Times New Roman" w:hAnsi="Times New Roman" w:cs="Times New Roman"/>
          <w:sz w:val="28"/>
          <w:szCs w:val="28"/>
        </w:rPr>
        <w:t xml:space="preserve"> – P.</w:t>
      </w:r>
      <w:r>
        <w:rPr>
          <w:rFonts w:ascii="Times New Roman" w:hAnsi="Times New Roman" w:cs="Times New Roman"/>
          <w:sz w:val="28"/>
          <w:szCs w:val="28"/>
          <w:lang w:val="uk-UA"/>
        </w:rPr>
        <w:t xml:space="preserve"> 47-51.</w:t>
      </w:r>
    </w:p>
    <w:p w14:paraId="383375E4" w14:textId="77777777" w:rsidR="004E3E8D" w:rsidRPr="004E3E8D" w:rsidRDefault="004E3E8D" w:rsidP="004E3E8D">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E3E8D">
        <w:rPr>
          <w:rFonts w:ascii="Times New Roman" w:hAnsi="Times New Roman" w:cs="Times New Roman"/>
          <w:color w:val="000000"/>
          <w:sz w:val="28"/>
          <w:szCs w:val="28"/>
        </w:rPr>
        <w:t xml:space="preserve">Jorgensen G.H. </w:t>
      </w:r>
      <w:r w:rsidRPr="004E3E8D">
        <w:rPr>
          <w:rFonts w:ascii="Times New Roman" w:eastAsiaTheme="majorEastAsia" w:hAnsi="Times New Roman" w:cs="Times New Roman"/>
          <w:color w:val="000000"/>
          <w:sz w:val="28"/>
          <w:szCs w:val="28"/>
        </w:rPr>
        <w:t>Immunoglobulin A deficiency and oral health status: a case-control study.</w:t>
      </w:r>
      <w:r w:rsidRPr="004E3E8D">
        <w:rPr>
          <w:rFonts w:ascii="Times New Roman" w:hAnsi="Times New Roman" w:cs="Times New Roman"/>
          <w:sz w:val="28"/>
          <w:szCs w:val="28"/>
        </w:rPr>
        <w:t xml:space="preserve"> / G.H. </w:t>
      </w:r>
      <w:r w:rsidRPr="004E3E8D">
        <w:rPr>
          <w:rFonts w:ascii="Times New Roman" w:hAnsi="Times New Roman" w:cs="Times New Roman"/>
          <w:color w:val="000000"/>
          <w:sz w:val="28"/>
          <w:szCs w:val="28"/>
        </w:rPr>
        <w:t xml:space="preserve">Jorgensen, S. Arnlaugsson, A. Theodors // </w:t>
      </w:r>
      <w:r w:rsidRPr="004E3E8D">
        <w:rPr>
          <w:rStyle w:val="jrnl"/>
          <w:rFonts w:ascii="Times New Roman" w:hAnsi="Times New Roman" w:cs="Times New Roman"/>
          <w:color w:val="000000"/>
          <w:sz w:val="28"/>
          <w:szCs w:val="28"/>
        </w:rPr>
        <w:t>J Clin Periodontol</w:t>
      </w:r>
      <w:r w:rsidRPr="004E3E8D">
        <w:rPr>
          <w:rFonts w:ascii="Times New Roman" w:hAnsi="Times New Roman" w:cs="Times New Roman"/>
          <w:color w:val="000000"/>
          <w:sz w:val="28"/>
          <w:szCs w:val="28"/>
        </w:rPr>
        <w:t>. – 2010. – Vol. 37(1). – P. 1-8.</w:t>
      </w:r>
    </w:p>
    <w:p w14:paraId="7BBE6575" w14:textId="746AD87B" w:rsidR="002767DC" w:rsidRPr="00890D6E" w:rsidRDefault="00890D6E" w:rsidP="004E3E8D">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90D6E">
        <w:rPr>
          <w:rFonts w:ascii="Times New Roman" w:hAnsi="Times New Roman" w:cs="Times New Roman"/>
          <w:sz w:val="28"/>
          <w:szCs w:val="28"/>
        </w:rPr>
        <w:t>Tar I.</w:t>
      </w:r>
      <w:r w:rsidR="004E3E8D" w:rsidRPr="00890D6E">
        <w:rPr>
          <w:rFonts w:ascii="Times New Roman" w:hAnsi="Times New Roman" w:cs="Times New Roman"/>
          <w:sz w:val="28"/>
          <w:szCs w:val="28"/>
          <w:lang w:val="uk-UA"/>
        </w:rPr>
        <w:t xml:space="preserve"> </w:t>
      </w:r>
      <w:r w:rsidR="004E3E8D" w:rsidRPr="00890D6E">
        <w:rPr>
          <w:rFonts w:ascii="Times New Roman" w:eastAsiaTheme="majorEastAsia" w:hAnsi="Times New Roman" w:cs="Times New Roman"/>
          <w:color w:val="000000"/>
          <w:sz w:val="28"/>
          <w:szCs w:val="28"/>
        </w:rPr>
        <w:t>Oral and dental conditions of childre</w:t>
      </w:r>
      <w:r w:rsidRPr="00890D6E">
        <w:rPr>
          <w:rFonts w:ascii="Times New Roman" w:eastAsiaTheme="majorEastAsia" w:hAnsi="Times New Roman" w:cs="Times New Roman"/>
          <w:color w:val="000000"/>
          <w:sz w:val="28"/>
          <w:szCs w:val="28"/>
        </w:rPr>
        <w:t xml:space="preserve">n with selective IgA deficiency / I. </w:t>
      </w:r>
      <w:r w:rsidRPr="00890D6E">
        <w:rPr>
          <w:rFonts w:ascii="Times New Roman" w:hAnsi="Times New Roman" w:cs="Times New Roman"/>
          <w:color w:val="000000"/>
          <w:sz w:val="28"/>
          <w:szCs w:val="28"/>
        </w:rPr>
        <w:t>Tar</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C. Kiss</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 xml:space="preserve">L. Maródi et al. // </w:t>
      </w:r>
      <w:r w:rsidR="004E3E8D" w:rsidRPr="00890D6E">
        <w:rPr>
          <w:rStyle w:val="jrnl"/>
          <w:rFonts w:ascii="Times New Roman" w:hAnsi="Times New Roman" w:cs="Times New Roman"/>
          <w:color w:val="000000"/>
          <w:sz w:val="28"/>
          <w:szCs w:val="28"/>
        </w:rPr>
        <w:t>Pediatr Allergy Immunol</w:t>
      </w:r>
      <w:r w:rsidR="004E3E8D" w:rsidRPr="00890D6E">
        <w:rPr>
          <w:rFonts w:ascii="Times New Roman" w:hAnsi="Times New Roman" w:cs="Times New Roman"/>
          <w:color w:val="000000"/>
          <w:sz w:val="28"/>
          <w:szCs w:val="28"/>
        </w:rPr>
        <w:t xml:space="preserve">. </w:t>
      </w:r>
      <w:r w:rsidRPr="00890D6E">
        <w:rPr>
          <w:rFonts w:ascii="Times New Roman" w:hAnsi="Times New Roman" w:cs="Times New Roman"/>
          <w:color w:val="000000"/>
          <w:sz w:val="28"/>
          <w:szCs w:val="28"/>
        </w:rPr>
        <w:t xml:space="preserve">– </w:t>
      </w:r>
      <w:r w:rsidR="004E3E8D" w:rsidRPr="00890D6E">
        <w:rPr>
          <w:rFonts w:ascii="Times New Roman" w:hAnsi="Times New Roman" w:cs="Times New Roman"/>
          <w:color w:val="000000"/>
          <w:sz w:val="28"/>
          <w:szCs w:val="28"/>
        </w:rPr>
        <w:t>2</w:t>
      </w:r>
      <w:r w:rsidRPr="00890D6E">
        <w:rPr>
          <w:rFonts w:ascii="Times New Roman" w:hAnsi="Times New Roman" w:cs="Times New Roman"/>
          <w:color w:val="000000"/>
          <w:sz w:val="28"/>
          <w:szCs w:val="28"/>
        </w:rPr>
        <w:t>008. – Vol. 19(1). – P.</w:t>
      </w:r>
      <w:r w:rsidR="004E3E8D" w:rsidRPr="00890D6E">
        <w:rPr>
          <w:rFonts w:ascii="Times New Roman" w:hAnsi="Times New Roman" w:cs="Times New Roman"/>
          <w:color w:val="000000"/>
          <w:sz w:val="28"/>
          <w:szCs w:val="28"/>
        </w:rPr>
        <w:t>33-</w:t>
      </w:r>
      <w:r w:rsidRPr="00890D6E">
        <w:rPr>
          <w:rFonts w:ascii="Times New Roman" w:hAnsi="Times New Roman" w:cs="Times New Roman"/>
          <w:color w:val="000000"/>
          <w:sz w:val="28"/>
          <w:szCs w:val="28"/>
        </w:rPr>
        <w:t>3</w:t>
      </w:r>
      <w:r w:rsidR="004E3E8D" w:rsidRPr="00890D6E">
        <w:rPr>
          <w:rFonts w:ascii="Times New Roman" w:hAnsi="Times New Roman" w:cs="Times New Roman"/>
          <w:color w:val="000000"/>
          <w:sz w:val="28"/>
          <w:szCs w:val="28"/>
        </w:rPr>
        <w:t>6.</w:t>
      </w:r>
    </w:p>
    <w:p w14:paraId="5247245A" w14:textId="637133B8"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M</w:t>
      </w:r>
      <w:r w:rsidR="00606B4A">
        <w:rPr>
          <w:rFonts w:ascii="Times New Roman" w:hAnsi="Times New Roman" w:cs="Times New Roman"/>
          <w:sz w:val="28"/>
          <w:szCs w:val="28"/>
          <w:lang w:val="uk-UA"/>
        </w:rPr>
        <w:t>cDerra E</w:t>
      </w:r>
      <w:r w:rsidR="00606B4A">
        <w:rPr>
          <w:rFonts w:ascii="Times New Roman" w:hAnsi="Times New Roman" w:cs="Times New Roman"/>
          <w:sz w:val="28"/>
          <w:szCs w:val="28"/>
        </w:rPr>
        <w:t>.</w:t>
      </w:r>
      <w:r w:rsidR="00606B4A">
        <w:rPr>
          <w:rFonts w:ascii="Times New Roman" w:hAnsi="Times New Roman" w:cs="Times New Roman"/>
          <w:sz w:val="28"/>
          <w:szCs w:val="28"/>
          <w:lang w:val="uk-UA"/>
        </w:rPr>
        <w:t>J</w:t>
      </w:r>
      <w:r w:rsidRPr="00040724">
        <w:rPr>
          <w:rFonts w:ascii="Times New Roman" w:hAnsi="Times New Roman" w:cs="Times New Roman"/>
          <w:sz w:val="28"/>
          <w:szCs w:val="28"/>
          <w:lang w:val="uk-UA"/>
        </w:rPr>
        <w:t>. The dental status of as</w:t>
      </w:r>
      <w:r w:rsidR="00606B4A">
        <w:rPr>
          <w:rFonts w:ascii="Times New Roman" w:hAnsi="Times New Roman" w:cs="Times New Roman"/>
          <w:sz w:val="28"/>
          <w:szCs w:val="28"/>
          <w:lang w:val="uk-UA"/>
        </w:rPr>
        <w:t xml:space="preserve">thmatic British school children / </w:t>
      </w:r>
      <w:r w:rsidR="00606B4A">
        <w:rPr>
          <w:rFonts w:ascii="Times New Roman" w:hAnsi="Times New Roman" w:cs="Times New Roman"/>
          <w:sz w:val="28"/>
          <w:szCs w:val="28"/>
        </w:rPr>
        <w:t xml:space="preserve">E.J. </w:t>
      </w:r>
      <w:r w:rsidR="00606B4A">
        <w:rPr>
          <w:rFonts w:ascii="Times New Roman" w:hAnsi="Times New Roman" w:cs="Times New Roman"/>
          <w:sz w:val="28"/>
          <w:szCs w:val="28"/>
          <w:lang w:val="uk-UA"/>
        </w:rPr>
        <w:t>McDerra</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M.A. </w:t>
      </w:r>
      <w:r w:rsidR="00606B4A">
        <w:rPr>
          <w:rFonts w:ascii="Times New Roman" w:hAnsi="Times New Roman" w:cs="Times New Roman"/>
          <w:sz w:val="28"/>
          <w:szCs w:val="28"/>
          <w:lang w:val="uk-UA"/>
        </w:rPr>
        <w:t>Pollard</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 xml:space="preserve">M.E. </w:t>
      </w:r>
      <w:r w:rsidR="00606B4A">
        <w:rPr>
          <w:rFonts w:ascii="Times New Roman" w:hAnsi="Times New Roman" w:cs="Times New Roman"/>
          <w:sz w:val="28"/>
          <w:szCs w:val="28"/>
          <w:lang w:val="uk-UA"/>
        </w:rPr>
        <w:t>Curzon</w:t>
      </w:r>
      <w:r w:rsidR="00606B4A" w:rsidRPr="00040724">
        <w:rPr>
          <w:rFonts w:ascii="Times New Roman" w:hAnsi="Times New Roman" w:cs="Times New Roman"/>
          <w:sz w:val="28"/>
          <w:szCs w:val="28"/>
          <w:lang w:val="uk-UA"/>
        </w:rPr>
        <w:t xml:space="preserve"> </w:t>
      </w:r>
      <w:r w:rsidR="00606B4A">
        <w:rPr>
          <w:rFonts w:ascii="Times New Roman" w:hAnsi="Times New Roman" w:cs="Times New Roman"/>
          <w:sz w:val="28"/>
          <w:szCs w:val="28"/>
        </w:rPr>
        <w:t>//</w:t>
      </w:r>
      <w:r w:rsidRPr="00040724">
        <w:rPr>
          <w:rFonts w:ascii="Times New Roman" w:hAnsi="Times New Roman" w:cs="Times New Roman"/>
          <w:sz w:val="28"/>
          <w:szCs w:val="28"/>
          <w:lang w:val="uk-UA"/>
        </w:rPr>
        <w:t xml:space="preserve"> Pediatr Dent</w:t>
      </w:r>
      <w:r w:rsidR="00606B4A">
        <w:rPr>
          <w:rFonts w:ascii="Times New Roman" w:hAnsi="Times New Roman" w:cs="Times New Roman"/>
          <w:sz w:val="28"/>
          <w:szCs w:val="28"/>
        </w:rPr>
        <w:t>. –</w:t>
      </w:r>
      <w:r w:rsidRPr="00040724">
        <w:rPr>
          <w:rFonts w:ascii="Times New Roman" w:hAnsi="Times New Roman" w:cs="Times New Roman"/>
          <w:sz w:val="28"/>
          <w:szCs w:val="28"/>
          <w:lang w:val="uk-UA"/>
        </w:rPr>
        <w:t xml:space="preserve"> 1998</w:t>
      </w:r>
      <w:r w:rsidR="00606B4A">
        <w:rPr>
          <w:rFonts w:ascii="Times New Roman" w:hAnsi="Times New Roman" w:cs="Times New Roman"/>
          <w:sz w:val="28"/>
          <w:szCs w:val="28"/>
        </w:rPr>
        <w:t>. – Vol.</w:t>
      </w:r>
      <w:r w:rsidR="00606B4A">
        <w:rPr>
          <w:rFonts w:ascii="Times New Roman" w:hAnsi="Times New Roman" w:cs="Times New Roman"/>
          <w:sz w:val="28"/>
          <w:szCs w:val="28"/>
          <w:lang w:val="uk-UA"/>
        </w:rPr>
        <w:t xml:space="preserve"> 20(4)</w:t>
      </w:r>
      <w:r w:rsidR="00606B4A">
        <w:rPr>
          <w:rFonts w:ascii="Times New Roman" w:hAnsi="Times New Roman" w:cs="Times New Roman"/>
          <w:sz w:val="28"/>
          <w:szCs w:val="28"/>
        </w:rPr>
        <w:t>. – P.</w:t>
      </w:r>
      <w:r w:rsidRPr="00040724">
        <w:rPr>
          <w:rFonts w:ascii="Times New Roman" w:hAnsi="Times New Roman" w:cs="Times New Roman"/>
          <w:sz w:val="28"/>
          <w:szCs w:val="28"/>
          <w:lang w:val="uk-UA"/>
        </w:rPr>
        <w:t xml:space="preserve"> 281-</w:t>
      </w:r>
      <w:r w:rsidR="00606B4A">
        <w:rPr>
          <w:rFonts w:ascii="Times New Roman" w:hAnsi="Times New Roman" w:cs="Times New Roman"/>
          <w:sz w:val="28"/>
          <w:szCs w:val="28"/>
        </w:rPr>
        <w:t>2</w:t>
      </w:r>
      <w:r w:rsidRPr="00040724">
        <w:rPr>
          <w:rFonts w:ascii="Times New Roman" w:hAnsi="Times New Roman" w:cs="Times New Roman"/>
          <w:sz w:val="28"/>
          <w:szCs w:val="28"/>
          <w:lang w:val="uk-UA"/>
        </w:rPr>
        <w:t>87</w:t>
      </w:r>
      <w:r w:rsidR="00606B4A">
        <w:rPr>
          <w:rFonts w:ascii="Times New Roman" w:hAnsi="Times New Roman" w:cs="Times New Roman"/>
          <w:sz w:val="28"/>
          <w:szCs w:val="28"/>
        </w:rPr>
        <w:t>.</w:t>
      </w:r>
    </w:p>
    <w:p w14:paraId="629C1985" w14:textId="77777777" w:rsidR="00890D6E" w:rsidRPr="00890D6E" w:rsidRDefault="00606B4A"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Shulman J</w:t>
      </w:r>
      <w:r>
        <w:rPr>
          <w:rFonts w:ascii="Times New Roman" w:hAnsi="Times New Roman" w:cs="Times New Roman"/>
          <w:sz w:val="28"/>
          <w:szCs w:val="28"/>
        </w:rPr>
        <w:t>.</w:t>
      </w:r>
      <w:r>
        <w:rPr>
          <w:rFonts w:ascii="Times New Roman" w:hAnsi="Times New Roman" w:cs="Times New Roman"/>
          <w:sz w:val="28"/>
          <w:szCs w:val="28"/>
          <w:lang w:val="uk-UA"/>
        </w:rPr>
        <w:t>D</w:t>
      </w:r>
      <w:r w:rsidR="002767DC" w:rsidRPr="00040724">
        <w:rPr>
          <w:rFonts w:ascii="Times New Roman" w:hAnsi="Times New Roman" w:cs="Times New Roman"/>
          <w:sz w:val="28"/>
          <w:szCs w:val="28"/>
          <w:lang w:val="uk-UA"/>
        </w:rPr>
        <w:t xml:space="preserve">. The prevalence of periodontalrelated changes in adolescents with asthma: results of the third annual national health and </w:t>
      </w:r>
      <w:r>
        <w:rPr>
          <w:rFonts w:ascii="Times New Roman" w:hAnsi="Times New Roman" w:cs="Times New Roman"/>
          <w:sz w:val="28"/>
          <w:szCs w:val="28"/>
          <w:lang w:val="uk-UA"/>
        </w:rPr>
        <w:t xml:space="preserve">nutrition examination survey / </w:t>
      </w:r>
      <w:r w:rsidRPr="00040724">
        <w:rPr>
          <w:rFonts w:ascii="Times New Roman" w:hAnsi="Times New Roman" w:cs="Times New Roman"/>
          <w:sz w:val="28"/>
          <w:szCs w:val="28"/>
          <w:lang w:val="uk-UA"/>
        </w:rPr>
        <w:t>J</w:t>
      </w:r>
      <w:r>
        <w:rPr>
          <w:rFonts w:ascii="Times New Roman" w:hAnsi="Times New Roman" w:cs="Times New Roman"/>
          <w:sz w:val="28"/>
          <w:szCs w:val="28"/>
        </w:rPr>
        <w:t>.</w:t>
      </w:r>
      <w:r w:rsidRPr="00040724">
        <w:rPr>
          <w:rFonts w:ascii="Times New Roman" w:hAnsi="Times New Roman" w:cs="Times New Roman"/>
          <w:sz w:val="28"/>
          <w:szCs w:val="28"/>
          <w:lang w:val="uk-UA"/>
        </w:rPr>
        <w:t>D</w:t>
      </w:r>
      <w:r>
        <w:rPr>
          <w:rFonts w:ascii="Times New Roman" w:hAnsi="Times New Roman" w:cs="Times New Roman"/>
          <w:sz w:val="28"/>
          <w:szCs w:val="28"/>
        </w:rPr>
        <w:t xml:space="preserve">. </w:t>
      </w:r>
      <w:r w:rsidRPr="00040724">
        <w:rPr>
          <w:rFonts w:ascii="Times New Roman" w:hAnsi="Times New Roman" w:cs="Times New Roman"/>
          <w:sz w:val="28"/>
          <w:szCs w:val="28"/>
          <w:lang w:val="uk-UA"/>
        </w:rPr>
        <w:t xml:space="preserve">Shulman, </w:t>
      </w:r>
      <w:r>
        <w:rPr>
          <w:rFonts w:ascii="Times New Roman" w:hAnsi="Times New Roman" w:cs="Times New Roman"/>
          <w:sz w:val="28"/>
          <w:szCs w:val="28"/>
        </w:rPr>
        <w:t xml:space="preserve">M.E. </w:t>
      </w:r>
      <w:r>
        <w:rPr>
          <w:rFonts w:ascii="Times New Roman" w:hAnsi="Times New Roman" w:cs="Times New Roman"/>
          <w:sz w:val="28"/>
          <w:szCs w:val="28"/>
          <w:lang w:val="uk-UA"/>
        </w:rPr>
        <w:t>Nunn</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S.E. </w:t>
      </w:r>
      <w:r>
        <w:rPr>
          <w:rFonts w:ascii="Times New Roman" w:hAnsi="Times New Roman" w:cs="Times New Roman"/>
          <w:sz w:val="28"/>
          <w:szCs w:val="28"/>
          <w:lang w:val="uk-UA"/>
        </w:rPr>
        <w:t>Taylor</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 xml:space="preserve"> Pediatr Dent</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2003</w:t>
      </w:r>
      <w:r>
        <w:rPr>
          <w:rFonts w:ascii="Times New Roman" w:hAnsi="Times New Roman" w:cs="Times New Roman"/>
          <w:sz w:val="28"/>
          <w:szCs w:val="28"/>
        </w:rPr>
        <w:t>. – Vol.</w:t>
      </w:r>
      <w:r>
        <w:rPr>
          <w:rFonts w:ascii="Times New Roman" w:hAnsi="Times New Roman" w:cs="Times New Roman"/>
          <w:sz w:val="28"/>
          <w:szCs w:val="28"/>
          <w:lang w:val="uk-UA"/>
        </w:rPr>
        <w:t xml:space="preserve"> 25(3)</w:t>
      </w:r>
      <w:r>
        <w:rPr>
          <w:rFonts w:ascii="Times New Roman" w:hAnsi="Times New Roman" w:cs="Times New Roman"/>
          <w:sz w:val="28"/>
          <w:szCs w:val="28"/>
        </w:rPr>
        <w:t>. – P.</w:t>
      </w:r>
      <w:r w:rsidR="002767DC" w:rsidRPr="00040724">
        <w:rPr>
          <w:rFonts w:ascii="Times New Roman" w:hAnsi="Times New Roman" w:cs="Times New Roman"/>
          <w:sz w:val="28"/>
          <w:szCs w:val="28"/>
          <w:lang w:val="uk-UA"/>
        </w:rPr>
        <w:t xml:space="preserve"> 279-</w:t>
      </w:r>
      <w:r>
        <w:rPr>
          <w:rFonts w:ascii="Times New Roman" w:hAnsi="Times New Roman" w:cs="Times New Roman"/>
          <w:sz w:val="28"/>
          <w:szCs w:val="28"/>
        </w:rPr>
        <w:t>2</w:t>
      </w:r>
      <w:r w:rsidR="002767DC" w:rsidRPr="00040724">
        <w:rPr>
          <w:rFonts w:ascii="Times New Roman" w:hAnsi="Times New Roman" w:cs="Times New Roman"/>
          <w:sz w:val="28"/>
          <w:szCs w:val="28"/>
          <w:lang w:val="uk-UA"/>
        </w:rPr>
        <w:t>84</w:t>
      </w:r>
      <w:r>
        <w:rPr>
          <w:rFonts w:ascii="Times New Roman" w:hAnsi="Times New Roman" w:cs="Times New Roman"/>
          <w:sz w:val="28"/>
          <w:szCs w:val="28"/>
        </w:rPr>
        <w:t>.</w:t>
      </w:r>
    </w:p>
    <w:p w14:paraId="580859E3" w14:textId="6C665A36" w:rsidR="002767DC" w:rsidRPr="00890D6E" w:rsidRDefault="00890D6E"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890D6E">
        <w:rPr>
          <w:rFonts w:ascii="Times New Roman" w:eastAsia="Times New Roman" w:hAnsi="Times New Roman" w:cs="Times New Roman"/>
          <w:iCs/>
          <w:color w:val="303030"/>
          <w:sz w:val="28"/>
          <w:szCs w:val="28"/>
        </w:rPr>
        <w:t>Jorgensen G.H.</w:t>
      </w:r>
      <w:r w:rsidRPr="00890D6E">
        <w:rPr>
          <w:rFonts w:ascii="Times New Roman" w:eastAsia="Times New Roman" w:hAnsi="Times New Roman" w:cs="Times New Roman"/>
          <w:color w:val="303030"/>
          <w:sz w:val="28"/>
          <w:szCs w:val="28"/>
          <w:shd w:val="clear" w:color="auto" w:fill="FFFFFF"/>
        </w:rPr>
        <w:t xml:space="preserve"> Immunoglobulin A deficiency and oral health status: a case-control study / G.H. </w:t>
      </w:r>
      <w:r w:rsidRPr="00890D6E">
        <w:rPr>
          <w:rFonts w:ascii="Times New Roman" w:eastAsia="Times New Roman" w:hAnsi="Times New Roman" w:cs="Times New Roman"/>
          <w:iCs/>
          <w:color w:val="303030"/>
          <w:sz w:val="28"/>
          <w:szCs w:val="28"/>
        </w:rPr>
        <w:t>Jorgensen, S. Arnlaugsson, A. Theodors</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J Clin Periodontol.</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2</w:t>
      </w:r>
      <w:r>
        <w:rPr>
          <w:rFonts w:ascii="Times New Roman" w:eastAsia="Times New Roman" w:hAnsi="Times New Roman" w:cs="Times New Roman"/>
          <w:iCs/>
          <w:color w:val="303030"/>
          <w:sz w:val="28"/>
          <w:szCs w:val="28"/>
        </w:rPr>
        <w:t>010. – Vol. 37(1). – P.</w:t>
      </w:r>
      <w:r w:rsidRPr="00890D6E">
        <w:rPr>
          <w:rFonts w:ascii="Times New Roman" w:eastAsia="Times New Roman" w:hAnsi="Times New Roman" w:cs="Times New Roman"/>
          <w:iCs/>
          <w:color w:val="303030"/>
          <w:sz w:val="28"/>
          <w:szCs w:val="28"/>
        </w:rPr>
        <w:t>1-8</w:t>
      </w:r>
      <w:r>
        <w:rPr>
          <w:rFonts w:ascii="Times New Roman" w:eastAsia="Times New Roman" w:hAnsi="Times New Roman" w:cs="Times New Roman"/>
          <w:iCs/>
          <w:color w:val="303030"/>
          <w:sz w:val="28"/>
          <w:szCs w:val="28"/>
        </w:rPr>
        <w:t>.</w:t>
      </w:r>
    </w:p>
    <w:p w14:paraId="536D4E21" w14:textId="44C4FA88" w:rsidR="002767DC" w:rsidRDefault="00606B4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Thanabalan D</w:t>
      </w:r>
      <w:r w:rsidR="002767DC" w:rsidRPr="00040724">
        <w:rPr>
          <w:rFonts w:ascii="Times New Roman" w:hAnsi="Times New Roman" w:cs="Times New Roman"/>
          <w:sz w:val="28"/>
          <w:szCs w:val="28"/>
          <w:lang w:val="uk-UA"/>
        </w:rPr>
        <w:t>. Association between periodontitis and respiratory disease</w:t>
      </w:r>
      <w:r>
        <w:rPr>
          <w:rFonts w:ascii="Times New Roman" w:hAnsi="Times New Roman" w:cs="Times New Roman"/>
          <w:sz w:val="28"/>
          <w:szCs w:val="28"/>
        </w:rPr>
        <w:t xml:space="preserve"> </w:t>
      </w:r>
      <w:r>
        <w:rPr>
          <w:rFonts w:ascii="Times New Roman" w:hAnsi="Times New Roman" w:cs="Times New Roman"/>
          <w:sz w:val="28"/>
          <w:szCs w:val="28"/>
          <w:lang w:val="uk-UA"/>
        </w:rPr>
        <w:t>- A review</w:t>
      </w:r>
      <w:r>
        <w:rPr>
          <w:rFonts w:ascii="Times New Roman" w:hAnsi="Times New Roman" w:cs="Times New Roman"/>
          <w:sz w:val="28"/>
          <w:szCs w:val="28"/>
        </w:rPr>
        <w:t xml:space="preserve"> / </w:t>
      </w:r>
      <w:r w:rsidRPr="00040724">
        <w:rPr>
          <w:rFonts w:ascii="Times New Roman" w:hAnsi="Times New Roman" w:cs="Times New Roman"/>
          <w:sz w:val="28"/>
          <w:szCs w:val="28"/>
          <w:lang w:val="uk-UA"/>
        </w:rPr>
        <w:t>D</w:t>
      </w:r>
      <w:r>
        <w:rPr>
          <w:rFonts w:ascii="Times New Roman" w:hAnsi="Times New Roman" w:cs="Times New Roman"/>
          <w:sz w:val="28"/>
          <w:szCs w:val="28"/>
          <w:lang w:val="uk-UA"/>
        </w:rPr>
        <w:t xml:space="preserve">. </w:t>
      </w:r>
      <w:r w:rsidRPr="00040724">
        <w:rPr>
          <w:rFonts w:ascii="Times New Roman" w:hAnsi="Times New Roman" w:cs="Times New Roman"/>
          <w:sz w:val="28"/>
          <w:szCs w:val="28"/>
          <w:lang w:val="uk-UA"/>
        </w:rPr>
        <w:t>Thanabalan</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M. </w:t>
      </w:r>
      <w:r>
        <w:rPr>
          <w:rFonts w:ascii="Times New Roman" w:hAnsi="Times New Roman" w:cs="Times New Roman"/>
          <w:sz w:val="28"/>
          <w:szCs w:val="28"/>
          <w:lang w:val="uk-UA"/>
        </w:rPr>
        <w:t>Sheeja</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Journal of Dental and Medical Sciences</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2014</w:t>
      </w:r>
      <w:r>
        <w:rPr>
          <w:rFonts w:ascii="Times New Roman" w:hAnsi="Times New Roman" w:cs="Times New Roman"/>
          <w:sz w:val="28"/>
          <w:szCs w:val="28"/>
        </w:rPr>
        <w:t>. – Vol.</w:t>
      </w:r>
      <w:r>
        <w:rPr>
          <w:rFonts w:ascii="Times New Roman" w:hAnsi="Times New Roman" w:cs="Times New Roman"/>
          <w:sz w:val="28"/>
          <w:szCs w:val="28"/>
          <w:lang w:val="uk-UA"/>
        </w:rPr>
        <w:t xml:space="preserve"> 13(5)</w:t>
      </w:r>
      <w:r>
        <w:rPr>
          <w:rFonts w:ascii="Times New Roman" w:hAnsi="Times New Roman" w:cs="Times New Roman"/>
          <w:sz w:val="28"/>
          <w:szCs w:val="28"/>
        </w:rPr>
        <w:t>. – P.</w:t>
      </w:r>
      <w:r>
        <w:rPr>
          <w:rFonts w:ascii="Times New Roman" w:hAnsi="Times New Roman" w:cs="Times New Roman"/>
          <w:sz w:val="28"/>
          <w:szCs w:val="28"/>
          <w:lang w:val="uk-UA"/>
        </w:rPr>
        <w:t xml:space="preserve"> 5-8</w:t>
      </w:r>
      <w:r w:rsidR="002767DC" w:rsidRPr="00040724">
        <w:rPr>
          <w:rFonts w:ascii="Times New Roman" w:hAnsi="Times New Roman" w:cs="Times New Roman"/>
          <w:sz w:val="28"/>
          <w:szCs w:val="28"/>
          <w:lang w:val="uk-UA"/>
        </w:rPr>
        <w:t>.</w:t>
      </w:r>
    </w:p>
    <w:p w14:paraId="235B1AB6" w14:textId="6DFDC49D" w:rsidR="002767DC" w:rsidRDefault="004D179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Halterman J</w:t>
      </w:r>
      <w:r>
        <w:rPr>
          <w:rFonts w:ascii="Times New Roman" w:hAnsi="Times New Roman" w:cs="Times New Roman"/>
          <w:sz w:val="28"/>
          <w:szCs w:val="28"/>
        </w:rPr>
        <w:t>.</w:t>
      </w:r>
      <w:r>
        <w:rPr>
          <w:rFonts w:ascii="Times New Roman" w:hAnsi="Times New Roman" w:cs="Times New Roman"/>
          <w:sz w:val="28"/>
          <w:szCs w:val="28"/>
          <w:lang w:val="uk-UA"/>
        </w:rPr>
        <w:t>S</w:t>
      </w:r>
      <w:r w:rsidR="002767DC" w:rsidRPr="00040724">
        <w:rPr>
          <w:rFonts w:ascii="Times New Roman" w:hAnsi="Times New Roman" w:cs="Times New Roman"/>
          <w:sz w:val="28"/>
          <w:szCs w:val="28"/>
          <w:lang w:val="uk-UA"/>
        </w:rPr>
        <w:t>. Inadequate therapy for asthma amon</w:t>
      </w:r>
      <w:r>
        <w:rPr>
          <w:rFonts w:ascii="Times New Roman" w:hAnsi="Times New Roman" w:cs="Times New Roman"/>
          <w:sz w:val="28"/>
          <w:szCs w:val="28"/>
          <w:lang w:val="uk-UA"/>
        </w:rPr>
        <w:t xml:space="preserve">g children in the United States / </w:t>
      </w:r>
      <w:r>
        <w:rPr>
          <w:rFonts w:ascii="Times New Roman" w:hAnsi="Times New Roman" w:cs="Times New Roman"/>
          <w:sz w:val="28"/>
          <w:szCs w:val="28"/>
        </w:rPr>
        <w:t xml:space="preserve">J.S. </w:t>
      </w:r>
      <w:r>
        <w:rPr>
          <w:rFonts w:ascii="Times New Roman" w:hAnsi="Times New Roman" w:cs="Times New Roman"/>
          <w:sz w:val="28"/>
          <w:szCs w:val="28"/>
          <w:lang w:val="uk-UA"/>
        </w:rPr>
        <w:t>lterman</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C.A. </w:t>
      </w:r>
      <w:r>
        <w:rPr>
          <w:rFonts w:ascii="Times New Roman" w:hAnsi="Times New Roman" w:cs="Times New Roman"/>
          <w:sz w:val="28"/>
          <w:szCs w:val="28"/>
          <w:lang w:val="uk-UA"/>
        </w:rPr>
        <w:t>Aligne</w:t>
      </w:r>
      <w:r w:rsidRPr="00040724">
        <w:rPr>
          <w:rFonts w:ascii="Times New Roman" w:hAnsi="Times New Roman" w:cs="Times New Roman"/>
          <w:sz w:val="28"/>
          <w:szCs w:val="28"/>
          <w:lang w:val="uk-UA"/>
        </w:rPr>
        <w:t xml:space="preserve">, </w:t>
      </w:r>
      <w:r>
        <w:rPr>
          <w:rFonts w:ascii="Times New Roman" w:hAnsi="Times New Roman" w:cs="Times New Roman"/>
          <w:sz w:val="28"/>
          <w:szCs w:val="28"/>
        </w:rPr>
        <w:t xml:space="preserve">P. </w:t>
      </w:r>
      <w:r w:rsidRPr="00040724">
        <w:rPr>
          <w:rFonts w:ascii="Times New Roman" w:hAnsi="Times New Roman" w:cs="Times New Roman"/>
          <w:sz w:val="28"/>
          <w:szCs w:val="28"/>
          <w:lang w:val="uk-UA"/>
        </w:rPr>
        <w:t>Auinge</w:t>
      </w:r>
      <w:r>
        <w:rPr>
          <w:rFonts w:ascii="Times New Roman" w:hAnsi="Times New Roman" w:cs="Times New Roman"/>
          <w:sz w:val="28"/>
          <w:szCs w:val="28"/>
          <w:lang w:val="uk-UA"/>
        </w:rPr>
        <w:t>r</w:t>
      </w:r>
      <w:r>
        <w:rPr>
          <w:rFonts w:ascii="Times New Roman" w:hAnsi="Times New Roman" w:cs="Times New Roman"/>
          <w:sz w:val="28"/>
          <w:szCs w:val="28"/>
        </w:rPr>
        <w:t xml:space="preserve"> //</w:t>
      </w:r>
      <w:r w:rsidR="002767DC" w:rsidRPr="00040724">
        <w:rPr>
          <w:rFonts w:ascii="Times New Roman" w:hAnsi="Times New Roman" w:cs="Times New Roman"/>
          <w:sz w:val="28"/>
          <w:szCs w:val="28"/>
          <w:lang w:val="uk-UA"/>
        </w:rPr>
        <w:t xml:space="preserve"> Pediatrics</w:t>
      </w:r>
      <w:r>
        <w:rPr>
          <w:rFonts w:ascii="Times New Roman" w:hAnsi="Times New Roman" w:cs="Times New Roman"/>
          <w:sz w:val="28"/>
          <w:szCs w:val="28"/>
        </w:rPr>
        <w:t>. –</w:t>
      </w:r>
      <w:r w:rsidR="002767DC" w:rsidRPr="00040724">
        <w:rPr>
          <w:rFonts w:ascii="Times New Roman" w:hAnsi="Times New Roman" w:cs="Times New Roman"/>
          <w:sz w:val="28"/>
          <w:szCs w:val="28"/>
          <w:lang w:val="uk-UA"/>
        </w:rPr>
        <w:t xml:space="preserve"> 2000</w:t>
      </w:r>
      <w:r>
        <w:rPr>
          <w:rFonts w:ascii="Times New Roman" w:hAnsi="Times New Roman" w:cs="Times New Roman"/>
          <w:sz w:val="28"/>
          <w:szCs w:val="28"/>
        </w:rPr>
        <w:t>. – Vol.</w:t>
      </w:r>
      <w:r>
        <w:rPr>
          <w:rFonts w:ascii="Times New Roman" w:hAnsi="Times New Roman" w:cs="Times New Roman"/>
          <w:sz w:val="28"/>
          <w:szCs w:val="28"/>
          <w:lang w:val="uk-UA"/>
        </w:rPr>
        <w:t xml:space="preserve"> 105(1)</w:t>
      </w:r>
      <w:r>
        <w:rPr>
          <w:rFonts w:ascii="Times New Roman" w:hAnsi="Times New Roman" w:cs="Times New Roman"/>
          <w:sz w:val="28"/>
          <w:szCs w:val="28"/>
        </w:rPr>
        <w:t>. – P.</w:t>
      </w:r>
      <w:r w:rsidR="002767DC" w:rsidRPr="00040724">
        <w:rPr>
          <w:rFonts w:ascii="Times New Roman" w:hAnsi="Times New Roman" w:cs="Times New Roman"/>
          <w:sz w:val="28"/>
          <w:szCs w:val="28"/>
          <w:lang w:val="uk-UA"/>
        </w:rPr>
        <w:t xml:space="preserve"> 272-</w:t>
      </w:r>
      <w:r>
        <w:rPr>
          <w:rFonts w:ascii="Times New Roman" w:hAnsi="Times New Roman" w:cs="Times New Roman"/>
          <w:sz w:val="28"/>
          <w:szCs w:val="28"/>
        </w:rPr>
        <w:t>2</w:t>
      </w:r>
      <w:r w:rsidR="002767DC" w:rsidRPr="00040724">
        <w:rPr>
          <w:rFonts w:ascii="Times New Roman" w:hAnsi="Times New Roman" w:cs="Times New Roman"/>
          <w:sz w:val="28"/>
          <w:szCs w:val="28"/>
          <w:lang w:val="uk-UA"/>
        </w:rPr>
        <w:t>76.</w:t>
      </w:r>
    </w:p>
    <w:p w14:paraId="791C7FF8" w14:textId="75EB81A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Olar M. Effects of oral hygiene upon the quality of breathing / M. Olar, R.</w:t>
      </w:r>
      <w:r w:rsidR="004D179B">
        <w:rPr>
          <w:rFonts w:ascii="Times New Roman" w:hAnsi="Times New Roman" w:cs="Times New Roman"/>
          <w:sz w:val="28"/>
          <w:szCs w:val="28"/>
          <w:lang w:val="uk-UA"/>
        </w:rPr>
        <w:t>Luca, V.Olar // Pedodontics</w:t>
      </w:r>
      <w:r w:rsidR="004D179B">
        <w:rPr>
          <w:rFonts w:ascii="Times New Roman" w:hAnsi="Times New Roman" w:cs="Times New Roman"/>
          <w:sz w:val="28"/>
          <w:szCs w:val="28"/>
        </w:rPr>
        <w:t xml:space="preserve"> – 2012</w:t>
      </w:r>
      <w:r w:rsidR="004D179B">
        <w:rPr>
          <w:rFonts w:ascii="Times New Roman" w:hAnsi="Times New Roman" w:cs="Times New Roman"/>
          <w:sz w:val="28"/>
          <w:szCs w:val="28"/>
          <w:lang w:val="uk-UA"/>
        </w:rPr>
        <w:t>. – Vol.</w:t>
      </w:r>
      <w:r w:rsidRPr="00040724">
        <w:rPr>
          <w:rFonts w:ascii="Times New Roman" w:hAnsi="Times New Roman" w:cs="Times New Roman"/>
          <w:sz w:val="28"/>
          <w:szCs w:val="28"/>
          <w:lang w:val="uk-UA"/>
        </w:rPr>
        <w:t xml:space="preserve"> 2, issue 3</w:t>
      </w:r>
      <w:r w:rsidR="004D179B">
        <w:rPr>
          <w:rFonts w:ascii="Times New Roman" w:hAnsi="Times New Roman" w:cs="Times New Roman"/>
          <w:sz w:val="28"/>
          <w:szCs w:val="28"/>
          <w:lang w:val="uk-UA"/>
        </w:rPr>
        <w:t>.</w:t>
      </w:r>
      <w:r>
        <w:rPr>
          <w:rFonts w:ascii="Times New Roman" w:hAnsi="Times New Roman" w:cs="Times New Roman"/>
          <w:sz w:val="28"/>
          <w:szCs w:val="28"/>
          <w:lang w:val="uk-UA"/>
        </w:rPr>
        <w:t xml:space="preserve"> – P. 188-194</w:t>
      </w:r>
      <w:r>
        <w:rPr>
          <w:rFonts w:ascii="Times New Roman" w:hAnsi="Times New Roman" w:cs="Times New Roman"/>
          <w:sz w:val="28"/>
          <w:szCs w:val="28"/>
        </w:rPr>
        <w:t>.</w:t>
      </w:r>
      <w:r w:rsidRPr="00040724">
        <w:rPr>
          <w:rFonts w:ascii="Times New Roman" w:hAnsi="Times New Roman" w:cs="Times New Roman"/>
          <w:sz w:val="28"/>
          <w:szCs w:val="28"/>
          <w:lang w:val="uk-UA"/>
        </w:rPr>
        <w:t xml:space="preserve"> </w:t>
      </w:r>
    </w:p>
    <w:p w14:paraId="556654B7" w14:textId="6FE8D8DF"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40724">
        <w:rPr>
          <w:rFonts w:ascii="Times New Roman" w:hAnsi="Times New Roman" w:cs="Times New Roman"/>
          <w:sz w:val="28"/>
          <w:szCs w:val="28"/>
          <w:lang w:val="uk-UA"/>
        </w:rPr>
        <w:t>Jemin K. Periodontal disease and systemic condition</w:t>
      </w:r>
      <w:r w:rsidR="004D179B">
        <w:rPr>
          <w:rFonts w:ascii="Times New Roman" w:hAnsi="Times New Roman" w:cs="Times New Roman"/>
          <w:sz w:val="28"/>
          <w:szCs w:val="28"/>
          <w:lang w:val="uk-UA"/>
        </w:rPr>
        <w:t xml:space="preserve">s: a bidirectional relationship / </w:t>
      </w:r>
      <w:r w:rsidR="004D179B" w:rsidRPr="00040724">
        <w:rPr>
          <w:rFonts w:ascii="Times New Roman" w:hAnsi="Times New Roman" w:cs="Times New Roman"/>
          <w:sz w:val="28"/>
          <w:szCs w:val="28"/>
          <w:lang w:val="uk-UA"/>
        </w:rPr>
        <w:t>K</w:t>
      </w:r>
      <w:r w:rsidR="004D179B">
        <w:rPr>
          <w:rFonts w:ascii="Times New Roman" w:hAnsi="Times New Roman" w:cs="Times New Roman"/>
          <w:sz w:val="28"/>
          <w:szCs w:val="28"/>
        </w:rPr>
        <w:t xml:space="preserve">. </w:t>
      </w:r>
      <w:r w:rsidR="004D179B" w:rsidRPr="00040724">
        <w:rPr>
          <w:rFonts w:ascii="Times New Roman" w:hAnsi="Times New Roman" w:cs="Times New Roman"/>
          <w:sz w:val="28"/>
          <w:szCs w:val="28"/>
          <w:lang w:val="uk-UA"/>
        </w:rPr>
        <w:t xml:space="preserve">Jemin, </w:t>
      </w:r>
      <w:r w:rsidR="004D179B">
        <w:rPr>
          <w:rFonts w:ascii="Times New Roman" w:hAnsi="Times New Roman" w:cs="Times New Roman"/>
          <w:sz w:val="28"/>
          <w:szCs w:val="28"/>
        </w:rPr>
        <w:t xml:space="preserve">A. </w:t>
      </w:r>
      <w:r w:rsidR="004D179B">
        <w:rPr>
          <w:rFonts w:ascii="Times New Roman" w:hAnsi="Times New Roman" w:cs="Times New Roman"/>
          <w:sz w:val="28"/>
          <w:szCs w:val="28"/>
          <w:lang w:val="uk-UA"/>
        </w:rPr>
        <w:t>Salomon</w:t>
      </w:r>
      <w:r w:rsidR="004D179B">
        <w:rPr>
          <w:rFonts w:ascii="Times New Roman" w:hAnsi="Times New Roman" w:cs="Times New Roman"/>
          <w:sz w:val="28"/>
          <w:szCs w:val="28"/>
        </w:rPr>
        <w:t xml:space="preserve"> //</w:t>
      </w:r>
      <w:r w:rsidR="004D179B">
        <w:rPr>
          <w:rFonts w:ascii="Times New Roman" w:hAnsi="Times New Roman" w:cs="Times New Roman"/>
          <w:sz w:val="28"/>
          <w:szCs w:val="28"/>
          <w:lang w:val="uk-UA"/>
        </w:rPr>
        <w:t xml:space="preserve"> Odontology.</w:t>
      </w:r>
      <w:r w:rsidR="004D179B">
        <w:rPr>
          <w:rFonts w:ascii="Times New Roman" w:hAnsi="Times New Roman" w:cs="Times New Roman"/>
          <w:sz w:val="28"/>
          <w:szCs w:val="28"/>
        </w:rPr>
        <w:t xml:space="preserve"> –</w:t>
      </w:r>
      <w:r w:rsidRPr="00040724">
        <w:rPr>
          <w:rFonts w:ascii="Times New Roman" w:hAnsi="Times New Roman" w:cs="Times New Roman"/>
          <w:sz w:val="28"/>
          <w:szCs w:val="28"/>
          <w:lang w:val="uk-UA"/>
        </w:rPr>
        <w:t xml:space="preserve"> 2006</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 94(1)</w:t>
      </w:r>
      <w:r w:rsidR="004D179B">
        <w:rPr>
          <w:rFonts w:ascii="Times New Roman" w:hAnsi="Times New Roman" w:cs="Times New Roman"/>
          <w:sz w:val="28"/>
          <w:szCs w:val="28"/>
        </w:rPr>
        <w:t>. – P.</w:t>
      </w:r>
      <w:r w:rsidRPr="00040724">
        <w:rPr>
          <w:rFonts w:ascii="Times New Roman" w:hAnsi="Times New Roman" w:cs="Times New Roman"/>
          <w:sz w:val="28"/>
          <w:szCs w:val="28"/>
          <w:lang w:val="uk-UA"/>
        </w:rPr>
        <w:t>10-21. doi:10.1007/s10266</w:t>
      </w:r>
    </w:p>
    <w:p w14:paraId="51CCC1A1" w14:textId="05B47C1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Fábián T</w:t>
      </w:r>
      <w:r w:rsidR="004D179B">
        <w:rPr>
          <w:rFonts w:ascii="Times New Roman" w:hAnsi="Times New Roman" w:cs="Times New Roman"/>
          <w:sz w:val="28"/>
          <w:szCs w:val="28"/>
        </w:rPr>
        <w:t>.</w:t>
      </w:r>
      <w:r w:rsidRPr="00421F54">
        <w:rPr>
          <w:rFonts w:ascii="Times New Roman" w:hAnsi="Times New Roman" w:cs="Times New Roman"/>
          <w:sz w:val="28"/>
          <w:szCs w:val="28"/>
          <w:lang w:val="uk-UA"/>
        </w:rPr>
        <w:t>K</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Fejérdy P</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Csermely P. Saliva in health and disease, chemical biology of. In: Begley TP, editor. Wiley encyclopedia of chemical biology. Vol. 4. Hoboken: John Wile</w:t>
      </w:r>
      <w:r w:rsidR="00890D6E">
        <w:rPr>
          <w:rFonts w:ascii="Times New Roman" w:hAnsi="Times New Roman" w:cs="Times New Roman"/>
          <w:sz w:val="28"/>
          <w:szCs w:val="28"/>
          <w:lang w:val="uk-UA"/>
        </w:rPr>
        <w:t>y &amp; Sons, Inc.; 2008. –</w:t>
      </w:r>
      <w:r w:rsidR="00890D6E">
        <w:rPr>
          <w:rFonts w:ascii="Times New Roman" w:hAnsi="Times New Roman" w:cs="Times New Roman"/>
          <w:sz w:val="28"/>
          <w:szCs w:val="28"/>
        </w:rPr>
        <w:t xml:space="preserve"> P.</w:t>
      </w:r>
      <w:r w:rsidR="004D179B">
        <w:rPr>
          <w:rFonts w:ascii="Times New Roman" w:hAnsi="Times New Roman" w:cs="Times New Roman"/>
          <w:sz w:val="28"/>
          <w:szCs w:val="28"/>
          <w:lang w:val="uk-UA"/>
        </w:rPr>
        <w:t xml:space="preserve"> 1–9.</w:t>
      </w:r>
    </w:p>
    <w:p w14:paraId="372D0C77" w14:textId="404815A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Kejriwal S. Estimation of levels of salivary mucin, amylase and total protein in gingivitis and</w:t>
      </w:r>
      <w:r w:rsidR="004D179B">
        <w:rPr>
          <w:rFonts w:ascii="Times New Roman" w:hAnsi="Times New Roman" w:cs="Times New Roman"/>
          <w:sz w:val="28"/>
          <w:szCs w:val="28"/>
          <w:lang w:val="uk-UA"/>
        </w:rPr>
        <w:t xml:space="preserve"> chronic periodontitis patients / </w:t>
      </w:r>
      <w:r w:rsidR="004D179B">
        <w:rPr>
          <w:rFonts w:ascii="Times New Roman" w:hAnsi="Times New Roman" w:cs="Times New Roman"/>
          <w:sz w:val="28"/>
          <w:szCs w:val="28"/>
        </w:rPr>
        <w:t xml:space="preserve">S. </w:t>
      </w:r>
      <w:r w:rsidR="004D179B">
        <w:rPr>
          <w:rFonts w:ascii="Times New Roman" w:hAnsi="Times New Roman" w:cs="Times New Roman"/>
          <w:sz w:val="28"/>
          <w:szCs w:val="28"/>
          <w:lang w:val="uk-UA"/>
        </w:rPr>
        <w:t>Kejriwal</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Bhandary</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B. </w:t>
      </w:r>
      <w:r w:rsidR="004D179B">
        <w:rPr>
          <w:rFonts w:ascii="Times New Roman" w:hAnsi="Times New Roman" w:cs="Times New Roman"/>
          <w:sz w:val="28"/>
          <w:szCs w:val="28"/>
          <w:lang w:val="uk-UA"/>
        </w:rPr>
        <w:t>Thomas</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 J Cli</w:t>
      </w:r>
      <w:r>
        <w:rPr>
          <w:rFonts w:ascii="Times New Roman" w:hAnsi="Times New Roman" w:cs="Times New Roman"/>
          <w:sz w:val="28"/>
          <w:szCs w:val="28"/>
          <w:lang w:val="uk-UA"/>
        </w:rPr>
        <w:t>n Diagn Res.</w:t>
      </w:r>
      <w:r w:rsidR="004D179B">
        <w:rPr>
          <w:rFonts w:ascii="Times New Roman" w:hAnsi="Times New Roman" w:cs="Times New Roman"/>
          <w:sz w:val="28"/>
          <w:szCs w:val="28"/>
        </w:rPr>
        <w:t xml:space="preserve"> –</w:t>
      </w:r>
      <w:r>
        <w:rPr>
          <w:rFonts w:ascii="Times New Roman" w:hAnsi="Times New Roman" w:cs="Times New Roman"/>
          <w:sz w:val="28"/>
          <w:szCs w:val="28"/>
          <w:lang w:val="uk-UA"/>
        </w:rPr>
        <w:t xml:space="preserve"> 2014</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8. </w:t>
      </w:r>
      <w:r w:rsidR="004D179B">
        <w:rPr>
          <w:rFonts w:ascii="Times New Roman" w:hAnsi="Times New Roman" w:cs="Times New Roman"/>
          <w:sz w:val="28"/>
          <w:szCs w:val="28"/>
        </w:rPr>
        <w:t>– P.</w:t>
      </w:r>
      <w:r w:rsidR="004D179B">
        <w:rPr>
          <w:rFonts w:ascii="Times New Roman" w:hAnsi="Times New Roman" w:cs="Times New Roman"/>
          <w:sz w:val="28"/>
          <w:szCs w:val="28"/>
          <w:lang w:val="uk-UA"/>
        </w:rPr>
        <w:t>56–</w:t>
      </w:r>
      <w:r>
        <w:rPr>
          <w:rFonts w:ascii="Times New Roman" w:hAnsi="Times New Roman" w:cs="Times New Roman"/>
          <w:sz w:val="28"/>
          <w:szCs w:val="28"/>
          <w:lang w:val="uk-UA"/>
        </w:rPr>
        <w:t>60.</w:t>
      </w:r>
    </w:p>
    <w:p w14:paraId="5643F5F0" w14:textId="23135B37"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Sánchez G</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A. Determination of salivary levels of mucin and amylase in </w:t>
      </w:r>
      <w:r w:rsidR="004D179B">
        <w:rPr>
          <w:rFonts w:ascii="Times New Roman" w:hAnsi="Times New Roman" w:cs="Times New Roman"/>
          <w:sz w:val="28"/>
          <w:szCs w:val="28"/>
          <w:lang w:val="uk-UA"/>
        </w:rPr>
        <w:t xml:space="preserve">chronic periodontitis patients / </w:t>
      </w:r>
      <w:r w:rsidR="004D179B" w:rsidRPr="00421F54">
        <w:rPr>
          <w:rFonts w:ascii="Times New Roman" w:hAnsi="Times New Roman" w:cs="Times New Roman"/>
          <w:sz w:val="28"/>
          <w:szCs w:val="28"/>
          <w:lang w:val="uk-UA"/>
        </w:rPr>
        <w:t>G</w:t>
      </w:r>
      <w:r w:rsidR="004D179B">
        <w:rPr>
          <w:rFonts w:ascii="Times New Roman" w:hAnsi="Times New Roman" w:cs="Times New Roman"/>
          <w:sz w:val="28"/>
          <w:szCs w:val="28"/>
        </w:rPr>
        <w:t>.</w:t>
      </w:r>
      <w:r w:rsidR="004D179B" w:rsidRPr="00421F54">
        <w:rPr>
          <w:rFonts w:ascii="Times New Roman" w:hAnsi="Times New Roman" w:cs="Times New Roman"/>
          <w:sz w:val="28"/>
          <w:szCs w:val="28"/>
          <w:lang w:val="uk-UA"/>
        </w:rPr>
        <w:t>A</w:t>
      </w:r>
      <w:r w:rsidR="004D179B">
        <w:rPr>
          <w:rFonts w:ascii="Times New Roman" w:hAnsi="Times New Roman" w:cs="Times New Roman"/>
          <w:sz w:val="28"/>
          <w:szCs w:val="28"/>
        </w:rPr>
        <w:t xml:space="preserve">. </w:t>
      </w:r>
      <w:r w:rsidR="004D179B" w:rsidRPr="00421F54">
        <w:rPr>
          <w:rFonts w:ascii="Times New Roman" w:hAnsi="Times New Roman" w:cs="Times New Roman"/>
          <w:sz w:val="28"/>
          <w:szCs w:val="28"/>
          <w:lang w:val="uk-UA"/>
        </w:rPr>
        <w:t xml:space="preserve">Sánchez, </w:t>
      </w:r>
      <w:r w:rsidR="004D179B">
        <w:rPr>
          <w:rFonts w:ascii="Times New Roman" w:hAnsi="Times New Roman" w:cs="Times New Roman"/>
          <w:sz w:val="28"/>
          <w:szCs w:val="28"/>
        </w:rPr>
        <w:t xml:space="preserve">V. </w:t>
      </w:r>
      <w:r w:rsidR="004D179B">
        <w:rPr>
          <w:rFonts w:ascii="Times New Roman" w:hAnsi="Times New Roman" w:cs="Times New Roman"/>
          <w:sz w:val="28"/>
          <w:szCs w:val="28"/>
          <w:lang w:val="uk-UA"/>
        </w:rPr>
        <w:t>Miozza</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A. </w:t>
      </w:r>
      <w:r w:rsidR="004D179B">
        <w:rPr>
          <w:rFonts w:ascii="Times New Roman" w:hAnsi="Times New Roman" w:cs="Times New Roman"/>
          <w:sz w:val="28"/>
          <w:szCs w:val="28"/>
          <w:lang w:val="uk-UA"/>
        </w:rPr>
        <w:t>Delgado et al.</w:t>
      </w:r>
      <w:r w:rsidR="004D179B">
        <w:rPr>
          <w:rFonts w:ascii="Times New Roman" w:hAnsi="Times New Roman" w:cs="Times New Roman"/>
          <w:sz w:val="28"/>
          <w:szCs w:val="28"/>
        </w:rPr>
        <w:t xml:space="preserve"> // </w:t>
      </w:r>
      <w:r w:rsidRPr="00421F54">
        <w:rPr>
          <w:rFonts w:ascii="Times New Roman" w:hAnsi="Times New Roman" w:cs="Times New Roman"/>
          <w:sz w:val="28"/>
          <w:szCs w:val="28"/>
          <w:lang w:val="uk-UA"/>
        </w:rPr>
        <w:t xml:space="preserve">J Periodontal Res.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2011</w:t>
      </w:r>
      <w:r w:rsidR="004D179B">
        <w:rPr>
          <w:rFonts w:ascii="Times New Roman" w:hAnsi="Times New Roman" w:cs="Times New Roman"/>
          <w:sz w:val="28"/>
          <w:szCs w:val="28"/>
        </w:rPr>
        <w:t xml:space="preserve">. – Vol. </w:t>
      </w:r>
      <w:r w:rsidR="004D179B">
        <w:rPr>
          <w:rFonts w:ascii="Times New Roman" w:hAnsi="Times New Roman" w:cs="Times New Roman"/>
          <w:sz w:val="28"/>
          <w:szCs w:val="28"/>
          <w:lang w:val="uk-UA"/>
        </w:rPr>
        <w:t xml:space="preserve">46. </w:t>
      </w:r>
      <w:r w:rsidR="004D179B">
        <w:rPr>
          <w:rFonts w:ascii="Times New Roman" w:hAnsi="Times New Roman" w:cs="Times New Roman"/>
          <w:sz w:val="28"/>
          <w:szCs w:val="28"/>
        </w:rPr>
        <w:t>– P.</w:t>
      </w:r>
      <w:r w:rsidRPr="00421F54">
        <w:rPr>
          <w:rFonts w:ascii="Times New Roman" w:hAnsi="Times New Roman" w:cs="Times New Roman"/>
          <w:sz w:val="28"/>
          <w:szCs w:val="28"/>
          <w:lang w:val="uk-UA"/>
        </w:rPr>
        <w:t>221–227</w:t>
      </w:r>
      <w:r w:rsidR="004D179B">
        <w:rPr>
          <w:rFonts w:ascii="Times New Roman" w:hAnsi="Times New Roman" w:cs="Times New Roman"/>
          <w:sz w:val="28"/>
          <w:szCs w:val="28"/>
        </w:rPr>
        <w:t>.</w:t>
      </w:r>
    </w:p>
    <w:p w14:paraId="083EE7AF" w14:textId="01DBEE46" w:rsidR="002767DC" w:rsidRDefault="004D179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Liu B</w:t>
      </w:r>
      <w:r w:rsidR="002767DC" w:rsidRPr="00421F54">
        <w:rPr>
          <w:rFonts w:ascii="Times New Roman" w:hAnsi="Times New Roman" w:cs="Times New Roman"/>
          <w:sz w:val="28"/>
          <w:szCs w:val="28"/>
          <w:lang w:val="uk-UA"/>
        </w:rPr>
        <w:t>. Interaction of human salivary mucin MG2, its recombinant N-terminal region and a synthetic peptide with Actin</w:t>
      </w:r>
      <w:r>
        <w:rPr>
          <w:rFonts w:ascii="Times New Roman" w:hAnsi="Times New Roman" w:cs="Times New Roman"/>
          <w:sz w:val="28"/>
          <w:szCs w:val="28"/>
          <w:lang w:val="uk-UA"/>
        </w:rPr>
        <w:t xml:space="preserve">obacillus actinomycetemcomitans / </w:t>
      </w:r>
      <w:r>
        <w:rPr>
          <w:rFonts w:ascii="Times New Roman" w:hAnsi="Times New Roman" w:cs="Times New Roman"/>
          <w:sz w:val="28"/>
          <w:szCs w:val="28"/>
        </w:rPr>
        <w:t xml:space="preserve">B. </w:t>
      </w:r>
      <w:r>
        <w:rPr>
          <w:rFonts w:ascii="Times New Roman" w:hAnsi="Times New Roman" w:cs="Times New Roman"/>
          <w:sz w:val="28"/>
          <w:szCs w:val="28"/>
          <w:lang w:val="uk-UA"/>
        </w:rPr>
        <w:t>Liu</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S.A. </w:t>
      </w:r>
      <w:r w:rsidRPr="00421F54">
        <w:rPr>
          <w:rFonts w:ascii="Times New Roman" w:hAnsi="Times New Roman" w:cs="Times New Roman"/>
          <w:sz w:val="28"/>
          <w:szCs w:val="28"/>
          <w:lang w:val="uk-UA"/>
        </w:rPr>
        <w:t xml:space="preserve">Rayment, </w:t>
      </w:r>
      <w:r>
        <w:rPr>
          <w:rFonts w:ascii="Times New Roman" w:hAnsi="Times New Roman" w:cs="Times New Roman"/>
          <w:sz w:val="28"/>
          <w:szCs w:val="28"/>
        </w:rPr>
        <w:t xml:space="preserve">R.V. </w:t>
      </w:r>
      <w:r>
        <w:rPr>
          <w:rFonts w:ascii="Times New Roman" w:hAnsi="Times New Roman" w:cs="Times New Roman"/>
          <w:sz w:val="28"/>
          <w:szCs w:val="28"/>
          <w:lang w:val="uk-UA"/>
        </w:rPr>
        <w:t>Soares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Periodontal Res.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37(6).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416–</w:t>
      </w:r>
      <w:r>
        <w:rPr>
          <w:rFonts w:ascii="Times New Roman" w:hAnsi="Times New Roman" w:cs="Times New Roman"/>
          <w:sz w:val="28"/>
          <w:szCs w:val="28"/>
        </w:rPr>
        <w:t>4</w:t>
      </w:r>
      <w:r w:rsidR="002767DC" w:rsidRPr="00421F54">
        <w:rPr>
          <w:rFonts w:ascii="Times New Roman" w:hAnsi="Times New Roman" w:cs="Times New Roman"/>
          <w:sz w:val="28"/>
          <w:szCs w:val="28"/>
          <w:lang w:val="uk-UA"/>
        </w:rPr>
        <w:t>24.</w:t>
      </w:r>
    </w:p>
    <w:p w14:paraId="704AE2D6" w14:textId="2E01ED2B"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Dziemiaczyk </w:t>
      </w:r>
      <w:r w:rsidR="004D179B">
        <w:rPr>
          <w:rFonts w:ascii="Times New Roman" w:hAnsi="Times New Roman" w:cs="Times New Roman"/>
          <w:sz w:val="28"/>
          <w:szCs w:val="28"/>
          <w:lang w:val="uk-UA"/>
        </w:rPr>
        <w:t>D</w:t>
      </w:r>
      <w:r w:rsidRPr="00421F54">
        <w:rPr>
          <w:rFonts w:ascii="Times New Roman" w:hAnsi="Times New Roman" w:cs="Times New Roman"/>
          <w:sz w:val="28"/>
          <w:szCs w:val="28"/>
          <w:lang w:val="uk-UA"/>
        </w:rPr>
        <w:t>. Evaluation of secretory mucin concentration of patients with squa</w:t>
      </w:r>
      <w:r w:rsidR="004D179B">
        <w:rPr>
          <w:rFonts w:ascii="Times New Roman" w:hAnsi="Times New Roman" w:cs="Times New Roman"/>
          <w:sz w:val="28"/>
          <w:szCs w:val="28"/>
          <w:lang w:val="uk-UA"/>
        </w:rPr>
        <w:t xml:space="preserve">mous cell carcinoma oral cavity / </w:t>
      </w:r>
      <w:r w:rsidR="004D179B">
        <w:rPr>
          <w:rFonts w:ascii="Times New Roman" w:hAnsi="Times New Roman" w:cs="Times New Roman"/>
          <w:sz w:val="28"/>
          <w:szCs w:val="28"/>
        </w:rPr>
        <w:t xml:space="preserve">D. </w:t>
      </w:r>
      <w:r w:rsidR="004D179B">
        <w:rPr>
          <w:rFonts w:ascii="Times New Roman" w:hAnsi="Times New Roman" w:cs="Times New Roman"/>
          <w:sz w:val="28"/>
          <w:szCs w:val="28"/>
          <w:lang w:val="uk-UA"/>
        </w:rPr>
        <w:t>Dziemiaczyk</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S.Z. </w:t>
      </w:r>
      <w:r w:rsidR="004D179B">
        <w:rPr>
          <w:rFonts w:ascii="Times New Roman" w:hAnsi="Times New Roman" w:cs="Times New Roman"/>
          <w:sz w:val="28"/>
          <w:szCs w:val="28"/>
          <w:lang w:val="uk-UA"/>
        </w:rPr>
        <w:t>Grabowska</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Balicki</w:t>
      </w:r>
      <w:r w:rsidR="004D179B" w:rsidRPr="00421F54">
        <w:rPr>
          <w:rFonts w:ascii="Times New Roman" w:hAnsi="Times New Roman" w:cs="Times New Roman"/>
          <w:sz w:val="28"/>
          <w:szCs w:val="28"/>
          <w:lang w:val="uk-UA"/>
        </w:rPr>
        <w:t xml:space="preserve"> </w:t>
      </w:r>
      <w:r w:rsidR="004D179B">
        <w:rPr>
          <w:rFonts w:ascii="Times New Roman" w:hAnsi="Times New Roman" w:cs="Times New Roman"/>
          <w:sz w:val="28"/>
          <w:szCs w:val="28"/>
        </w:rPr>
        <w:t>//</w:t>
      </w:r>
      <w:r w:rsidRPr="00421F54">
        <w:rPr>
          <w:rFonts w:ascii="Times New Roman" w:hAnsi="Times New Roman" w:cs="Times New Roman"/>
          <w:sz w:val="28"/>
          <w:szCs w:val="28"/>
          <w:lang w:val="uk-UA"/>
        </w:rPr>
        <w:t xml:space="preserve"> Rocz Akad Med Bialymst.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2005</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50. </w:t>
      </w:r>
      <w:r w:rsidR="004D179B">
        <w:rPr>
          <w:rFonts w:ascii="Times New Roman" w:hAnsi="Times New Roman" w:cs="Times New Roman"/>
          <w:sz w:val="28"/>
          <w:szCs w:val="28"/>
        </w:rPr>
        <w:t>– P.</w:t>
      </w:r>
      <w:r w:rsidRPr="00421F54">
        <w:rPr>
          <w:rFonts w:ascii="Times New Roman" w:hAnsi="Times New Roman" w:cs="Times New Roman"/>
          <w:sz w:val="28"/>
          <w:szCs w:val="28"/>
          <w:lang w:val="uk-UA"/>
        </w:rPr>
        <w:t>334–</w:t>
      </w:r>
      <w:r w:rsidR="004D179B">
        <w:rPr>
          <w:rFonts w:ascii="Times New Roman" w:hAnsi="Times New Roman" w:cs="Times New Roman"/>
          <w:sz w:val="28"/>
          <w:szCs w:val="28"/>
        </w:rPr>
        <w:t>3</w:t>
      </w:r>
      <w:r w:rsidRPr="00421F54">
        <w:rPr>
          <w:rFonts w:ascii="Times New Roman" w:hAnsi="Times New Roman" w:cs="Times New Roman"/>
          <w:sz w:val="28"/>
          <w:szCs w:val="28"/>
          <w:lang w:val="uk-UA"/>
        </w:rPr>
        <w:t>38</w:t>
      </w:r>
      <w:r w:rsidR="004D179B">
        <w:rPr>
          <w:rFonts w:ascii="Times New Roman" w:hAnsi="Times New Roman" w:cs="Times New Roman"/>
          <w:sz w:val="28"/>
          <w:szCs w:val="28"/>
        </w:rPr>
        <w:t>.</w:t>
      </w:r>
    </w:p>
    <w:p w14:paraId="03ED29C7" w14:textId="19300BB6" w:rsidR="002767DC" w:rsidRDefault="004D179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Liu B. </w:t>
      </w:r>
      <w:r w:rsidR="002767DC" w:rsidRPr="00421F54">
        <w:rPr>
          <w:rFonts w:ascii="Times New Roman" w:hAnsi="Times New Roman" w:cs="Times New Roman"/>
          <w:sz w:val="28"/>
          <w:szCs w:val="28"/>
          <w:lang w:val="uk-UA"/>
        </w:rPr>
        <w:t>Expression of membrane-associated mucins MUC1 and MUC4</w:t>
      </w:r>
      <w:r>
        <w:rPr>
          <w:rFonts w:ascii="Times New Roman" w:hAnsi="Times New Roman" w:cs="Times New Roman"/>
          <w:sz w:val="28"/>
          <w:szCs w:val="28"/>
          <w:lang w:val="uk-UA"/>
        </w:rPr>
        <w:t xml:space="preserve"> in major human salivary glands / </w:t>
      </w:r>
      <w:r>
        <w:rPr>
          <w:rFonts w:ascii="Times New Roman" w:hAnsi="Times New Roman" w:cs="Times New Roman"/>
          <w:sz w:val="28"/>
          <w:szCs w:val="28"/>
        </w:rPr>
        <w:t xml:space="preserve">B. </w:t>
      </w:r>
      <w:r>
        <w:rPr>
          <w:rFonts w:ascii="Times New Roman" w:hAnsi="Times New Roman" w:cs="Times New Roman"/>
          <w:sz w:val="28"/>
          <w:szCs w:val="28"/>
          <w:lang w:val="uk-UA"/>
        </w:rPr>
        <w:t>Liu</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J.R. </w:t>
      </w:r>
      <w:r>
        <w:rPr>
          <w:rFonts w:ascii="Times New Roman" w:hAnsi="Times New Roman" w:cs="Times New Roman"/>
          <w:sz w:val="28"/>
          <w:szCs w:val="28"/>
          <w:lang w:val="uk-UA"/>
        </w:rPr>
        <w:t>Lague</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D.P. </w:t>
      </w:r>
      <w:r>
        <w:rPr>
          <w:rFonts w:ascii="Times New Roman" w:hAnsi="Times New Roman" w:cs="Times New Roman"/>
          <w:sz w:val="28"/>
          <w:szCs w:val="28"/>
          <w:lang w:val="uk-UA"/>
        </w:rPr>
        <w:t>Nunes</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Histochem Cytochem. </w:t>
      </w:r>
      <w:r>
        <w:rPr>
          <w:rFonts w:ascii="Times New Roman" w:hAnsi="Times New Roman" w:cs="Times New Roman"/>
          <w:sz w:val="28"/>
          <w:szCs w:val="28"/>
        </w:rPr>
        <w:t xml:space="preserve">– </w:t>
      </w:r>
      <w:r>
        <w:rPr>
          <w:rFonts w:ascii="Times New Roman" w:hAnsi="Times New Roman" w:cs="Times New Roman"/>
          <w:sz w:val="28"/>
          <w:szCs w:val="28"/>
          <w:lang w:val="uk-UA"/>
        </w:rPr>
        <w:t>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50(6). </w:t>
      </w:r>
      <w:r>
        <w:rPr>
          <w:rFonts w:ascii="Times New Roman" w:hAnsi="Times New Roman" w:cs="Times New Roman"/>
          <w:sz w:val="28"/>
          <w:szCs w:val="28"/>
        </w:rPr>
        <w:t xml:space="preserve">– P. </w:t>
      </w:r>
      <w:r w:rsidR="002767DC" w:rsidRPr="00421F54">
        <w:rPr>
          <w:rFonts w:ascii="Times New Roman" w:hAnsi="Times New Roman" w:cs="Times New Roman"/>
          <w:sz w:val="28"/>
          <w:szCs w:val="28"/>
          <w:lang w:val="uk-UA"/>
        </w:rPr>
        <w:t>811–</w:t>
      </w:r>
      <w:r>
        <w:rPr>
          <w:rFonts w:ascii="Times New Roman" w:hAnsi="Times New Roman" w:cs="Times New Roman"/>
          <w:sz w:val="28"/>
          <w:szCs w:val="28"/>
        </w:rPr>
        <w:t>8</w:t>
      </w:r>
      <w:r w:rsidR="002767DC" w:rsidRPr="00421F54">
        <w:rPr>
          <w:rFonts w:ascii="Times New Roman" w:hAnsi="Times New Roman" w:cs="Times New Roman"/>
          <w:sz w:val="28"/>
          <w:szCs w:val="28"/>
          <w:lang w:val="uk-UA"/>
        </w:rPr>
        <w:t>20.</w:t>
      </w:r>
    </w:p>
    <w:p w14:paraId="7A93186C" w14:textId="77777777" w:rsidR="00890D6E" w:rsidRPr="00890D6E" w:rsidRDefault="002767DC"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Kejriwal S. Estimation of levels of salivary mucin, amylase and total protein in gingivitis and chronic periodontitis</w:t>
      </w:r>
      <w:r w:rsidR="004D179B">
        <w:rPr>
          <w:rFonts w:ascii="Times New Roman" w:hAnsi="Times New Roman" w:cs="Times New Roman"/>
          <w:sz w:val="28"/>
          <w:szCs w:val="28"/>
          <w:lang w:val="uk-UA"/>
        </w:rPr>
        <w:t xml:space="preserve"> patients</w:t>
      </w:r>
      <w:r w:rsidR="004D179B">
        <w:rPr>
          <w:rFonts w:ascii="Times New Roman" w:hAnsi="Times New Roman" w:cs="Times New Roman"/>
          <w:sz w:val="28"/>
          <w:szCs w:val="28"/>
        </w:rPr>
        <w:t xml:space="preserve"> / S.</w:t>
      </w:r>
      <w:r w:rsidR="004D179B">
        <w:rPr>
          <w:rFonts w:ascii="Times New Roman" w:hAnsi="Times New Roman" w:cs="Times New Roman"/>
          <w:sz w:val="28"/>
          <w:szCs w:val="28"/>
          <w:lang w:val="uk-UA"/>
        </w:rPr>
        <w:t xml:space="preserve"> </w:t>
      </w:r>
      <w:r w:rsidR="004D179B" w:rsidRPr="00421F54">
        <w:rPr>
          <w:rFonts w:ascii="Times New Roman" w:hAnsi="Times New Roman" w:cs="Times New Roman"/>
          <w:sz w:val="28"/>
          <w:szCs w:val="28"/>
          <w:lang w:val="uk-UA"/>
        </w:rPr>
        <w:t>K</w:t>
      </w:r>
      <w:r w:rsidR="004D179B">
        <w:rPr>
          <w:rFonts w:ascii="Times New Roman" w:hAnsi="Times New Roman" w:cs="Times New Roman"/>
          <w:sz w:val="28"/>
          <w:szCs w:val="28"/>
          <w:lang w:val="uk-UA"/>
        </w:rPr>
        <w:t xml:space="preserve">ejriwal, </w:t>
      </w:r>
      <w:r w:rsidR="004D179B">
        <w:rPr>
          <w:rFonts w:ascii="Times New Roman" w:hAnsi="Times New Roman" w:cs="Times New Roman"/>
          <w:sz w:val="28"/>
          <w:szCs w:val="28"/>
        </w:rPr>
        <w:t xml:space="preserve">R. </w:t>
      </w:r>
      <w:r w:rsidR="004D179B">
        <w:rPr>
          <w:rFonts w:ascii="Times New Roman" w:hAnsi="Times New Roman" w:cs="Times New Roman"/>
          <w:sz w:val="28"/>
          <w:szCs w:val="28"/>
          <w:lang w:val="uk-UA"/>
        </w:rPr>
        <w:t xml:space="preserve">Bhandary, </w:t>
      </w:r>
      <w:r w:rsidR="004D179B">
        <w:rPr>
          <w:rFonts w:ascii="Times New Roman" w:hAnsi="Times New Roman" w:cs="Times New Roman"/>
          <w:sz w:val="28"/>
          <w:szCs w:val="28"/>
        </w:rPr>
        <w:t xml:space="preserve">B. </w:t>
      </w:r>
      <w:r w:rsidR="004D179B">
        <w:rPr>
          <w:rFonts w:ascii="Times New Roman" w:hAnsi="Times New Roman" w:cs="Times New Roman"/>
          <w:sz w:val="28"/>
          <w:szCs w:val="28"/>
          <w:lang w:val="uk-UA"/>
        </w:rPr>
        <w:t>Thomas</w:t>
      </w:r>
      <w:r w:rsidR="004864CB">
        <w:rPr>
          <w:rFonts w:ascii="Times New Roman" w:hAnsi="Times New Roman" w:cs="Times New Roman"/>
          <w:sz w:val="28"/>
          <w:szCs w:val="28"/>
        </w:rPr>
        <w:t xml:space="preserve"> et al.</w:t>
      </w:r>
      <w:r w:rsidR="004D179B">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 xml:space="preserve"> J Clin Diagn Res. </w:t>
      </w:r>
      <w:r w:rsidR="004D179B">
        <w:rPr>
          <w:rFonts w:ascii="Times New Roman" w:hAnsi="Times New Roman" w:cs="Times New Roman"/>
          <w:sz w:val="28"/>
          <w:szCs w:val="28"/>
        </w:rPr>
        <w:t xml:space="preserve">– </w:t>
      </w:r>
      <w:r w:rsidRPr="00421F54">
        <w:rPr>
          <w:rFonts w:ascii="Times New Roman" w:hAnsi="Times New Roman" w:cs="Times New Roman"/>
          <w:sz w:val="28"/>
          <w:szCs w:val="28"/>
          <w:lang w:val="uk-UA"/>
        </w:rPr>
        <w:t>2014</w:t>
      </w:r>
      <w:r w:rsidR="004D179B">
        <w:rPr>
          <w:rFonts w:ascii="Times New Roman" w:hAnsi="Times New Roman" w:cs="Times New Roman"/>
          <w:sz w:val="28"/>
          <w:szCs w:val="28"/>
        </w:rPr>
        <w:t>. – Vol.</w:t>
      </w:r>
      <w:r w:rsidR="004D179B">
        <w:rPr>
          <w:rFonts w:ascii="Times New Roman" w:hAnsi="Times New Roman" w:cs="Times New Roman"/>
          <w:sz w:val="28"/>
          <w:szCs w:val="28"/>
          <w:lang w:val="uk-UA"/>
        </w:rPr>
        <w:t xml:space="preserve">8. </w:t>
      </w:r>
      <w:r w:rsidR="004D179B">
        <w:rPr>
          <w:rFonts w:ascii="Times New Roman" w:hAnsi="Times New Roman" w:cs="Times New Roman"/>
          <w:sz w:val="28"/>
          <w:szCs w:val="28"/>
        </w:rPr>
        <w:t>– P.</w:t>
      </w:r>
      <w:r w:rsidR="004D179B">
        <w:rPr>
          <w:rFonts w:ascii="Times New Roman" w:hAnsi="Times New Roman" w:cs="Times New Roman"/>
          <w:sz w:val="28"/>
          <w:szCs w:val="28"/>
          <w:lang w:val="uk-UA"/>
        </w:rPr>
        <w:t>56–</w:t>
      </w:r>
      <w:r w:rsidRPr="00421F54">
        <w:rPr>
          <w:rFonts w:ascii="Times New Roman" w:hAnsi="Times New Roman" w:cs="Times New Roman"/>
          <w:sz w:val="28"/>
          <w:szCs w:val="28"/>
          <w:lang w:val="uk-UA"/>
        </w:rPr>
        <w:t>60</w:t>
      </w:r>
      <w:r w:rsidR="004D179B">
        <w:rPr>
          <w:rFonts w:ascii="Times New Roman" w:hAnsi="Times New Roman" w:cs="Times New Roman"/>
          <w:sz w:val="28"/>
          <w:szCs w:val="28"/>
        </w:rPr>
        <w:t>.</w:t>
      </w:r>
    </w:p>
    <w:p w14:paraId="0A1778CC" w14:textId="7D590546" w:rsidR="002767DC" w:rsidRPr="00890D6E" w:rsidRDefault="00890D6E"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eastAsia="Times New Roman" w:hAnsi="Times New Roman" w:cs="Times New Roman"/>
          <w:iCs/>
          <w:color w:val="303030"/>
          <w:sz w:val="28"/>
          <w:szCs w:val="28"/>
        </w:rPr>
        <w:t xml:space="preserve">Zhang Q. </w:t>
      </w:r>
      <w:r w:rsidRPr="00890D6E">
        <w:rPr>
          <w:rFonts w:ascii="Times New Roman" w:eastAsia="Times New Roman" w:hAnsi="Times New Roman" w:cs="Times New Roman"/>
          <w:color w:val="303030"/>
          <w:sz w:val="28"/>
          <w:szCs w:val="28"/>
          <w:shd w:val="clear" w:color="auto" w:fill="FFFFFF"/>
        </w:rPr>
        <w:t>Oral health status and prosthodontic conditions of Chin</w:t>
      </w:r>
      <w:r>
        <w:rPr>
          <w:rFonts w:ascii="Times New Roman" w:eastAsia="Times New Roman" w:hAnsi="Times New Roman" w:cs="Times New Roman"/>
          <w:color w:val="303030"/>
          <w:sz w:val="28"/>
          <w:szCs w:val="28"/>
          <w:shd w:val="clear" w:color="auto" w:fill="FFFFFF"/>
        </w:rPr>
        <w:t xml:space="preserve">ese adults: a systematic review / Q. </w:t>
      </w:r>
      <w:r>
        <w:rPr>
          <w:rFonts w:ascii="Times New Roman" w:eastAsia="Times New Roman" w:hAnsi="Times New Roman" w:cs="Times New Roman"/>
          <w:iCs/>
          <w:color w:val="303030"/>
          <w:sz w:val="28"/>
          <w:szCs w:val="28"/>
        </w:rPr>
        <w:t>Zhang</w:t>
      </w:r>
      <w:r w:rsidRPr="00890D6E">
        <w:rPr>
          <w:rFonts w:ascii="Times New Roman" w:eastAsia="Times New Roman" w:hAnsi="Times New Roman" w:cs="Times New Roman"/>
          <w:iCs/>
          <w:color w:val="303030"/>
          <w:sz w:val="28"/>
          <w:szCs w:val="28"/>
        </w:rPr>
        <w:t xml:space="preserve">, </w:t>
      </w:r>
      <w:r>
        <w:rPr>
          <w:rFonts w:ascii="Times New Roman" w:eastAsia="Times New Roman" w:hAnsi="Times New Roman" w:cs="Times New Roman"/>
          <w:iCs/>
          <w:color w:val="303030"/>
          <w:sz w:val="28"/>
          <w:szCs w:val="28"/>
        </w:rPr>
        <w:t xml:space="preserve">C.M. </w:t>
      </w:r>
      <w:r w:rsidRPr="00890D6E">
        <w:rPr>
          <w:rFonts w:ascii="Times New Roman" w:eastAsia="Times New Roman" w:hAnsi="Times New Roman" w:cs="Times New Roman"/>
          <w:iCs/>
          <w:color w:val="303030"/>
          <w:sz w:val="28"/>
          <w:szCs w:val="28"/>
        </w:rPr>
        <w:t>Kre</w:t>
      </w:r>
      <w:r>
        <w:rPr>
          <w:rFonts w:ascii="Times New Roman" w:eastAsia="Times New Roman" w:hAnsi="Times New Roman" w:cs="Times New Roman"/>
          <w:iCs/>
          <w:color w:val="303030"/>
          <w:sz w:val="28"/>
          <w:szCs w:val="28"/>
        </w:rPr>
        <w:t>ulen, D.J. Witter //</w:t>
      </w:r>
      <w:r w:rsidRPr="00890D6E">
        <w:rPr>
          <w:rFonts w:ascii="Times New Roman" w:eastAsia="Times New Roman" w:hAnsi="Times New Roman" w:cs="Times New Roman"/>
          <w:iCs/>
          <w:color w:val="303030"/>
          <w:sz w:val="28"/>
          <w:szCs w:val="28"/>
        </w:rPr>
        <w:t xml:space="preserve"> Int J Prosthodont.</w:t>
      </w:r>
      <w:r>
        <w:rPr>
          <w:rFonts w:ascii="Times New Roman" w:eastAsia="Times New Roman" w:hAnsi="Times New Roman" w:cs="Times New Roman"/>
          <w:iCs/>
          <w:color w:val="303030"/>
          <w:sz w:val="28"/>
          <w:szCs w:val="28"/>
        </w:rPr>
        <w:t xml:space="preserve"> –</w:t>
      </w:r>
      <w:r w:rsidRPr="00890D6E">
        <w:rPr>
          <w:rFonts w:ascii="Times New Roman" w:eastAsia="Times New Roman" w:hAnsi="Times New Roman" w:cs="Times New Roman"/>
          <w:iCs/>
          <w:color w:val="303030"/>
          <w:sz w:val="28"/>
          <w:szCs w:val="28"/>
        </w:rPr>
        <w:t xml:space="preserve"> 2</w:t>
      </w:r>
      <w:r>
        <w:rPr>
          <w:rFonts w:ascii="Times New Roman" w:eastAsia="Times New Roman" w:hAnsi="Times New Roman" w:cs="Times New Roman"/>
          <w:iCs/>
          <w:color w:val="303030"/>
          <w:sz w:val="28"/>
          <w:szCs w:val="28"/>
        </w:rPr>
        <w:t>007. – Vol. 20(6). – P.</w:t>
      </w:r>
      <w:r w:rsidRPr="00890D6E">
        <w:rPr>
          <w:rFonts w:ascii="Times New Roman" w:eastAsia="Times New Roman" w:hAnsi="Times New Roman" w:cs="Times New Roman"/>
          <w:iCs/>
          <w:color w:val="303030"/>
          <w:sz w:val="28"/>
          <w:szCs w:val="28"/>
        </w:rPr>
        <w:t>567-</w:t>
      </w:r>
      <w:r>
        <w:rPr>
          <w:rFonts w:ascii="Times New Roman" w:eastAsia="Times New Roman" w:hAnsi="Times New Roman" w:cs="Times New Roman"/>
          <w:iCs/>
          <w:color w:val="303030"/>
          <w:sz w:val="28"/>
          <w:szCs w:val="28"/>
        </w:rPr>
        <w:t>5</w:t>
      </w:r>
      <w:r w:rsidRPr="00890D6E">
        <w:rPr>
          <w:rFonts w:ascii="Times New Roman" w:eastAsia="Times New Roman" w:hAnsi="Times New Roman" w:cs="Times New Roman"/>
          <w:iCs/>
          <w:color w:val="303030"/>
          <w:sz w:val="28"/>
          <w:szCs w:val="28"/>
        </w:rPr>
        <w:t>72.</w:t>
      </w:r>
    </w:p>
    <w:p w14:paraId="4181E53A" w14:textId="7CE68E73" w:rsidR="002767DC" w:rsidRDefault="004864C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Sundar N</w:t>
      </w:r>
      <w:r>
        <w:rPr>
          <w:rFonts w:ascii="Times New Roman" w:hAnsi="Times New Roman" w:cs="Times New Roman"/>
          <w:sz w:val="28"/>
          <w:szCs w:val="28"/>
        </w:rPr>
        <w:t>.</w:t>
      </w:r>
      <w:r>
        <w:rPr>
          <w:rFonts w:ascii="Times New Roman" w:hAnsi="Times New Roman" w:cs="Times New Roman"/>
          <w:sz w:val="28"/>
          <w:szCs w:val="28"/>
          <w:lang w:val="uk-UA"/>
        </w:rPr>
        <w:t>M</w:t>
      </w:r>
      <w:r w:rsidR="002767DC" w:rsidRPr="00421F54">
        <w:rPr>
          <w:rFonts w:ascii="Times New Roman" w:hAnsi="Times New Roman" w:cs="Times New Roman"/>
          <w:sz w:val="28"/>
          <w:szCs w:val="28"/>
          <w:lang w:val="uk-UA"/>
        </w:rPr>
        <w:t>. Comparison of the salivary and the serum nitric oxide levels in chronic and aggressive per</w:t>
      </w:r>
      <w:r>
        <w:rPr>
          <w:rFonts w:ascii="Times New Roman" w:hAnsi="Times New Roman" w:cs="Times New Roman"/>
          <w:sz w:val="28"/>
          <w:szCs w:val="28"/>
          <w:lang w:val="uk-UA"/>
        </w:rPr>
        <w:t xml:space="preserve">iodontitis: A biochemical study / </w:t>
      </w:r>
      <w:r w:rsidRPr="00421F54">
        <w:rPr>
          <w:rFonts w:ascii="Times New Roman" w:hAnsi="Times New Roman" w:cs="Times New Roman"/>
          <w:sz w:val="28"/>
          <w:szCs w:val="28"/>
          <w:lang w:val="uk-UA"/>
        </w:rPr>
        <w:t>N</w:t>
      </w:r>
      <w:r>
        <w:rPr>
          <w:rFonts w:ascii="Times New Roman" w:hAnsi="Times New Roman" w:cs="Times New Roman"/>
          <w:sz w:val="28"/>
          <w:szCs w:val="28"/>
        </w:rPr>
        <w:t>.</w:t>
      </w:r>
      <w:r w:rsidRPr="00421F54">
        <w:rPr>
          <w:rFonts w:ascii="Times New Roman" w:hAnsi="Times New Roman" w:cs="Times New Roman"/>
          <w:sz w:val="28"/>
          <w:szCs w:val="28"/>
          <w:lang w:val="uk-UA"/>
        </w:rPr>
        <w:t>M</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Sundar</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V. </w:t>
      </w:r>
      <w:r>
        <w:rPr>
          <w:rFonts w:ascii="Times New Roman" w:hAnsi="Times New Roman" w:cs="Times New Roman"/>
          <w:sz w:val="28"/>
          <w:szCs w:val="28"/>
          <w:lang w:val="uk-UA"/>
        </w:rPr>
        <w:t xml:space="preserve">Krishnan, </w:t>
      </w:r>
      <w:r>
        <w:rPr>
          <w:rFonts w:ascii="Times New Roman" w:hAnsi="Times New Roman" w:cs="Times New Roman"/>
          <w:sz w:val="28"/>
          <w:szCs w:val="28"/>
        </w:rPr>
        <w:t xml:space="preserve">S. </w:t>
      </w:r>
      <w:r>
        <w:rPr>
          <w:rFonts w:ascii="Times New Roman" w:hAnsi="Times New Roman" w:cs="Times New Roman"/>
          <w:sz w:val="28"/>
          <w:szCs w:val="28"/>
          <w:lang w:val="uk-UA"/>
        </w:rPr>
        <w:t>Krishnaraj</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Clin</w:t>
      </w:r>
      <w:r w:rsidR="002767DC">
        <w:rPr>
          <w:rFonts w:ascii="Times New Roman" w:hAnsi="Times New Roman" w:cs="Times New Roman"/>
          <w:sz w:val="28"/>
          <w:szCs w:val="28"/>
          <w:lang w:val="uk-UA"/>
        </w:rPr>
        <w:t xml:space="preserve"> Diagn Res.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2013.</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7(6). </w:t>
      </w:r>
      <w:r>
        <w:rPr>
          <w:rFonts w:ascii="Times New Roman" w:hAnsi="Times New Roman" w:cs="Times New Roman"/>
          <w:sz w:val="28"/>
          <w:szCs w:val="28"/>
        </w:rPr>
        <w:t>– Vol.</w:t>
      </w:r>
      <w:r w:rsidR="002767DC">
        <w:rPr>
          <w:rFonts w:ascii="Times New Roman" w:hAnsi="Times New Roman" w:cs="Times New Roman"/>
          <w:sz w:val="28"/>
          <w:szCs w:val="28"/>
          <w:lang w:val="uk-UA"/>
        </w:rPr>
        <w:t>1223–</w:t>
      </w:r>
      <w:r>
        <w:rPr>
          <w:rFonts w:ascii="Times New Roman" w:hAnsi="Times New Roman" w:cs="Times New Roman"/>
          <w:sz w:val="28"/>
          <w:szCs w:val="28"/>
        </w:rPr>
        <w:t>12</w:t>
      </w:r>
      <w:r w:rsidR="002767DC">
        <w:rPr>
          <w:rFonts w:ascii="Times New Roman" w:hAnsi="Times New Roman" w:cs="Times New Roman"/>
          <w:sz w:val="28"/>
          <w:szCs w:val="28"/>
          <w:lang w:val="uk-UA"/>
        </w:rPr>
        <w:t xml:space="preserve">27. </w:t>
      </w:r>
    </w:p>
    <w:p w14:paraId="2F43C7F9" w14:textId="2A735625"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Reher V</w:t>
      </w:r>
      <w:r w:rsidR="004864CB">
        <w:rPr>
          <w:rFonts w:ascii="Times New Roman" w:hAnsi="Times New Roman" w:cs="Times New Roman"/>
          <w:sz w:val="28"/>
          <w:szCs w:val="28"/>
        </w:rPr>
        <w:t>.</w:t>
      </w:r>
      <w:r w:rsidRPr="00421F54">
        <w:rPr>
          <w:rFonts w:ascii="Times New Roman" w:hAnsi="Times New Roman" w:cs="Times New Roman"/>
          <w:sz w:val="28"/>
          <w:szCs w:val="28"/>
          <w:lang w:val="uk-UA"/>
        </w:rPr>
        <w:t>G</w:t>
      </w:r>
      <w:r w:rsidR="004864CB">
        <w:rPr>
          <w:rFonts w:ascii="Times New Roman" w:hAnsi="Times New Roman" w:cs="Times New Roman"/>
          <w:sz w:val="28"/>
          <w:szCs w:val="28"/>
        </w:rPr>
        <w:t>.</w:t>
      </w:r>
      <w:r w:rsidRPr="00421F54">
        <w:rPr>
          <w:rFonts w:ascii="Times New Roman" w:hAnsi="Times New Roman" w:cs="Times New Roman"/>
          <w:sz w:val="28"/>
          <w:szCs w:val="28"/>
          <w:lang w:val="uk-UA"/>
        </w:rPr>
        <w:t xml:space="preserve"> Nitric oxide levels in saliva increase with se</w:t>
      </w:r>
      <w:r w:rsidR="004864CB">
        <w:rPr>
          <w:rFonts w:ascii="Times New Roman" w:hAnsi="Times New Roman" w:cs="Times New Roman"/>
          <w:sz w:val="28"/>
          <w:szCs w:val="28"/>
          <w:lang w:val="uk-UA"/>
        </w:rPr>
        <w:t xml:space="preserve">verity of chronic periodontitis / </w:t>
      </w:r>
      <w:r w:rsidR="004864CB" w:rsidRPr="00421F54">
        <w:rPr>
          <w:rFonts w:ascii="Times New Roman" w:hAnsi="Times New Roman" w:cs="Times New Roman"/>
          <w:sz w:val="28"/>
          <w:szCs w:val="28"/>
          <w:lang w:val="uk-UA"/>
        </w:rPr>
        <w:t>V</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G</w:t>
      </w:r>
      <w:r w:rsidR="004864CB">
        <w:rPr>
          <w:rFonts w:ascii="Times New Roman" w:hAnsi="Times New Roman" w:cs="Times New Roman"/>
          <w:sz w:val="28"/>
          <w:szCs w:val="28"/>
        </w:rPr>
        <w:t xml:space="preserve">. </w:t>
      </w:r>
      <w:r w:rsidR="004864CB" w:rsidRPr="00421F54">
        <w:rPr>
          <w:rFonts w:ascii="Times New Roman" w:hAnsi="Times New Roman" w:cs="Times New Roman"/>
          <w:sz w:val="28"/>
          <w:szCs w:val="28"/>
          <w:lang w:val="uk-UA"/>
        </w:rPr>
        <w:t>Reher</w:t>
      </w:r>
      <w:r w:rsidR="004864CB">
        <w:rPr>
          <w:rFonts w:ascii="Times New Roman" w:hAnsi="Times New Roman" w:cs="Times New Roman"/>
          <w:sz w:val="28"/>
          <w:szCs w:val="28"/>
          <w:lang w:val="uk-UA"/>
        </w:rPr>
        <w:t>, E</w:t>
      </w:r>
      <w:r w:rsidR="004864CB">
        <w:rPr>
          <w:rFonts w:ascii="Times New Roman" w:hAnsi="Times New Roman" w:cs="Times New Roman"/>
          <w:sz w:val="28"/>
          <w:szCs w:val="28"/>
        </w:rPr>
        <w:t>.</w:t>
      </w:r>
      <w:r w:rsidR="004864CB">
        <w:rPr>
          <w:rFonts w:ascii="Times New Roman" w:hAnsi="Times New Roman" w:cs="Times New Roman"/>
          <w:sz w:val="28"/>
          <w:szCs w:val="28"/>
          <w:lang w:val="uk-UA"/>
        </w:rPr>
        <w:t>G</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Zenóbio, F</w:t>
      </w:r>
      <w:r w:rsidR="004864CB">
        <w:rPr>
          <w:rFonts w:ascii="Times New Roman" w:hAnsi="Times New Roman" w:cs="Times New Roman"/>
          <w:sz w:val="28"/>
          <w:szCs w:val="28"/>
        </w:rPr>
        <w:t>.</w:t>
      </w:r>
      <w:r w:rsidR="004864CB">
        <w:rPr>
          <w:rFonts w:ascii="Times New Roman" w:hAnsi="Times New Roman" w:cs="Times New Roman"/>
          <w:sz w:val="28"/>
          <w:szCs w:val="28"/>
          <w:lang w:val="uk-UA"/>
        </w:rPr>
        <w:t>O</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Costa //</w:t>
      </w:r>
      <w:r w:rsidRPr="00421F54">
        <w:rPr>
          <w:rFonts w:ascii="Times New Roman" w:hAnsi="Times New Roman" w:cs="Times New Roman"/>
          <w:sz w:val="28"/>
          <w:szCs w:val="28"/>
          <w:lang w:val="uk-UA"/>
        </w:rPr>
        <w:t xml:space="preserve"> J Oral Sci.</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 xml:space="preserve"> 2007.</w:t>
      </w:r>
      <w:r w:rsidR="004864CB">
        <w:rPr>
          <w:rFonts w:ascii="Times New Roman" w:hAnsi="Times New Roman" w:cs="Times New Roman"/>
          <w:sz w:val="28"/>
          <w:szCs w:val="28"/>
        </w:rPr>
        <w:t xml:space="preserve"> – Vol. </w:t>
      </w:r>
      <w:r w:rsidR="004864CB">
        <w:rPr>
          <w:rFonts w:ascii="Times New Roman" w:hAnsi="Times New Roman" w:cs="Times New Roman"/>
          <w:sz w:val="28"/>
          <w:szCs w:val="28"/>
          <w:lang w:val="uk-UA"/>
        </w:rPr>
        <w:t xml:space="preserve">49(4). </w:t>
      </w:r>
      <w:r w:rsidR="004864CB">
        <w:rPr>
          <w:rFonts w:ascii="Times New Roman" w:hAnsi="Times New Roman" w:cs="Times New Roman"/>
          <w:sz w:val="28"/>
          <w:szCs w:val="28"/>
        </w:rPr>
        <w:t xml:space="preserve">– P. </w:t>
      </w:r>
      <w:r w:rsidRPr="00421F54">
        <w:rPr>
          <w:rFonts w:ascii="Times New Roman" w:hAnsi="Times New Roman" w:cs="Times New Roman"/>
          <w:sz w:val="28"/>
          <w:szCs w:val="28"/>
          <w:lang w:val="uk-UA"/>
        </w:rPr>
        <w:t>271–</w:t>
      </w:r>
      <w:r w:rsidR="004864CB">
        <w:rPr>
          <w:rFonts w:ascii="Times New Roman" w:hAnsi="Times New Roman" w:cs="Times New Roman"/>
          <w:sz w:val="28"/>
          <w:szCs w:val="28"/>
        </w:rPr>
        <w:t>2</w:t>
      </w:r>
      <w:r w:rsidRPr="00421F54">
        <w:rPr>
          <w:rFonts w:ascii="Times New Roman" w:hAnsi="Times New Roman" w:cs="Times New Roman"/>
          <w:sz w:val="28"/>
          <w:szCs w:val="28"/>
          <w:lang w:val="uk-UA"/>
        </w:rPr>
        <w:t>76.</w:t>
      </w:r>
    </w:p>
    <w:p w14:paraId="565B767E" w14:textId="442FD258" w:rsidR="002767DC" w:rsidRDefault="004864C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Slomiany B</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421F54">
        <w:rPr>
          <w:rFonts w:ascii="Times New Roman" w:hAnsi="Times New Roman" w:cs="Times New Roman"/>
          <w:sz w:val="28"/>
          <w:szCs w:val="28"/>
          <w:lang w:val="uk-UA"/>
        </w:rPr>
        <w:t>. Nitric oxide interferes with salivary mucin synthesis: involvement of ERK and p38 m</w:t>
      </w:r>
      <w:r>
        <w:rPr>
          <w:rFonts w:ascii="Times New Roman" w:hAnsi="Times New Roman" w:cs="Times New Roman"/>
          <w:sz w:val="28"/>
          <w:szCs w:val="28"/>
          <w:lang w:val="uk-UA"/>
        </w:rPr>
        <w:t xml:space="preserve">itogen-activated protein kinase / </w:t>
      </w:r>
      <w:r w:rsidRPr="00421F54">
        <w:rPr>
          <w:rFonts w:ascii="Times New Roman" w:hAnsi="Times New Roman" w:cs="Times New Roman"/>
          <w:sz w:val="28"/>
          <w:szCs w:val="28"/>
          <w:lang w:val="uk-UA"/>
        </w:rPr>
        <w:t>B</w:t>
      </w:r>
      <w:r>
        <w:rPr>
          <w:rFonts w:ascii="Times New Roman" w:hAnsi="Times New Roman" w:cs="Times New Roman"/>
          <w:sz w:val="28"/>
          <w:szCs w:val="28"/>
        </w:rPr>
        <w:t>.</w:t>
      </w:r>
      <w:r w:rsidRPr="00421F54">
        <w:rPr>
          <w:rFonts w:ascii="Times New Roman" w:hAnsi="Times New Roman" w:cs="Times New Roman"/>
          <w:sz w:val="28"/>
          <w:szCs w:val="28"/>
          <w:lang w:val="uk-UA"/>
        </w:rPr>
        <w:t>L</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 xml:space="preserve">Slomiany, </w:t>
      </w:r>
      <w:r>
        <w:rPr>
          <w:rFonts w:ascii="Times New Roman" w:hAnsi="Times New Roman" w:cs="Times New Roman"/>
          <w:sz w:val="28"/>
          <w:szCs w:val="28"/>
        </w:rPr>
        <w:t xml:space="preserve">A. </w:t>
      </w:r>
      <w:r>
        <w:rPr>
          <w:rFonts w:ascii="Times New Roman" w:hAnsi="Times New Roman" w:cs="Times New Roman"/>
          <w:sz w:val="28"/>
          <w:szCs w:val="28"/>
          <w:lang w:val="uk-UA"/>
        </w:rPr>
        <w:t>Slomiany</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Physiol Pharmacol.</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2002</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53(3).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325–</w:t>
      </w:r>
      <w:r>
        <w:rPr>
          <w:rFonts w:ascii="Times New Roman" w:hAnsi="Times New Roman" w:cs="Times New Roman"/>
          <w:sz w:val="28"/>
          <w:szCs w:val="28"/>
        </w:rPr>
        <w:t>3</w:t>
      </w:r>
      <w:r w:rsidR="002767DC" w:rsidRPr="00421F54">
        <w:rPr>
          <w:rFonts w:ascii="Times New Roman" w:hAnsi="Times New Roman" w:cs="Times New Roman"/>
          <w:sz w:val="28"/>
          <w:szCs w:val="28"/>
          <w:lang w:val="uk-UA"/>
        </w:rPr>
        <w:t>36</w:t>
      </w:r>
      <w:r>
        <w:rPr>
          <w:rFonts w:ascii="Times New Roman" w:hAnsi="Times New Roman" w:cs="Times New Roman"/>
          <w:sz w:val="28"/>
          <w:szCs w:val="28"/>
        </w:rPr>
        <w:t>.</w:t>
      </w:r>
    </w:p>
    <w:p w14:paraId="0DDDB437" w14:textId="756D8AE6" w:rsidR="002767DC" w:rsidRDefault="004864C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Slomiany B</w:t>
      </w:r>
      <w:r>
        <w:rPr>
          <w:rFonts w:ascii="Times New Roman" w:hAnsi="Times New Roman" w:cs="Times New Roman"/>
          <w:sz w:val="28"/>
          <w:szCs w:val="28"/>
        </w:rPr>
        <w:t>.</w:t>
      </w:r>
      <w:r>
        <w:rPr>
          <w:rFonts w:ascii="Times New Roman" w:hAnsi="Times New Roman" w:cs="Times New Roman"/>
          <w:sz w:val="28"/>
          <w:szCs w:val="28"/>
          <w:lang w:val="uk-UA"/>
        </w:rPr>
        <w:t>L</w:t>
      </w:r>
      <w:r w:rsidR="002767DC" w:rsidRPr="00421F54">
        <w:rPr>
          <w:rFonts w:ascii="Times New Roman" w:hAnsi="Times New Roman" w:cs="Times New Roman"/>
          <w:sz w:val="28"/>
          <w:szCs w:val="28"/>
          <w:lang w:val="uk-UA"/>
        </w:rPr>
        <w:t>. Platelet-activating factor mediates Porphyromonas gingivalis lipopolysaccharide interference with salivary mucin synthesis via phosphatidylinositol 3-kinase-dependent constitutive n</w:t>
      </w:r>
      <w:r>
        <w:rPr>
          <w:rFonts w:ascii="Times New Roman" w:hAnsi="Times New Roman" w:cs="Times New Roman"/>
          <w:sz w:val="28"/>
          <w:szCs w:val="28"/>
          <w:lang w:val="uk-UA"/>
        </w:rPr>
        <w:t xml:space="preserve">itric-oxide synthase activation / </w:t>
      </w:r>
      <w:r w:rsidRPr="00421F54">
        <w:rPr>
          <w:rFonts w:ascii="Times New Roman" w:hAnsi="Times New Roman" w:cs="Times New Roman"/>
          <w:sz w:val="28"/>
          <w:szCs w:val="28"/>
          <w:lang w:val="uk-UA"/>
        </w:rPr>
        <w:t>B</w:t>
      </w:r>
      <w:r>
        <w:rPr>
          <w:rFonts w:ascii="Times New Roman" w:hAnsi="Times New Roman" w:cs="Times New Roman"/>
          <w:sz w:val="28"/>
          <w:szCs w:val="28"/>
        </w:rPr>
        <w:t>.</w:t>
      </w:r>
      <w:r w:rsidRPr="00421F54">
        <w:rPr>
          <w:rFonts w:ascii="Times New Roman" w:hAnsi="Times New Roman" w:cs="Times New Roman"/>
          <w:sz w:val="28"/>
          <w:szCs w:val="28"/>
          <w:lang w:val="uk-UA"/>
        </w:rPr>
        <w:t>L</w:t>
      </w:r>
      <w:r>
        <w:rPr>
          <w:rFonts w:ascii="Times New Roman" w:hAnsi="Times New Roman" w:cs="Times New Roman"/>
          <w:sz w:val="28"/>
          <w:szCs w:val="28"/>
        </w:rPr>
        <w:t xml:space="preserve">. </w:t>
      </w:r>
      <w:r w:rsidRPr="00421F54">
        <w:rPr>
          <w:rFonts w:ascii="Times New Roman" w:hAnsi="Times New Roman" w:cs="Times New Roman"/>
          <w:sz w:val="28"/>
          <w:szCs w:val="28"/>
          <w:lang w:val="uk-UA"/>
        </w:rPr>
        <w:t xml:space="preserve">Slomiany, </w:t>
      </w:r>
      <w:r>
        <w:rPr>
          <w:rFonts w:ascii="Times New Roman" w:hAnsi="Times New Roman" w:cs="Times New Roman"/>
          <w:sz w:val="28"/>
          <w:szCs w:val="28"/>
        </w:rPr>
        <w:t xml:space="preserve">A. </w:t>
      </w:r>
      <w:r>
        <w:rPr>
          <w:rFonts w:ascii="Times New Roman" w:hAnsi="Times New Roman" w:cs="Times New Roman"/>
          <w:sz w:val="28"/>
          <w:szCs w:val="28"/>
          <w:lang w:val="uk-UA"/>
        </w:rPr>
        <w:t>Slomiany</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J Physiol Pharmacol.</w:t>
      </w:r>
      <w:r>
        <w:rPr>
          <w:rFonts w:ascii="Times New Roman" w:hAnsi="Times New Roman" w:cs="Times New Roman"/>
          <w:sz w:val="28"/>
          <w:szCs w:val="28"/>
        </w:rPr>
        <w:t xml:space="preserve"> –</w:t>
      </w:r>
      <w:r w:rsidR="002767DC" w:rsidRPr="00421F54">
        <w:rPr>
          <w:rFonts w:ascii="Times New Roman" w:hAnsi="Times New Roman" w:cs="Times New Roman"/>
          <w:sz w:val="28"/>
          <w:szCs w:val="28"/>
          <w:lang w:val="uk-UA"/>
        </w:rPr>
        <w:t xml:space="preserve"> 2004</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55(1). </w:t>
      </w:r>
      <w:r>
        <w:rPr>
          <w:rFonts w:ascii="Times New Roman" w:hAnsi="Times New Roman" w:cs="Times New Roman"/>
          <w:sz w:val="28"/>
          <w:szCs w:val="28"/>
        </w:rPr>
        <w:t>– P.</w:t>
      </w:r>
      <w:r w:rsidR="002767DC" w:rsidRPr="00421F54">
        <w:rPr>
          <w:rFonts w:ascii="Times New Roman" w:hAnsi="Times New Roman" w:cs="Times New Roman"/>
          <w:sz w:val="28"/>
          <w:szCs w:val="28"/>
          <w:lang w:val="uk-UA"/>
        </w:rPr>
        <w:t>85–98</w:t>
      </w:r>
      <w:r>
        <w:rPr>
          <w:rFonts w:ascii="Times New Roman" w:hAnsi="Times New Roman" w:cs="Times New Roman"/>
          <w:sz w:val="28"/>
          <w:szCs w:val="28"/>
        </w:rPr>
        <w:t>.</w:t>
      </w:r>
    </w:p>
    <w:p w14:paraId="0D575FCD" w14:textId="0AEAC776" w:rsidR="002767DC" w:rsidRDefault="004864C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Derrien M</w:t>
      </w:r>
      <w:r w:rsidR="002767DC" w:rsidRPr="00421F54">
        <w:rPr>
          <w:rFonts w:ascii="Times New Roman" w:hAnsi="Times New Roman" w:cs="Times New Roman"/>
          <w:sz w:val="28"/>
          <w:szCs w:val="28"/>
          <w:lang w:val="uk-UA"/>
        </w:rPr>
        <w:t>. Mucin-bacterial interactions in the human o</w:t>
      </w:r>
      <w:r>
        <w:rPr>
          <w:rFonts w:ascii="Times New Roman" w:hAnsi="Times New Roman" w:cs="Times New Roman"/>
          <w:sz w:val="28"/>
          <w:szCs w:val="28"/>
          <w:lang w:val="uk-UA"/>
        </w:rPr>
        <w:t xml:space="preserve">ral cavity and digestive tract / </w:t>
      </w:r>
      <w:r>
        <w:rPr>
          <w:rFonts w:ascii="Times New Roman" w:hAnsi="Times New Roman" w:cs="Times New Roman"/>
          <w:sz w:val="28"/>
          <w:szCs w:val="28"/>
        </w:rPr>
        <w:t xml:space="preserve">M. Derrien, M.W. </w:t>
      </w:r>
      <w:r>
        <w:rPr>
          <w:rFonts w:ascii="Times New Roman" w:hAnsi="Times New Roman" w:cs="Times New Roman"/>
          <w:sz w:val="28"/>
          <w:szCs w:val="28"/>
          <w:lang w:val="uk-UA"/>
        </w:rPr>
        <w:t>van Passel</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J.H. </w:t>
      </w:r>
      <w:r>
        <w:rPr>
          <w:rFonts w:ascii="Times New Roman" w:hAnsi="Times New Roman" w:cs="Times New Roman"/>
          <w:sz w:val="28"/>
          <w:szCs w:val="28"/>
          <w:lang w:val="uk-UA"/>
        </w:rPr>
        <w:t>van de Bovenkamp et al.</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Gut Microbes. </w:t>
      </w:r>
      <w:r w:rsidR="00890D6E">
        <w:rPr>
          <w:rFonts w:ascii="Times New Roman" w:hAnsi="Times New Roman" w:cs="Times New Roman"/>
          <w:sz w:val="28"/>
          <w:szCs w:val="28"/>
        </w:rPr>
        <w:t xml:space="preserve">– </w:t>
      </w:r>
      <w:r>
        <w:rPr>
          <w:rFonts w:ascii="Times New Roman" w:hAnsi="Times New Roman" w:cs="Times New Roman"/>
          <w:sz w:val="28"/>
          <w:szCs w:val="28"/>
          <w:lang w:val="uk-UA"/>
        </w:rPr>
        <w:t>2010. – Vol.1(4). – P.</w:t>
      </w:r>
      <w:r w:rsidR="002767DC" w:rsidRPr="00421F54">
        <w:rPr>
          <w:rFonts w:ascii="Times New Roman" w:hAnsi="Times New Roman" w:cs="Times New Roman"/>
          <w:sz w:val="28"/>
          <w:szCs w:val="28"/>
          <w:lang w:val="uk-UA"/>
        </w:rPr>
        <w:t>254–</w:t>
      </w:r>
      <w:r>
        <w:rPr>
          <w:rFonts w:ascii="Times New Roman" w:hAnsi="Times New Roman" w:cs="Times New Roman"/>
          <w:sz w:val="28"/>
          <w:szCs w:val="28"/>
        </w:rPr>
        <w:t>2</w:t>
      </w:r>
      <w:r w:rsidR="002767DC" w:rsidRPr="00421F54">
        <w:rPr>
          <w:rFonts w:ascii="Times New Roman" w:hAnsi="Times New Roman" w:cs="Times New Roman"/>
          <w:sz w:val="28"/>
          <w:szCs w:val="28"/>
          <w:lang w:val="uk-UA"/>
        </w:rPr>
        <w:t>68</w:t>
      </w:r>
      <w:r>
        <w:rPr>
          <w:rFonts w:ascii="Times New Roman" w:hAnsi="Times New Roman" w:cs="Times New Roman"/>
          <w:sz w:val="28"/>
          <w:szCs w:val="28"/>
        </w:rPr>
        <w:t>.</w:t>
      </w:r>
    </w:p>
    <w:p w14:paraId="6C02E954" w14:textId="51AF281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Алексеева О.А. Роль коррекции общего и</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местного иммунного статуса и биохимических</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показателей ротовой жидкости в комплексной</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терапии пародонтита при сахарном диабете /</w:t>
      </w:r>
      <w:r w:rsidR="004864CB" w:rsidRPr="004864CB">
        <w:rPr>
          <w:rFonts w:ascii="Times New Roman" w:hAnsi="Times New Roman" w:cs="Times New Roman"/>
          <w:sz w:val="28"/>
          <w:szCs w:val="28"/>
          <w:lang w:val="ru-RU"/>
        </w:rPr>
        <w:t xml:space="preserve"> </w:t>
      </w:r>
      <w:r w:rsidRPr="00421F54">
        <w:rPr>
          <w:rFonts w:ascii="Times New Roman" w:hAnsi="Times New Roman" w:cs="Times New Roman"/>
          <w:sz w:val="28"/>
          <w:szCs w:val="28"/>
          <w:lang w:val="uk-UA"/>
        </w:rPr>
        <w:t>О.А.</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 xml:space="preserve">Алексеева // Дисс. канд. мед. наук. Рязань, 2001. </w:t>
      </w:r>
      <w:r w:rsidR="00890D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169</w:t>
      </w:r>
      <w:r w:rsidR="00890D6E">
        <w:rPr>
          <w:rFonts w:ascii="Times New Roman" w:hAnsi="Times New Roman" w:cs="Times New Roman"/>
          <w:sz w:val="28"/>
          <w:szCs w:val="28"/>
        </w:rPr>
        <w:t xml:space="preserve"> </w:t>
      </w:r>
      <w:r w:rsidRPr="00421F54">
        <w:rPr>
          <w:rFonts w:ascii="Times New Roman" w:hAnsi="Times New Roman" w:cs="Times New Roman"/>
          <w:sz w:val="28"/>
          <w:szCs w:val="28"/>
          <w:lang w:val="uk-UA"/>
        </w:rPr>
        <w:t>с.</w:t>
      </w:r>
    </w:p>
    <w:p w14:paraId="46BE1BA6" w14:textId="6E829C7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Мащен</w:t>
      </w:r>
      <w:r>
        <w:rPr>
          <w:rFonts w:ascii="Times New Roman" w:hAnsi="Times New Roman" w:cs="Times New Roman"/>
          <w:sz w:val="28"/>
          <w:szCs w:val="28"/>
          <w:lang w:val="uk-UA"/>
        </w:rPr>
        <w:t>ко И.С. Имунологические и гормо</w:t>
      </w:r>
      <w:r w:rsidRPr="00421F54">
        <w:rPr>
          <w:rFonts w:ascii="Times New Roman" w:hAnsi="Times New Roman" w:cs="Times New Roman"/>
          <w:sz w:val="28"/>
          <w:szCs w:val="28"/>
          <w:lang w:val="uk-UA"/>
        </w:rPr>
        <w:t>нальные аспекты патогенеза генерализованого</w:t>
      </w:r>
      <w:r>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пародонтита /</w:t>
      </w:r>
      <w:r>
        <w:rPr>
          <w:rFonts w:ascii="Times New Roman" w:hAnsi="Times New Roman" w:cs="Times New Roman"/>
          <w:sz w:val="28"/>
          <w:szCs w:val="28"/>
          <w:lang w:val="uk-UA"/>
        </w:rPr>
        <w:t xml:space="preserve"> И.С. Мащенко // Вісник стомато</w:t>
      </w:r>
      <w:r w:rsidRPr="00421F54">
        <w:rPr>
          <w:rFonts w:ascii="Times New Roman" w:hAnsi="Times New Roman" w:cs="Times New Roman"/>
          <w:sz w:val="28"/>
          <w:szCs w:val="28"/>
          <w:lang w:val="uk-UA"/>
        </w:rPr>
        <w:t xml:space="preserve">логії. Спеціальний випуск. – 2003. </w:t>
      </w:r>
      <w:r w:rsidR="00890D6E" w:rsidRPr="00421F54">
        <w:rPr>
          <w:rFonts w:ascii="Times New Roman" w:hAnsi="Times New Roman" w:cs="Times New Roman"/>
          <w:sz w:val="28"/>
          <w:szCs w:val="28"/>
          <w:lang w:val="uk-UA"/>
        </w:rPr>
        <w:t>–</w:t>
      </w:r>
      <w:r w:rsidRPr="00421F54">
        <w:rPr>
          <w:rFonts w:ascii="Times New Roman" w:hAnsi="Times New Roman" w:cs="Times New Roman"/>
          <w:sz w:val="28"/>
          <w:szCs w:val="28"/>
          <w:lang w:val="uk-UA"/>
        </w:rPr>
        <w:t xml:space="preserve"> №1. – С. 19-24.</w:t>
      </w:r>
    </w:p>
    <w:p w14:paraId="06378AF2" w14:textId="718998B3"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Смоляр Н.І. </w:t>
      </w:r>
      <w:r w:rsidR="004864CB">
        <w:rPr>
          <w:rFonts w:ascii="Times New Roman" w:hAnsi="Times New Roman" w:cs="Times New Roman"/>
          <w:sz w:val="28"/>
          <w:szCs w:val="28"/>
          <w:lang w:val="uk-UA"/>
        </w:rPr>
        <w:t>В</w:t>
      </w:r>
      <w:r w:rsidR="004864CB" w:rsidRPr="00421F54">
        <w:rPr>
          <w:rFonts w:ascii="Times New Roman" w:hAnsi="Times New Roman" w:cs="Times New Roman"/>
          <w:sz w:val="28"/>
          <w:szCs w:val="28"/>
          <w:lang w:val="uk-UA"/>
        </w:rPr>
        <w:t xml:space="preserve">изначення рівня лізоциму та секреторного імуноглобуліну (sіga) у ротовій рідині дітей з бронхіальною астмою </w:t>
      </w:r>
      <w:r w:rsidRPr="00421F54">
        <w:rPr>
          <w:rFonts w:ascii="Times New Roman" w:hAnsi="Times New Roman" w:cs="Times New Roman"/>
          <w:sz w:val="28"/>
          <w:szCs w:val="28"/>
          <w:lang w:val="uk-UA"/>
        </w:rPr>
        <w:t xml:space="preserve">/ Н.І. Смоляр, С.Є. Лещук, М.А. Панас // ВІСНИК ВДНЗУ «Українська медична стоматологічна академія»: Актуальні проблеми сучасної медицини. </w:t>
      </w:r>
      <w:r w:rsidR="007F754F">
        <w:rPr>
          <w:rFonts w:ascii="Times New Roman" w:hAnsi="Times New Roman" w:cs="Times New Roman"/>
          <w:sz w:val="28"/>
          <w:szCs w:val="28"/>
          <w:lang w:val="uk-UA"/>
        </w:rPr>
        <w:t>– 2015. –</w:t>
      </w:r>
      <w:r w:rsidRPr="00421F54">
        <w:rPr>
          <w:rFonts w:ascii="Times New Roman" w:hAnsi="Times New Roman" w:cs="Times New Roman"/>
          <w:sz w:val="28"/>
          <w:szCs w:val="28"/>
          <w:lang w:val="uk-UA"/>
        </w:rPr>
        <w:t xml:space="preserve"> Том </w:t>
      </w:r>
      <w:r w:rsidR="00890D6E">
        <w:rPr>
          <w:rFonts w:ascii="Times New Roman" w:hAnsi="Times New Roman" w:cs="Times New Roman"/>
          <w:sz w:val="28"/>
          <w:szCs w:val="28"/>
          <w:lang w:val="uk-UA"/>
        </w:rPr>
        <w:t>15, Випуск 3(51), частина 1. – C</w:t>
      </w:r>
      <w:r w:rsidRPr="00421F54">
        <w:rPr>
          <w:rFonts w:ascii="Times New Roman" w:hAnsi="Times New Roman" w:cs="Times New Roman"/>
          <w:sz w:val="28"/>
          <w:szCs w:val="28"/>
          <w:lang w:val="uk-UA"/>
        </w:rPr>
        <w:t>. 48-51</w:t>
      </w:r>
    </w:p>
    <w:p w14:paraId="1BDA1F03" w14:textId="74AC1356"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MacKinnon L</w:t>
      </w:r>
      <w:r w:rsidR="004864CB">
        <w:rPr>
          <w:rFonts w:ascii="Times New Roman" w:hAnsi="Times New Roman" w:cs="Times New Roman"/>
          <w:sz w:val="28"/>
          <w:szCs w:val="28"/>
        </w:rPr>
        <w:t>.</w:t>
      </w:r>
      <w:r w:rsidRPr="00421F54">
        <w:rPr>
          <w:rFonts w:ascii="Times New Roman" w:hAnsi="Times New Roman" w:cs="Times New Roman"/>
          <w:sz w:val="28"/>
          <w:szCs w:val="28"/>
          <w:lang w:val="uk-UA"/>
        </w:rPr>
        <w:t>T. Exercise and Humoral Immunity: Immunoglobulin, Antibody, and Mucosal Immunity. Advances in Exercise Immunology. Cham</w:t>
      </w:r>
      <w:r w:rsidR="004864CB">
        <w:rPr>
          <w:rFonts w:ascii="Times New Roman" w:hAnsi="Times New Roman" w:cs="Times New Roman"/>
          <w:sz w:val="28"/>
          <w:szCs w:val="28"/>
          <w:lang w:val="uk-UA"/>
        </w:rPr>
        <w:t xml:space="preserve">paign, USA: Human Kinetics 1999, </w:t>
      </w:r>
      <w:r w:rsidR="004864CB" w:rsidRPr="00421F54">
        <w:rPr>
          <w:rFonts w:ascii="Times New Roman" w:hAnsi="Times New Roman" w:cs="Times New Roman"/>
          <w:sz w:val="28"/>
          <w:szCs w:val="28"/>
          <w:lang w:val="uk-UA"/>
        </w:rPr>
        <w:t>–</w:t>
      </w:r>
      <w:r w:rsidR="004864CB">
        <w:rPr>
          <w:rFonts w:ascii="Times New Roman" w:hAnsi="Times New Roman" w:cs="Times New Roman"/>
          <w:sz w:val="28"/>
          <w:szCs w:val="28"/>
        </w:rPr>
        <w:t xml:space="preserve"> </w:t>
      </w:r>
      <w:r w:rsidR="004864CB">
        <w:rPr>
          <w:rFonts w:ascii="Times New Roman" w:hAnsi="Times New Roman" w:cs="Times New Roman"/>
          <w:sz w:val="28"/>
          <w:szCs w:val="28"/>
          <w:lang w:val="uk-UA"/>
        </w:rPr>
        <w:t>P.</w:t>
      </w:r>
      <w:r w:rsidRPr="00421F54">
        <w:rPr>
          <w:rFonts w:ascii="Times New Roman" w:hAnsi="Times New Roman" w:cs="Times New Roman"/>
          <w:sz w:val="28"/>
          <w:szCs w:val="28"/>
          <w:lang w:val="uk-UA"/>
        </w:rPr>
        <w:t xml:space="preserve"> 159–200</w:t>
      </w:r>
    </w:p>
    <w:p w14:paraId="72AF8F2B" w14:textId="17905C2E" w:rsidR="00890D6E" w:rsidRDefault="004864CB"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Bimstein E</w:t>
      </w:r>
      <w:r w:rsidR="002767DC" w:rsidRPr="00421F54">
        <w:rPr>
          <w:rFonts w:ascii="Times New Roman" w:hAnsi="Times New Roman" w:cs="Times New Roman"/>
          <w:sz w:val="28"/>
          <w:szCs w:val="28"/>
          <w:lang w:val="uk-UA"/>
        </w:rPr>
        <w:t>. Growth and development considerations in the diagnosis of gingiviti</w:t>
      </w:r>
      <w:r>
        <w:rPr>
          <w:rFonts w:ascii="Times New Roman" w:hAnsi="Times New Roman" w:cs="Times New Roman"/>
          <w:sz w:val="28"/>
          <w:szCs w:val="28"/>
          <w:lang w:val="uk-UA"/>
        </w:rPr>
        <w:t xml:space="preserve">s and periodontitis in children / </w:t>
      </w:r>
      <w:r>
        <w:rPr>
          <w:rFonts w:ascii="Times New Roman" w:hAnsi="Times New Roman" w:cs="Times New Roman"/>
          <w:sz w:val="28"/>
          <w:szCs w:val="28"/>
        </w:rPr>
        <w:t xml:space="preserve">E. </w:t>
      </w:r>
      <w:r>
        <w:rPr>
          <w:rFonts w:ascii="Times New Roman" w:hAnsi="Times New Roman" w:cs="Times New Roman"/>
          <w:sz w:val="28"/>
          <w:szCs w:val="28"/>
          <w:lang w:val="uk-UA"/>
        </w:rPr>
        <w:t>Bimstein</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 xml:space="preserve">L. </w:t>
      </w:r>
      <w:r>
        <w:rPr>
          <w:rFonts w:ascii="Times New Roman" w:hAnsi="Times New Roman" w:cs="Times New Roman"/>
          <w:sz w:val="28"/>
          <w:szCs w:val="28"/>
          <w:lang w:val="uk-UA"/>
        </w:rPr>
        <w:t>Matsson</w:t>
      </w:r>
      <w:r w:rsidRPr="00421F54">
        <w:rPr>
          <w:rFonts w:ascii="Times New Roman" w:hAnsi="Times New Roman" w:cs="Times New Roman"/>
          <w:sz w:val="28"/>
          <w:szCs w:val="28"/>
          <w:lang w:val="uk-UA"/>
        </w:rPr>
        <w:t xml:space="preserve"> </w:t>
      </w:r>
      <w:r>
        <w:rPr>
          <w:rFonts w:ascii="Times New Roman" w:hAnsi="Times New Roman" w:cs="Times New Roman"/>
          <w:sz w:val="28"/>
          <w:szCs w:val="28"/>
        </w:rPr>
        <w:t>//</w:t>
      </w:r>
      <w:r w:rsidR="002767DC">
        <w:rPr>
          <w:rFonts w:ascii="Times New Roman" w:hAnsi="Times New Roman" w:cs="Times New Roman"/>
          <w:sz w:val="28"/>
          <w:szCs w:val="28"/>
          <w:lang w:val="uk-UA"/>
        </w:rPr>
        <w:t xml:space="preserve"> Pediatr Dent</w:t>
      </w:r>
      <w:r>
        <w:rPr>
          <w:rFonts w:ascii="Times New Roman" w:hAnsi="Times New Roman" w:cs="Times New Roman"/>
          <w:sz w:val="28"/>
          <w:szCs w:val="28"/>
        </w:rPr>
        <w:t>. –</w:t>
      </w:r>
      <w:r w:rsidR="00D73E0B">
        <w:rPr>
          <w:rFonts w:ascii="Times New Roman" w:hAnsi="Times New Roman" w:cs="Times New Roman"/>
          <w:sz w:val="28"/>
          <w:szCs w:val="28"/>
          <w:lang w:val="uk-UA"/>
        </w:rPr>
        <w:t xml:space="preserve"> 2003</w:t>
      </w:r>
      <w:r>
        <w:rPr>
          <w:rFonts w:ascii="Times New Roman" w:hAnsi="Times New Roman" w:cs="Times New Roman"/>
          <w:sz w:val="28"/>
          <w:szCs w:val="28"/>
          <w:lang w:val="uk-UA"/>
        </w:rPr>
        <w:t>.</w:t>
      </w:r>
      <w:r>
        <w:rPr>
          <w:rFonts w:ascii="Times New Roman" w:hAnsi="Times New Roman" w:cs="Times New Roman"/>
          <w:sz w:val="28"/>
          <w:szCs w:val="28"/>
        </w:rPr>
        <w:t xml:space="preserve"> – Vol.</w:t>
      </w:r>
      <w:r>
        <w:rPr>
          <w:rFonts w:ascii="Times New Roman" w:hAnsi="Times New Roman" w:cs="Times New Roman"/>
          <w:sz w:val="28"/>
          <w:szCs w:val="28"/>
          <w:lang w:val="uk-UA"/>
        </w:rPr>
        <w:t xml:space="preserve">21. </w:t>
      </w:r>
      <w:r>
        <w:rPr>
          <w:rFonts w:ascii="Times New Roman" w:hAnsi="Times New Roman" w:cs="Times New Roman"/>
          <w:sz w:val="28"/>
          <w:szCs w:val="28"/>
        </w:rPr>
        <w:t>– P.1</w:t>
      </w:r>
      <w:r w:rsidR="002767DC">
        <w:rPr>
          <w:rFonts w:ascii="Times New Roman" w:hAnsi="Times New Roman" w:cs="Times New Roman"/>
          <w:sz w:val="28"/>
          <w:szCs w:val="28"/>
          <w:lang w:val="uk-UA"/>
        </w:rPr>
        <w:t>86-191.</w:t>
      </w:r>
    </w:p>
    <w:p w14:paraId="5677BEA3" w14:textId="1AFB338E" w:rsidR="00890D6E" w:rsidRPr="00D73E0B" w:rsidRDefault="00890D6E"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73E0B">
        <w:rPr>
          <w:rFonts w:ascii="Times New Roman" w:hAnsi="Times New Roman" w:cs="Times New Roman"/>
          <w:color w:val="000000"/>
          <w:sz w:val="28"/>
          <w:szCs w:val="28"/>
        </w:rPr>
        <w:t xml:space="preserve">Romero M.R. </w:t>
      </w:r>
      <w:r w:rsidRPr="00D73E0B">
        <w:rPr>
          <w:rFonts w:ascii="Times New Roman" w:eastAsiaTheme="majorEastAsia" w:hAnsi="Times New Roman" w:cs="Times New Roman"/>
          <w:color w:val="000000"/>
          <w:sz w:val="28"/>
          <w:szCs w:val="28"/>
        </w:rPr>
        <w:t>Immunoglobulin A, G and M levels in saliva in children between 3 - 12 years of a</w:t>
      </w:r>
      <w:r w:rsidR="00D73E0B" w:rsidRPr="00D73E0B">
        <w:rPr>
          <w:rFonts w:ascii="Times New Roman" w:eastAsiaTheme="majorEastAsia" w:hAnsi="Times New Roman" w:cs="Times New Roman"/>
          <w:color w:val="000000"/>
          <w:sz w:val="28"/>
          <w:szCs w:val="28"/>
        </w:rPr>
        <w:t>ge, healthy and with gingivitis /</w:t>
      </w:r>
      <w:r w:rsidRPr="00D73E0B">
        <w:rPr>
          <w:rFonts w:ascii="Times New Roman" w:hAnsi="Times New Roman" w:cs="Times New Roman"/>
          <w:color w:val="000000"/>
          <w:sz w:val="28"/>
          <w:szCs w:val="28"/>
        </w:rPr>
        <w:t xml:space="preserve"> M.R. Romero, M.L. Lozano, C. Posada // </w:t>
      </w:r>
      <w:r w:rsidRPr="00D73E0B">
        <w:rPr>
          <w:rStyle w:val="jrnl"/>
          <w:rFonts w:ascii="Times New Roman" w:hAnsi="Times New Roman" w:cs="Times New Roman"/>
          <w:color w:val="000000"/>
          <w:sz w:val="28"/>
          <w:szCs w:val="28"/>
        </w:rPr>
        <w:t>Acta Odontol Latinoam</w:t>
      </w:r>
      <w:r w:rsidRPr="00D73E0B">
        <w:rPr>
          <w:rFonts w:ascii="Times New Roman" w:hAnsi="Times New Roman" w:cs="Times New Roman"/>
          <w:color w:val="000000"/>
          <w:sz w:val="28"/>
          <w:szCs w:val="28"/>
        </w:rPr>
        <w:t>. – 2011.</w:t>
      </w:r>
      <w:r w:rsidR="00D73E0B" w:rsidRPr="00D73E0B">
        <w:rPr>
          <w:rFonts w:ascii="Times New Roman" w:hAnsi="Times New Roman" w:cs="Times New Roman"/>
          <w:color w:val="000000"/>
          <w:sz w:val="28"/>
          <w:szCs w:val="28"/>
        </w:rPr>
        <w:t xml:space="preserve"> – Vol. 24(2). – P. </w:t>
      </w:r>
      <w:r w:rsidRPr="00D73E0B">
        <w:rPr>
          <w:rFonts w:ascii="Times New Roman" w:hAnsi="Times New Roman" w:cs="Times New Roman"/>
          <w:color w:val="000000"/>
          <w:sz w:val="28"/>
          <w:szCs w:val="28"/>
        </w:rPr>
        <w:t>176-82.</w:t>
      </w:r>
    </w:p>
    <w:p w14:paraId="5A0D59C2" w14:textId="4AD95359" w:rsidR="002767DC" w:rsidRDefault="00890D6E" w:rsidP="00890D6E">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 xml:space="preserve"> </w:t>
      </w:r>
      <w:r w:rsidR="002767DC" w:rsidRPr="00421F54">
        <w:rPr>
          <w:rFonts w:ascii="Times New Roman" w:hAnsi="Times New Roman" w:cs="Times New Roman"/>
          <w:sz w:val="28"/>
          <w:szCs w:val="28"/>
          <w:lang w:val="uk-UA"/>
        </w:rPr>
        <w:t>Rodríguez A. Respuesta inmune frente</w:t>
      </w:r>
      <w:r w:rsidR="004864CB">
        <w:rPr>
          <w:rFonts w:ascii="Times New Roman" w:hAnsi="Times New Roman" w:cs="Times New Roman"/>
          <w:sz w:val="28"/>
          <w:szCs w:val="28"/>
          <w:lang w:val="uk-UA"/>
        </w:rPr>
        <w:t xml:space="preserve"> a microorganismos cariogénicos / </w:t>
      </w:r>
      <w:r w:rsidR="004864CB" w:rsidRPr="00421F54">
        <w:rPr>
          <w:rFonts w:ascii="Times New Roman" w:hAnsi="Times New Roman" w:cs="Times New Roman"/>
          <w:sz w:val="28"/>
          <w:szCs w:val="28"/>
          <w:lang w:val="uk-UA"/>
        </w:rPr>
        <w:t xml:space="preserve">Rodríguez A. </w:t>
      </w:r>
      <w:r w:rsidR="004864CB">
        <w:rPr>
          <w:rFonts w:ascii="Times New Roman" w:hAnsi="Times New Roman" w:cs="Times New Roman"/>
          <w:sz w:val="28"/>
          <w:szCs w:val="28"/>
        </w:rPr>
        <w:t>//</w:t>
      </w:r>
      <w:r w:rsidR="002767DC" w:rsidRPr="00421F54">
        <w:rPr>
          <w:rFonts w:ascii="Times New Roman" w:hAnsi="Times New Roman" w:cs="Times New Roman"/>
          <w:sz w:val="28"/>
          <w:szCs w:val="28"/>
          <w:lang w:val="uk-UA"/>
        </w:rPr>
        <w:t xml:space="preserve"> Univers Odont</w:t>
      </w:r>
      <w:r w:rsidR="004864CB">
        <w:rPr>
          <w:rFonts w:ascii="Times New Roman" w:hAnsi="Times New Roman" w:cs="Times New Roman"/>
          <w:sz w:val="28"/>
          <w:szCs w:val="28"/>
        </w:rPr>
        <w:t>. –</w:t>
      </w:r>
      <w:r w:rsidR="002767DC" w:rsidRPr="00421F54">
        <w:rPr>
          <w:rFonts w:ascii="Times New Roman" w:hAnsi="Times New Roman" w:cs="Times New Roman"/>
          <w:sz w:val="28"/>
          <w:szCs w:val="28"/>
          <w:lang w:val="uk-UA"/>
        </w:rPr>
        <w:t xml:space="preserve"> 2000</w:t>
      </w:r>
      <w:r w:rsidR="004864CB">
        <w:rPr>
          <w:rFonts w:ascii="Times New Roman" w:hAnsi="Times New Roman" w:cs="Times New Roman"/>
          <w:sz w:val="28"/>
          <w:szCs w:val="28"/>
        </w:rPr>
        <w:t xml:space="preserve">. – Vol. </w:t>
      </w:r>
      <w:r w:rsidR="004864CB">
        <w:rPr>
          <w:rFonts w:ascii="Times New Roman" w:hAnsi="Times New Roman" w:cs="Times New Roman"/>
          <w:sz w:val="28"/>
          <w:szCs w:val="28"/>
          <w:lang w:val="uk-UA"/>
        </w:rPr>
        <w:t xml:space="preserve">20. </w:t>
      </w:r>
      <w:r w:rsidR="004864CB">
        <w:rPr>
          <w:rFonts w:ascii="Times New Roman" w:hAnsi="Times New Roman" w:cs="Times New Roman"/>
          <w:sz w:val="28"/>
          <w:szCs w:val="28"/>
        </w:rPr>
        <w:t xml:space="preserve">– P. </w:t>
      </w:r>
      <w:r w:rsidR="002767DC" w:rsidRPr="00421F54">
        <w:rPr>
          <w:rFonts w:ascii="Times New Roman" w:hAnsi="Times New Roman" w:cs="Times New Roman"/>
          <w:sz w:val="28"/>
          <w:szCs w:val="28"/>
          <w:lang w:val="uk-UA"/>
        </w:rPr>
        <w:t>56-63.</w:t>
      </w:r>
    </w:p>
    <w:p w14:paraId="4D395E16" w14:textId="10D154A8" w:rsidR="002767DC" w:rsidRDefault="008704A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Nowzari H</w:t>
      </w:r>
      <w:r w:rsidR="002767DC" w:rsidRPr="00421F54">
        <w:rPr>
          <w:rFonts w:ascii="Times New Roman" w:hAnsi="Times New Roman" w:cs="Times New Roman"/>
          <w:sz w:val="28"/>
          <w:szCs w:val="28"/>
          <w:lang w:val="uk-UA"/>
        </w:rPr>
        <w:t>. The impact of early-in-life periodontal infection on the smile</w:t>
      </w:r>
      <w:r w:rsidR="004864CB">
        <w:rPr>
          <w:rFonts w:ascii="Times New Roman" w:hAnsi="Times New Roman" w:cs="Times New Roman"/>
          <w:sz w:val="28"/>
          <w:szCs w:val="28"/>
          <w:lang w:val="uk-UA"/>
        </w:rPr>
        <w:t xml:space="preserve">s of children: a worldwide view / </w:t>
      </w:r>
      <w:r>
        <w:rPr>
          <w:rFonts w:ascii="Times New Roman" w:hAnsi="Times New Roman" w:cs="Times New Roman"/>
          <w:sz w:val="28"/>
          <w:szCs w:val="28"/>
        </w:rPr>
        <w:t xml:space="preserve">H. </w:t>
      </w:r>
      <w:r w:rsidR="004864CB" w:rsidRPr="00421F54">
        <w:rPr>
          <w:rFonts w:ascii="Times New Roman" w:hAnsi="Times New Roman" w:cs="Times New Roman"/>
          <w:sz w:val="28"/>
          <w:szCs w:val="28"/>
          <w:lang w:val="uk-UA"/>
        </w:rPr>
        <w:t>Nowzar</w:t>
      </w:r>
      <w:r>
        <w:rPr>
          <w:rFonts w:ascii="Times New Roman" w:hAnsi="Times New Roman" w:cs="Times New Roman"/>
          <w:sz w:val="28"/>
          <w:szCs w:val="28"/>
          <w:lang w:val="uk-UA"/>
        </w:rPr>
        <w:t>i</w:t>
      </w:r>
      <w:r w:rsidR="004864CB" w:rsidRPr="00421F54">
        <w:rPr>
          <w:rFonts w:ascii="Times New Roman" w:hAnsi="Times New Roman" w:cs="Times New Roman"/>
          <w:sz w:val="28"/>
          <w:szCs w:val="28"/>
          <w:lang w:val="uk-UA"/>
        </w:rPr>
        <w:t>, J</w:t>
      </w:r>
      <w:r>
        <w:rPr>
          <w:rFonts w:ascii="Times New Roman" w:hAnsi="Times New Roman" w:cs="Times New Roman"/>
          <w:sz w:val="28"/>
          <w:szCs w:val="28"/>
        </w:rPr>
        <w:t>.</w:t>
      </w:r>
      <w:r w:rsidR="004864CB" w:rsidRPr="00421F54">
        <w:rPr>
          <w:rFonts w:ascii="Times New Roman" w:hAnsi="Times New Roman" w:cs="Times New Roman"/>
          <w:sz w:val="28"/>
          <w:szCs w:val="28"/>
          <w:lang w:val="uk-UA"/>
        </w:rPr>
        <w:t>E</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 xml:space="preserve"> Botero, S</w:t>
      </w:r>
      <w:r w:rsidR="004864CB">
        <w:rPr>
          <w:rFonts w:ascii="Times New Roman" w:hAnsi="Times New Roman" w:cs="Times New Roman"/>
          <w:sz w:val="28"/>
          <w:szCs w:val="28"/>
        </w:rPr>
        <w:t>.</w:t>
      </w:r>
      <w:r w:rsidR="004864CB" w:rsidRPr="00421F54">
        <w:rPr>
          <w:rFonts w:ascii="Times New Roman" w:hAnsi="Times New Roman" w:cs="Times New Roman"/>
          <w:sz w:val="28"/>
          <w:szCs w:val="28"/>
          <w:lang w:val="uk-UA"/>
        </w:rPr>
        <w:t>K.</w:t>
      </w:r>
      <w:r w:rsidR="004864CB">
        <w:rPr>
          <w:rFonts w:ascii="Times New Roman" w:hAnsi="Times New Roman" w:cs="Times New Roman"/>
          <w:sz w:val="28"/>
          <w:szCs w:val="28"/>
        </w:rPr>
        <w:t xml:space="preserve"> </w:t>
      </w:r>
      <w:r w:rsidR="004864CB" w:rsidRPr="00421F54">
        <w:rPr>
          <w:rFonts w:ascii="Times New Roman" w:hAnsi="Times New Roman" w:cs="Times New Roman"/>
          <w:sz w:val="28"/>
          <w:szCs w:val="28"/>
          <w:lang w:val="uk-UA"/>
        </w:rPr>
        <w:t xml:space="preserve">Rich </w:t>
      </w:r>
      <w:r w:rsidR="004864CB">
        <w:rPr>
          <w:rFonts w:ascii="Times New Roman" w:hAnsi="Times New Roman" w:cs="Times New Roman"/>
          <w:sz w:val="28"/>
          <w:szCs w:val="28"/>
        </w:rPr>
        <w:t>//</w:t>
      </w:r>
      <w:r w:rsidR="002767DC" w:rsidRPr="00421F54">
        <w:rPr>
          <w:rFonts w:ascii="Times New Roman" w:hAnsi="Times New Roman" w:cs="Times New Roman"/>
          <w:sz w:val="28"/>
          <w:szCs w:val="28"/>
          <w:lang w:val="uk-UA"/>
        </w:rPr>
        <w:t xml:space="preserve"> Compend Contin Educ Dent</w:t>
      </w:r>
      <w:r>
        <w:rPr>
          <w:rFonts w:ascii="Times New Roman" w:hAnsi="Times New Roman" w:cs="Times New Roman"/>
          <w:sz w:val="28"/>
          <w:szCs w:val="28"/>
        </w:rPr>
        <w:t>. –</w:t>
      </w:r>
      <w:r w:rsidR="002767DC" w:rsidRPr="00421F54">
        <w:rPr>
          <w:rFonts w:ascii="Times New Roman" w:hAnsi="Times New Roman" w:cs="Times New Roman"/>
          <w:sz w:val="28"/>
          <w:szCs w:val="28"/>
          <w:lang w:val="uk-UA"/>
        </w:rPr>
        <w:t xml:space="preserve"> 2010</w:t>
      </w:r>
      <w:r>
        <w:rPr>
          <w:rFonts w:ascii="Times New Roman" w:hAnsi="Times New Roman" w:cs="Times New Roman"/>
          <w:sz w:val="28"/>
          <w:szCs w:val="28"/>
        </w:rPr>
        <w:t>. – Vol.</w:t>
      </w:r>
      <w:r>
        <w:rPr>
          <w:rFonts w:ascii="Times New Roman" w:hAnsi="Times New Roman" w:cs="Times New Roman"/>
          <w:sz w:val="28"/>
          <w:szCs w:val="28"/>
          <w:lang w:val="uk-UA"/>
        </w:rPr>
        <w:t xml:space="preserve">31. </w:t>
      </w:r>
      <w:r>
        <w:rPr>
          <w:rFonts w:ascii="Times New Roman" w:hAnsi="Times New Roman" w:cs="Times New Roman"/>
          <w:sz w:val="28"/>
          <w:szCs w:val="28"/>
        </w:rPr>
        <w:t>– P.</w:t>
      </w:r>
      <w:r>
        <w:rPr>
          <w:rFonts w:ascii="Times New Roman" w:hAnsi="Times New Roman" w:cs="Times New Roman"/>
          <w:sz w:val="28"/>
          <w:szCs w:val="28"/>
          <w:lang w:val="uk-UA"/>
        </w:rPr>
        <w:t>154-15</w:t>
      </w:r>
      <w:r w:rsidR="002767DC" w:rsidRPr="00421F54">
        <w:rPr>
          <w:rFonts w:ascii="Times New Roman" w:hAnsi="Times New Roman" w:cs="Times New Roman"/>
          <w:sz w:val="28"/>
          <w:szCs w:val="28"/>
          <w:lang w:val="uk-UA"/>
        </w:rPr>
        <w:t>8</w:t>
      </w:r>
      <w:r>
        <w:rPr>
          <w:rFonts w:ascii="Times New Roman" w:hAnsi="Times New Roman" w:cs="Times New Roman"/>
          <w:sz w:val="28"/>
          <w:szCs w:val="28"/>
        </w:rPr>
        <w:t>.</w:t>
      </w:r>
    </w:p>
    <w:p w14:paraId="2CDB6070" w14:textId="6E7CE93B"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Регеда М.С. Алергічні захворювання л</w:t>
      </w:r>
      <w:r w:rsidR="007F754F">
        <w:rPr>
          <w:rFonts w:ascii="Times New Roman" w:hAnsi="Times New Roman" w:cs="Times New Roman"/>
          <w:sz w:val="28"/>
          <w:szCs w:val="28"/>
          <w:lang w:val="uk-UA"/>
        </w:rPr>
        <w:t xml:space="preserve">егенів. Монографія. М.С. Регеда, 2009. </w:t>
      </w:r>
      <w:r w:rsidRPr="00421F54">
        <w:rPr>
          <w:rFonts w:ascii="Times New Roman" w:hAnsi="Times New Roman" w:cs="Times New Roman"/>
          <w:sz w:val="28"/>
          <w:szCs w:val="28"/>
          <w:lang w:val="uk-UA"/>
        </w:rPr>
        <w:t>–</w:t>
      </w:r>
      <w:r w:rsidR="007F754F">
        <w:rPr>
          <w:rFonts w:ascii="Times New Roman" w:hAnsi="Times New Roman" w:cs="Times New Roman"/>
          <w:sz w:val="28"/>
          <w:szCs w:val="28"/>
          <w:lang w:val="uk-UA"/>
        </w:rPr>
        <w:t xml:space="preserve"> </w:t>
      </w:r>
      <w:r w:rsidRPr="00421F54">
        <w:rPr>
          <w:rFonts w:ascii="Times New Roman" w:hAnsi="Times New Roman" w:cs="Times New Roman"/>
          <w:sz w:val="28"/>
          <w:szCs w:val="28"/>
          <w:lang w:val="uk-UA"/>
        </w:rPr>
        <w:t>Львів, 342</w:t>
      </w:r>
      <w:r w:rsidR="007F754F">
        <w:rPr>
          <w:rFonts w:ascii="Times New Roman" w:hAnsi="Times New Roman" w:cs="Times New Roman"/>
          <w:sz w:val="28"/>
          <w:szCs w:val="28"/>
          <w:lang w:val="uk-UA"/>
        </w:rPr>
        <w:t xml:space="preserve"> с.</w:t>
      </w:r>
    </w:p>
    <w:p w14:paraId="770F787C" w14:textId="490C705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421F54">
        <w:rPr>
          <w:rFonts w:ascii="Times New Roman" w:hAnsi="Times New Roman" w:cs="Times New Roman"/>
          <w:sz w:val="28"/>
          <w:szCs w:val="28"/>
          <w:lang w:val="uk-UA"/>
        </w:rPr>
        <w:t>Romero R.M. Immunoglobulin A, G and M levels in saliva in children between 3 – 12 years of age, healthy and with gingivitis / R.M. Romero, M.L. Lozano, C. Posado // Acta Odontol. Latinoam. – Vol. 24, Nº 2. – 2011. – P.176-182</w:t>
      </w:r>
      <w:r w:rsidR="007F754F">
        <w:rPr>
          <w:rFonts w:ascii="Times New Roman" w:hAnsi="Times New Roman" w:cs="Times New Roman"/>
          <w:sz w:val="28"/>
          <w:szCs w:val="28"/>
          <w:lang w:val="uk-UA"/>
        </w:rPr>
        <w:t>.</w:t>
      </w:r>
    </w:p>
    <w:p w14:paraId="278E180C" w14:textId="494BDA4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Donley C</w:t>
      </w:r>
      <w:r w:rsidR="008704AB">
        <w:rPr>
          <w:rFonts w:ascii="Times New Roman" w:hAnsi="Times New Roman" w:cs="Times New Roman"/>
          <w:sz w:val="28"/>
          <w:szCs w:val="28"/>
        </w:rPr>
        <w:t>.</w:t>
      </w:r>
      <w:r w:rsidRPr="000F710E">
        <w:rPr>
          <w:rFonts w:ascii="Times New Roman" w:hAnsi="Times New Roman" w:cs="Times New Roman"/>
          <w:sz w:val="28"/>
          <w:szCs w:val="28"/>
          <w:lang w:val="uk-UA"/>
        </w:rPr>
        <w:t>L</w:t>
      </w:r>
      <w:r w:rsidR="008704AB">
        <w:rPr>
          <w:rFonts w:ascii="Times New Roman" w:hAnsi="Times New Roman" w:cs="Times New Roman"/>
          <w:sz w:val="28"/>
          <w:szCs w:val="28"/>
        </w:rPr>
        <w:t>.</w:t>
      </w:r>
      <w:r w:rsidR="008704AB">
        <w:rPr>
          <w:rFonts w:ascii="Times New Roman" w:hAnsi="Times New Roman" w:cs="Times New Roman"/>
          <w:sz w:val="28"/>
          <w:szCs w:val="28"/>
          <w:lang w:val="uk-UA"/>
        </w:rPr>
        <w:t xml:space="preserve"> </w:t>
      </w:r>
      <w:r w:rsidRPr="000F710E">
        <w:rPr>
          <w:rFonts w:ascii="Times New Roman" w:hAnsi="Times New Roman" w:cs="Times New Roman"/>
          <w:sz w:val="28"/>
          <w:szCs w:val="28"/>
          <w:lang w:val="uk-UA"/>
        </w:rPr>
        <w:t>IgG antibody levels to Porphyromonas gingivalis an</w:t>
      </w:r>
      <w:r w:rsidR="008704AB">
        <w:rPr>
          <w:rFonts w:ascii="Times New Roman" w:hAnsi="Times New Roman" w:cs="Times New Roman"/>
          <w:sz w:val="28"/>
          <w:szCs w:val="28"/>
          <w:lang w:val="uk-UA"/>
        </w:rPr>
        <w:t xml:space="preserve">d clinical measures in children / </w:t>
      </w:r>
      <w:r w:rsidR="008704AB" w:rsidRPr="000F710E">
        <w:rPr>
          <w:rFonts w:ascii="Times New Roman" w:hAnsi="Times New Roman" w:cs="Times New Roman"/>
          <w:sz w:val="28"/>
          <w:szCs w:val="28"/>
          <w:lang w:val="uk-UA"/>
        </w:rPr>
        <w:t>C</w:t>
      </w:r>
      <w:r w:rsidR="008704AB">
        <w:rPr>
          <w:rFonts w:ascii="Times New Roman" w:hAnsi="Times New Roman" w:cs="Times New Roman"/>
          <w:sz w:val="28"/>
          <w:szCs w:val="28"/>
        </w:rPr>
        <w:t>.</w:t>
      </w:r>
      <w:r w:rsidR="008704AB" w:rsidRPr="000F710E">
        <w:rPr>
          <w:rFonts w:ascii="Times New Roman" w:hAnsi="Times New Roman" w:cs="Times New Roman"/>
          <w:sz w:val="28"/>
          <w:szCs w:val="28"/>
          <w:lang w:val="uk-UA"/>
        </w:rPr>
        <w:t>L</w:t>
      </w:r>
      <w:r w:rsidR="008704AB">
        <w:rPr>
          <w:rFonts w:ascii="Times New Roman" w:hAnsi="Times New Roman" w:cs="Times New Roman"/>
          <w:sz w:val="28"/>
          <w:szCs w:val="28"/>
          <w:lang w:val="uk-UA"/>
        </w:rPr>
        <w:t>.</w:t>
      </w:r>
      <w:r w:rsidR="008704AB">
        <w:rPr>
          <w:rFonts w:ascii="Times New Roman" w:hAnsi="Times New Roman" w:cs="Times New Roman"/>
          <w:sz w:val="28"/>
          <w:szCs w:val="28"/>
        </w:rPr>
        <w:t xml:space="preserve"> </w:t>
      </w:r>
      <w:r w:rsidR="008704AB" w:rsidRPr="000F710E">
        <w:rPr>
          <w:rFonts w:ascii="Times New Roman" w:hAnsi="Times New Roman" w:cs="Times New Roman"/>
          <w:sz w:val="28"/>
          <w:szCs w:val="28"/>
          <w:lang w:val="uk-UA"/>
        </w:rPr>
        <w:t>Donley</w:t>
      </w:r>
      <w:r w:rsidR="008704AB">
        <w:rPr>
          <w:rFonts w:ascii="Times New Roman" w:hAnsi="Times New Roman" w:cs="Times New Roman"/>
          <w:sz w:val="28"/>
          <w:szCs w:val="28"/>
        </w:rPr>
        <w:t>.</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Badovinac</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S. </w:t>
      </w:r>
      <w:r w:rsidR="008704AB">
        <w:rPr>
          <w:rFonts w:ascii="Times New Roman" w:hAnsi="Times New Roman" w:cs="Times New Roman"/>
          <w:sz w:val="28"/>
          <w:szCs w:val="28"/>
          <w:lang w:val="uk-UA"/>
        </w:rPr>
        <w:t>Sapir</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J Periodontol</w:t>
      </w:r>
      <w:r w:rsidR="008704AB">
        <w:rPr>
          <w:rFonts w:ascii="Times New Roman" w:hAnsi="Times New Roman" w:cs="Times New Roman"/>
          <w:sz w:val="28"/>
          <w:szCs w:val="28"/>
        </w:rPr>
        <w:t>. –</w:t>
      </w:r>
      <w:r w:rsidRPr="000F710E">
        <w:rPr>
          <w:rFonts w:ascii="Times New Roman" w:hAnsi="Times New Roman" w:cs="Times New Roman"/>
          <w:sz w:val="28"/>
          <w:szCs w:val="28"/>
          <w:lang w:val="uk-UA"/>
        </w:rPr>
        <w:t xml:space="preserve"> 2004</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75. </w:t>
      </w:r>
      <w:r w:rsidR="008704AB">
        <w:rPr>
          <w:rFonts w:ascii="Times New Roman" w:hAnsi="Times New Roman" w:cs="Times New Roman"/>
          <w:sz w:val="28"/>
          <w:szCs w:val="28"/>
        </w:rPr>
        <w:t xml:space="preserve">– P. </w:t>
      </w:r>
      <w:r w:rsidR="008704AB">
        <w:rPr>
          <w:rFonts w:ascii="Times New Roman" w:hAnsi="Times New Roman" w:cs="Times New Roman"/>
          <w:sz w:val="28"/>
          <w:szCs w:val="28"/>
          <w:lang w:val="uk-UA"/>
        </w:rPr>
        <w:t>221-228.</w:t>
      </w:r>
    </w:p>
    <w:p w14:paraId="113D4686" w14:textId="33E0AA5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Bimstein E. The relationship between Porphyromonas gingivalis infection and local a</w:t>
      </w:r>
      <w:r w:rsidR="008704AB">
        <w:rPr>
          <w:rFonts w:ascii="Times New Roman" w:hAnsi="Times New Roman" w:cs="Times New Roman"/>
          <w:sz w:val="28"/>
          <w:szCs w:val="28"/>
          <w:lang w:val="uk-UA"/>
        </w:rPr>
        <w:t xml:space="preserve">nd systemic factors in children / </w:t>
      </w:r>
      <w:r w:rsidR="008704AB" w:rsidRPr="000F710E">
        <w:rPr>
          <w:rFonts w:ascii="Times New Roman" w:hAnsi="Times New Roman" w:cs="Times New Roman"/>
          <w:sz w:val="28"/>
          <w:szCs w:val="28"/>
          <w:lang w:val="uk-UA"/>
        </w:rPr>
        <w:t>E</w:t>
      </w:r>
      <w:r w:rsidR="008704AB">
        <w:rPr>
          <w:rFonts w:ascii="Times New Roman" w:hAnsi="Times New Roman" w:cs="Times New Roman"/>
          <w:sz w:val="28"/>
          <w:szCs w:val="28"/>
        </w:rPr>
        <w:t xml:space="preserve">. </w:t>
      </w:r>
      <w:r w:rsidR="008704AB" w:rsidRPr="000F710E">
        <w:rPr>
          <w:rFonts w:ascii="Times New Roman" w:hAnsi="Times New Roman" w:cs="Times New Roman"/>
          <w:sz w:val="28"/>
          <w:szCs w:val="28"/>
          <w:lang w:val="uk-UA"/>
        </w:rPr>
        <w:t xml:space="preserve">Bimstein, </w:t>
      </w:r>
      <w:r w:rsidR="008704AB">
        <w:rPr>
          <w:rFonts w:ascii="Times New Roman" w:hAnsi="Times New Roman" w:cs="Times New Roman"/>
          <w:sz w:val="28"/>
          <w:szCs w:val="28"/>
        </w:rPr>
        <w:t xml:space="preserve">S. </w:t>
      </w:r>
      <w:r w:rsidR="008704AB">
        <w:rPr>
          <w:rFonts w:ascii="Times New Roman" w:hAnsi="Times New Roman" w:cs="Times New Roman"/>
          <w:sz w:val="28"/>
          <w:szCs w:val="28"/>
          <w:lang w:val="uk-UA"/>
        </w:rPr>
        <w:t>Sapir</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Y. </w:t>
      </w:r>
      <w:r w:rsidR="008704AB">
        <w:rPr>
          <w:rFonts w:ascii="Times New Roman" w:hAnsi="Times New Roman" w:cs="Times New Roman"/>
          <w:sz w:val="28"/>
          <w:szCs w:val="28"/>
          <w:lang w:val="uk-UA"/>
        </w:rPr>
        <w:t>Houri-Haddad</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J Periodontol</w:t>
      </w:r>
      <w:r w:rsidR="008704AB">
        <w:rPr>
          <w:rFonts w:ascii="Times New Roman" w:hAnsi="Times New Roman" w:cs="Times New Roman"/>
          <w:sz w:val="28"/>
          <w:szCs w:val="28"/>
        </w:rPr>
        <w:t>. –</w:t>
      </w:r>
      <w:r w:rsidRPr="000F710E">
        <w:rPr>
          <w:rFonts w:ascii="Times New Roman" w:hAnsi="Times New Roman" w:cs="Times New Roman"/>
          <w:sz w:val="28"/>
          <w:szCs w:val="28"/>
          <w:lang w:val="uk-UA"/>
        </w:rPr>
        <w:t xml:space="preserve"> 2004</w:t>
      </w:r>
      <w:r w:rsidR="008704AB">
        <w:rPr>
          <w:rFonts w:ascii="Times New Roman" w:hAnsi="Times New Roman" w:cs="Times New Roman"/>
          <w:sz w:val="28"/>
          <w:szCs w:val="28"/>
        </w:rPr>
        <w:t>. – Vol.</w:t>
      </w:r>
      <w:r w:rsidR="008704AB">
        <w:rPr>
          <w:rFonts w:ascii="Times New Roman" w:hAnsi="Times New Roman" w:cs="Times New Roman"/>
          <w:sz w:val="28"/>
          <w:szCs w:val="28"/>
          <w:lang w:val="uk-UA"/>
        </w:rPr>
        <w:t xml:space="preserve">75. </w:t>
      </w:r>
      <w:r w:rsidR="008704AB">
        <w:rPr>
          <w:rFonts w:ascii="Times New Roman" w:hAnsi="Times New Roman" w:cs="Times New Roman"/>
          <w:sz w:val="28"/>
          <w:szCs w:val="28"/>
        </w:rPr>
        <w:t xml:space="preserve">– P. </w:t>
      </w:r>
      <w:r w:rsidRPr="000F710E">
        <w:rPr>
          <w:rFonts w:ascii="Times New Roman" w:hAnsi="Times New Roman" w:cs="Times New Roman"/>
          <w:sz w:val="28"/>
          <w:szCs w:val="28"/>
          <w:lang w:val="uk-UA"/>
        </w:rPr>
        <w:t>1371-1376.</w:t>
      </w:r>
    </w:p>
    <w:p w14:paraId="76C74510" w14:textId="01EA1129"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Dia</w:t>
      </w:r>
      <w:r w:rsidR="008704AB">
        <w:rPr>
          <w:rFonts w:ascii="Times New Roman" w:hAnsi="Times New Roman" w:cs="Times New Roman"/>
          <w:sz w:val="28"/>
          <w:szCs w:val="28"/>
          <w:lang w:val="uk-UA"/>
        </w:rPr>
        <w:t>b-Ladki R</w:t>
      </w:r>
      <w:r w:rsidRPr="000F710E">
        <w:rPr>
          <w:rFonts w:ascii="Times New Roman" w:hAnsi="Times New Roman" w:cs="Times New Roman"/>
          <w:sz w:val="28"/>
          <w:szCs w:val="28"/>
          <w:lang w:val="uk-UA"/>
        </w:rPr>
        <w:t>. Decrease in the total antioxidant activity of saliva in pat</w:t>
      </w:r>
      <w:r w:rsidR="008704AB">
        <w:rPr>
          <w:rFonts w:ascii="Times New Roman" w:hAnsi="Times New Roman" w:cs="Times New Roman"/>
          <w:sz w:val="28"/>
          <w:szCs w:val="28"/>
          <w:lang w:val="uk-UA"/>
        </w:rPr>
        <w:t xml:space="preserve">ients with periodontal diseases /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Diab-Ladki</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B. </w:t>
      </w:r>
      <w:r w:rsidR="008704AB">
        <w:rPr>
          <w:rFonts w:ascii="Times New Roman" w:hAnsi="Times New Roman" w:cs="Times New Roman"/>
          <w:sz w:val="28"/>
          <w:szCs w:val="28"/>
          <w:lang w:val="uk-UA"/>
        </w:rPr>
        <w:t>Pellat</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R. </w:t>
      </w:r>
      <w:r w:rsidR="008704AB">
        <w:rPr>
          <w:rFonts w:ascii="Times New Roman" w:hAnsi="Times New Roman" w:cs="Times New Roman"/>
          <w:sz w:val="28"/>
          <w:szCs w:val="28"/>
          <w:lang w:val="uk-UA"/>
        </w:rPr>
        <w:t>Chahine</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w:t>
      </w:r>
      <w:r w:rsidRPr="000F710E">
        <w:rPr>
          <w:rFonts w:ascii="Times New Roman" w:hAnsi="Times New Roman" w:cs="Times New Roman"/>
          <w:sz w:val="28"/>
          <w:szCs w:val="28"/>
          <w:lang w:val="uk-UA"/>
        </w:rPr>
        <w:t xml:space="preserve"> Clinical Oral Investigations.</w:t>
      </w:r>
      <w:r w:rsidR="008704AB">
        <w:rPr>
          <w:rFonts w:ascii="Times New Roman" w:hAnsi="Times New Roman" w:cs="Times New Roman"/>
          <w:sz w:val="28"/>
          <w:szCs w:val="28"/>
        </w:rPr>
        <w:t xml:space="preserve"> –</w:t>
      </w:r>
      <w:r w:rsidR="008704AB">
        <w:rPr>
          <w:rFonts w:ascii="Times New Roman" w:hAnsi="Times New Roman" w:cs="Times New Roman"/>
          <w:sz w:val="28"/>
          <w:szCs w:val="28"/>
          <w:lang w:val="uk-UA"/>
        </w:rPr>
        <w:t xml:space="preserve"> 2003.</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7(2). </w:t>
      </w:r>
      <w:r w:rsidR="008704AB">
        <w:rPr>
          <w:rFonts w:ascii="Times New Roman" w:hAnsi="Times New Roman" w:cs="Times New Roman"/>
          <w:sz w:val="28"/>
          <w:szCs w:val="28"/>
        </w:rPr>
        <w:t>– P.</w:t>
      </w:r>
      <w:r w:rsidRPr="000F710E">
        <w:rPr>
          <w:rFonts w:ascii="Times New Roman" w:hAnsi="Times New Roman" w:cs="Times New Roman"/>
          <w:sz w:val="28"/>
          <w:szCs w:val="28"/>
          <w:lang w:val="uk-UA"/>
        </w:rPr>
        <w:t xml:space="preserve">103–107. </w:t>
      </w:r>
    </w:p>
    <w:p w14:paraId="36A9786E" w14:textId="77777777" w:rsidR="00D73E0B" w:rsidRDefault="008704AB" w:rsidP="00D73E0B">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Jay Widmer R</w:t>
      </w:r>
      <w:r w:rsidR="002767DC" w:rsidRPr="000F710E">
        <w:rPr>
          <w:rFonts w:ascii="Times New Roman" w:hAnsi="Times New Roman" w:cs="Times New Roman"/>
          <w:sz w:val="28"/>
          <w:szCs w:val="28"/>
          <w:lang w:val="uk-UA"/>
        </w:rPr>
        <w:t>. Endothelial dysfunc</w:t>
      </w:r>
      <w:r>
        <w:rPr>
          <w:rFonts w:ascii="Times New Roman" w:hAnsi="Times New Roman" w:cs="Times New Roman"/>
          <w:sz w:val="28"/>
          <w:szCs w:val="28"/>
          <w:lang w:val="uk-UA"/>
        </w:rPr>
        <w:t xml:space="preserve">tion and cardiovascular disease / </w:t>
      </w:r>
      <w:r>
        <w:rPr>
          <w:rFonts w:ascii="Times New Roman" w:hAnsi="Times New Roman" w:cs="Times New Roman"/>
          <w:sz w:val="28"/>
          <w:szCs w:val="28"/>
        </w:rPr>
        <w:t xml:space="preserve">R. </w:t>
      </w:r>
      <w:r>
        <w:rPr>
          <w:rFonts w:ascii="Times New Roman" w:hAnsi="Times New Roman" w:cs="Times New Roman"/>
          <w:sz w:val="28"/>
          <w:szCs w:val="28"/>
          <w:lang w:val="uk-UA"/>
        </w:rPr>
        <w:t>Jay Widmer</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A. </w:t>
      </w:r>
      <w:r>
        <w:rPr>
          <w:rFonts w:ascii="Times New Roman" w:hAnsi="Times New Roman" w:cs="Times New Roman"/>
          <w:sz w:val="28"/>
          <w:szCs w:val="28"/>
          <w:lang w:val="uk-UA"/>
        </w:rPr>
        <w:t>Lerman</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Global Cardiology Science an</w:t>
      </w:r>
      <w:r>
        <w:rPr>
          <w:rFonts w:ascii="Times New Roman" w:hAnsi="Times New Roman" w:cs="Times New Roman"/>
          <w:sz w:val="28"/>
          <w:szCs w:val="28"/>
          <w:lang w:val="uk-UA"/>
        </w:rPr>
        <w:t>d Practice.</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2014</w:t>
      </w:r>
      <w:r>
        <w:rPr>
          <w:rFonts w:ascii="Times New Roman" w:hAnsi="Times New Roman" w:cs="Times New Roman"/>
          <w:sz w:val="28"/>
          <w:szCs w:val="28"/>
        </w:rPr>
        <w:t>. – Vol.</w:t>
      </w:r>
      <w:r>
        <w:rPr>
          <w:rFonts w:ascii="Times New Roman" w:hAnsi="Times New Roman" w:cs="Times New Roman"/>
          <w:sz w:val="28"/>
          <w:szCs w:val="28"/>
          <w:lang w:val="uk-UA"/>
        </w:rPr>
        <w:t>3.</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43.</w:t>
      </w:r>
    </w:p>
    <w:p w14:paraId="13CDEA9A" w14:textId="330ED16B" w:rsidR="002767DC" w:rsidRPr="00D73E0B" w:rsidRDefault="00D73E0B" w:rsidP="00D73E0B">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D73E0B">
        <w:rPr>
          <w:rFonts w:ascii="Times New Roman" w:hAnsi="Times New Roman" w:cs="Times New Roman"/>
          <w:color w:val="000000"/>
          <w:sz w:val="28"/>
          <w:szCs w:val="28"/>
        </w:rPr>
        <w:t>Chambrone L</w:t>
      </w:r>
      <w:r w:rsidRPr="00D73E0B">
        <w:rPr>
          <w:rFonts w:ascii="Times New Roman" w:eastAsiaTheme="majorEastAsia" w:hAnsi="Times New Roman" w:cs="Times New Roman"/>
          <w:color w:val="000000"/>
          <w:sz w:val="28"/>
          <w:szCs w:val="28"/>
        </w:rPr>
        <w:t xml:space="preserve">. Prevalence and severity of gingivitis among scholars (7-14 years): local conditions associated to bleeding on probing / L. </w:t>
      </w:r>
      <w:r w:rsidRPr="00D73E0B">
        <w:rPr>
          <w:rFonts w:ascii="Times New Roman" w:hAnsi="Times New Roman" w:cs="Times New Roman"/>
          <w:color w:val="000000"/>
          <w:sz w:val="28"/>
          <w:szCs w:val="28"/>
        </w:rPr>
        <w:t xml:space="preserve">Chambrone, S.B. Macedo, F.C. Ramalho et al. // </w:t>
      </w:r>
      <w:r w:rsidRPr="00D73E0B">
        <w:rPr>
          <w:rStyle w:val="jrnl"/>
          <w:rFonts w:ascii="Times New Roman" w:hAnsi="Times New Roman" w:cs="Times New Roman"/>
          <w:color w:val="000000"/>
          <w:sz w:val="28"/>
          <w:szCs w:val="28"/>
        </w:rPr>
        <w:t>Cien Saude Colet</w:t>
      </w:r>
      <w:r w:rsidRPr="00D73E0B">
        <w:rPr>
          <w:rFonts w:ascii="Times New Roman" w:hAnsi="Times New Roman" w:cs="Times New Roman"/>
          <w:color w:val="000000"/>
          <w:sz w:val="28"/>
          <w:szCs w:val="28"/>
        </w:rPr>
        <w:t>. – 2010. – Vol. 15(2). – P. 337-343</w:t>
      </w:r>
      <w:r w:rsidR="002767DC" w:rsidRPr="00D73E0B">
        <w:rPr>
          <w:rFonts w:ascii="Times New Roman" w:hAnsi="Times New Roman" w:cs="Times New Roman"/>
          <w:sz w:val="28"/>
          <w:szCs w:val="28"/>
          <w:lang w:val="uk-UA"/>
        </w:rPr>
        <w:t>.</w:t>
      </w:r>
    </w:p>
    <w:p w14:paraId="5DADC29A" w14:textId="21F32B4C" w:rsidR="002767DC" w:rsidRDefault="008704AB"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Kim S.-C.</w:t>
      </w:r>
      <w:r w:rsidR="002767DC" w:rsidRPr="000F710E">
        <w:rPr>
          <w:rFonts w:ascii="Times New Roman" w:hAnsi="Times New Roman" w:cs="Times New Roman"/>
          <w:sz w:val="28"/>
          <w:szCs w:val="28"/>
          <w:lang w:val="uk-UA"/>
        </w:rPr>
        <w:t xml:space="preserve"> Antioxidant profile of whole saliva after scaling and root</w:t>
      </w:r>
      <w:r>
        <w:rPr>
          <w:rFonts w:ascii="Times New Roman" w:hAnsi="Times New Roman" w:cs="Times New Roman"/>
          <w:sz w:val="28"/>
          <w:szCs w:val="28"/>
          <w:lang w:val="uk-UA"/>
        </w:rPr>
        <w:t xml:space="preserve"> planing in periodontal disease / S.-C.</w:t>
      </w:r>
      <w:r>
        <w:rPr>
          <w:rFonts w:ascii="Times New Roman" w:hAnsi="Times New Roman" w:cs="Times New Roman"/>
          <w:sz w:val="28"/>
          <w:szCs w:val="28"/>
        </w:rPr>
        <w:t xml:space="preserve"> </w:t>
      </w:r>
      <w:r>
        <w:rPr>
          <w:rFonts w:ascii="Times New Roman" w:hAnsi="Times New Roman" w:cs="Times New Roman"/>
          <w:sz w:val="28"/>
          <w:szCs w:val="28"/>
          <w:lang w:val="uk-UA"/>
        </w:rPr>
        <w:t>Kim, O.-S.</w:t>
      </w:r>
      <w:r>
        <w:rPr>
          <w:rFonts w:ascii="Times New Roman" w:hAnsi="Times New Roman" w:cs="Times New Roman"/>
          <w:sz w:val="28"/>
          <w:szCs w:val="28"/>
        </w:rPr>
        <w:t xml:space="preserve"> </w:t>
      </w:r>
      <w:r>
        <w:rPr>
          <w:rFonts w:ascii="Times New Roman" w:hAnsi="Times New Roman" w:cs="Times New Roman"/>
          <w:sz w:val="28"/>
          <w:szCs w:val="28"/>
          <w:lang w:val="uk-UA"/>
        </w:rPr>
        <w:t>Kim, O.-J.</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Kim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Journal of Periodontal and Impla</w:t>
      </w:r>
      <w:r w:rsidR="002767DC">
        <w:rPr>
          <w:rFonts w:ascii="Times New Roman" w:hAnsi="Times New Roman" w:cs="Times New Roman"/>
          <w:sz w:val="28"/>
          <w:szCs w:val="28"/>
          <w:lang w:val="uk-UA"/>
        </w:rPr>
        <w:t>nt Science.</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2010</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40(4). </w:t>
      </w:r>
      <w:r>
        <w:rPr>
          <w:rFonts w:ascii="Times New Roman" w:hAnsi="Times New Roman" w:cs="Times New Roman"/>
          <w:sz w:val="28"/>
          <w:szCs w:val="28"/>
        </w:rPr>
        <w:t>– P.</w:t>
      </w:r>
      <w:r w:rsidR="002767DC">
        <w:rPr>
          <w:rFonts w:ascii="Times New Roman" w:hAnsi="Times New Roman" w:cs="Times New Roman"/>
          <w:sz w:val="28"/>
          <w:szCs w:val="28"/>
          <w:lang w:val="uk-UA"/>
        </w:rPr>
        <w:t>164–171</w:t>
      </w:r>
      <w:r>
        <w:rPr>
          <w:rFonts w:ascii="Times New Roman" w:hAnsi="Times New Roman" w:cs="Times New Roman"/>
          <w:sz w:val="28"/>
          <w:szCs w:val="28"/>
        </w:rPr>
        <w:t>.</w:t>
      </w:r>
    </w:p>
    <w:p w14:paraId="6E0F71AC" w14:textId="3E3AB94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Chap</w:t>
      </w:r>
      <w:r w:rsidR="008704AB">
        <w:rPr>
          <w:rFonts w:ascii="Times New Roman" w:hAnsi="Times New Roman" w:cs="Times New Roman"/>
          <w:sz w:val="28"/>
          <w:szCs w:val="28"/>
          <w:lang w:val="uk-UA"/>
        </w:rPr>
        <w:t>ple I. L</w:t>
      </w:r>
      <w:r w:rsidRPr="000F710E">
        <w:rPr>
          <w:rFonts w:ascii="Times New Roman" w:hAnsi="Times New Roman" w:cs="Times New Roman"/>
          <w:sz w:val="28"/>
          <w:szCs w:val="28"/>
          <w:lang w:val="uk-UA"/>
        </w:rPr>
        <w:t>. Compromised GCF total antioxidant capacity in periodontitis: cause or effect?</w:t>
      </w:r>
      <w:r w:rsidR="008704AB">
        <w:rPr>
          <w:rFonts w:ascii="Times New Roman" w:hAnsi="Times New Roman" w:cs="Times New Roman"/>
          <w:sz w:val="28"/>
          <w:szCs w:val="28"/>
        </w:rPr>
        <w:t xml:space="preserve"> / I.L.</w:t>
      </w:r>
      <w:r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lang w:val="uk-UA"/>
        </w:rPr>
        <w:t>Chapple</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G.R. </w:t>
      </w:r>
      <w:r w:rsidR="008704AB">
        <w:rPr>
          <w:rFonts w:ascii="Times New Roman" w:hAnsi="Times New Roman" w:cs="Times New Roman"/>
          <w:sz w:val="28"/>
          <w:szCs w:val="28"/>
          <w:lang w:val="uk-UA"/>
        </w:rPr>
        <w:t>Brock</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M. </w:t>
      </w:r>
      <w:r w:rsidR="008704AB">
        <w:rPr>
          <w:rFonts w:ascii="Times New Roman" w:hAnsi="Times New Roman" w:cs="Times New Roman"/>
          <w:sz w:val="28"/>
          <w:szCs w:val="28"/>
          <w:lang w:val="uk-UA"/>
        </w:rPr>
        <w:t>Milward</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Journal of Clinical Periodontology. </w:t>
      </w:r>
      <w:r w:rsidR="008704AB">
        <w:rPr>
          <w:rFonts w:ascii="Times New Roman" w:hAnsi="Times New Roman" w:cs="Times New Roman"/>
          <w:sz w:val="28"/>
          <w:szCs w:val="28"/>
        </w:rPr>
        <w:t xml:space="preserve">– </w:t>
      </w:r>
      <w:r w:rsidR="008704AB">
        <w:rPr>
          <w:rFonts w:ascii="Times New Roman" w:hAnsi="Times New Roman" w:cs="Times New Roman"/>
          <w:sz w:val="28"/>
          <w:szCs w:val="28"/>
          <w:lang w:val="uk-UA"/>
        </w:rPr>
        <w:t>2007.</w:t>
      </w:r>
      <w:r w:rsidR="008704AB">
        <w:rPr>
          <w:rFonts w:ascii="Times New Roman" w:hAnsi="Times New Roman" w:cs="Times New Roman"/>
          <w:sz w:val="28"/>
          <w:szCs w:val="28"/>
        </w:rPr>
        <w:t xml:space="preserve"> - </w:t>
      </w:r>
      <w:r w:rsidR="008704AB">
        <w:rPr>
          <w:rFonts w:ascii="Times New Roman" w:hAnsi="Times New Roman" w:cs="Times New Roman"/>
          <w:sz w:val="28"/>
          <w:szCs w:val="28"/>
          <w:lang w:val="uk-UA"/>
        </w:rPr>
        <w:t xml:space="preserve">34(2). </w:t>
      </w:r>
      <w:r w:rsidR="008704AB">
        <w:rPr>
          <w:rFonts w:ascii="Times New Roman" w:hAnsi="Times New Roman" w:cs="Times New Roman"/>
          <w:sz w:val="28"/>
          <w:szCs w:val="28"/>
        </w:rPr>
        <w:t>– P.</w:t>
      </w:r>
      <w:r w:rsidRPr="000F710E">
        <w:rPr>
          <w:rFonts w:ascii="Times New Roman" w:hAnsi="Times New Roman" w:cs="Times New Roman"/>
          <w:sz w:val="28"/>
          <w:szCs w:val="28"/>
          <w:lang w:val="uk-UA"/>
        </w:rPr>
        <w:t>103–110.</w:t>
      </w:r>
    </w:p>
    <w:p w14:paraId="6188CA9E" w14:textId="10E3A9DE"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 xml:space="preserve">Bogdan </w:t>
      </w:r>
      <w:r w:rsidR="008704AB">
        <w:rPr>
          <w:rFonts w:ascii="Times New Roman" w:hAnsi="Times New Roman" w:cs="Times New Roman"/>
          <w:sz w:val="28"/>
          <w:szCs w:val="28"/>
          <w:lang w:val="uk-UA"/>
        </w:rPr>
        <w:t>C</w:t>
      </w:r>
      <w:r w:rsidRPr="000F710E">
        <w:rPr>
          <w:rFonts w:ascii="Times New Roman" w:hAnsi="Times New Roman" w:cs="Times New Roman"/>
          <w:sz w:val="28"/>
          <w:szCs w:val="28"/>
          <w:lang w:val="uk-UA"/>
        </w:rPr>
        <w:t xml:space="preserve">. Reactive oxygen and reactive nitrogen intermediates </w:t>
      </w:r>
      <w:r w:rsidR="008704AB">
        <w:rPr>
          <w:rFonts w:ascii="Times New Roman" w:hAnsi="Times New Roman" w:cs="Times New Roman"/>
          <w:sz w:val="28"/>
          <w:szCs w:val="28"/>
          <w:lang w:val="uk-UA"/>
        </w:rPr>
        <w:t xml:space="preserve">in innate and specific immunity / </w:t>
      </w:r>
      <w:r w:rsidR="008704AB">
        <w:rPr>
          <w:rFonts w:ascii="Times New Roman" w:hAnsi="Times New Roman" w:cs="Times New Roman"/>
          <w:sz w:val="28"/>
          <w:szCs w:val="28"/>
        </w:rPr>
        <w:t xml:space="preserve">C. </w:t>
      </w:r>
      <w:r w:rsidR="008704AB">
        <w:rPr>
          <w:rFonts w:ascii="Times New Roman" w:hAnsi="Times New Roman" w:cs="Times New Roman"/>
          <w:sz w:val="28"/>
          <w:szCs w:val="28"/>
          <w:lang w:val="uk-UA"/>
        </w:rPr>
        <w:t>Bogdan</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M. </w:t>
      </w:r>
      <w:r w:rsidR="008704AB">
        <w:rPr>
          <w:rFonts w:ascii="Times New Roman" w:hAnsi="Times New Roman" w:cs="Times New Roman"/>
          <w:sz w:val="28"/>
          <w:szCs w:val="28"/>
          <w:lang w:val="uk-UA"/>
        </w:rPr>
        <w:t>Röllinghoff</w:t>
      </w:r>
      <w:r w:rsidR="008704AB" w:rsidRPr="000F710E">
        <w:rPr>
          <w:rFonts w:ascii="Times New Roman" w:hAnsi="Times New Roman" w:cs="Times New Roman"/>
          <w:sz w:val="28"/>
          <w:szCs w:val="28"/>
          <w:lang w:val="uk-UA"/>
        </w:rPr>
        <w:t xml:space="preserve">, </w:t>
      </w:r>
      <w:r w:rsidR="008704AB">
        <w:rPr>
          <w:rFonts w:ascii="Times New Roman" w:hAnsi="Times New Roman" w:cs="Times New Roman"/>
          <w:sz w:val="28"/>
          <w:szCs w:val="28"/>
        </w:rPr>
        <w:t xml:space="preserve">A. </w:t>
      </w:r>
      <w:r w:rsidR="008704AB">
        <w:rPr>
          <w:rFonts w:ascii="Times New Roman" w:hAnsi="Times New Roman" w:cs="Times New Roman"/>
          <w:sz w:val="28"/>
          <w:szCs w:val="28"/>
          <w:lang w:val="uk-UA"/>
        </w:rPr>
        <w:t>Diefenbach</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Current Opinion in Immunology.</w:t>
      </w:r>
      <w:r w:rsidR="008704AB">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2000</w:t>
      </w:r>
      <w:r w:rsidR="008704AB">
        <w:rPr>
          <w:rFonts w:ascii="Times New Roman" w:hAnsi="Times New Roman" w:cs="Times New Roman"/>
          <w:sz w:val="28"/>
          <w:szCs w:val="28"/>
        </w:rPr>
        <w:t xml:space="preserve">. – Vol. </w:t>
      </w:r>
      <w:r w:rsidR="008704AB">
        <w:rPr>
          <w:rFonts w:ascii="Times New Roman" w:hAnsi="Times New Roman" w:cs="Times New Roman"/>
          <w:sz w:val="28"/>
          <w:szCs w:val="28"/>
          <w:lang w:val="uk-UA"/>
        </w:rPr>
        <w:t xml:space="preserve">12(5). </w:t>
      </w:r>
      <w:r w:rsidR="008704AB">
        <w:rPr>
          <w:rFonts w:ascii="Times New Roman" w:hAnsi="Times New Roman" w:cs="Times New Roman"/>
          <w:sz w:val="28"/>
          <w:szCs w:val="28"/>
        </w:rPr>
        <w:t>– P.</w:t>
      </w:r>
      <w:r w:rsidR="008704AB">
        <w:rPr>
          <w:rFonts w:ascii="Times New Roman" w:hAnsi="Times New Roman" w:cs="Times New Roman"/>
          <w:sz w:val="28"/>
          <w:szCs w:val="28"/>
          <w:lang w:val="uk-UA"/>
        </w:rPr>
        <w:t xml:space="preserve"> 604.</w:t>
      </w:r>
    </w:p>
    <w:p w14:paraId="57D20868" w14:textId="724333C7" w:rsidR="002767DC" w:rsidRPr="008704AB" w:rsidRDefault="000745EF" w:rsidP="008704AB">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Enwonwu C. O</w:t>
      </w:r>
      <w:r w:rsidRPr="000F710E">
        <w:rPr>
          <w:rFonts w:ascii="Times New Roman" w:hAnsi="Times New Roman" w:cs="Times New Roman"/>
          <w:sz w:val="28"/>
          <w:szCs w:val="28"/>
          <w:lang w:val="uk-UA"/>
        </w:rPr>
        <w:t>. Nutr</w:t>
      </w:r>
      <w:r>
        <w:rPr>
          <w:rFonts w:ascii="Times New Roman" w:hAnsi="Times New Roman" w:cs="Times New Roman"/>
          <w:sz w:val="28"/>
          <w:szCs w:val="28"/>
          <w:lang w:val="uk-UA"/>
        </w:rPr>
        <w:t xml:space="preserve">ition and inflammatory markers / </w:t>
      </w:r>
      <w:r w:rsidRPr="000F710E">
        <w:rPr>
          <w:rFonts w:ascii="Times New Roman" w:hAnsi="Times New Roman" w:cs="Times New Roman"/>
          <w:sz w:val="28"/>
          <w:szCs w:val="28"/>
          <w:lang w:val="uk-UA"/>
        </w:rPr>
        <w:t>C. O.</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Enwonwu, C. 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Ritchie </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The Journal of the American Dental Association.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 2007</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138(1). </w:t>
      </w:r>
      <w:r>
        <w:rPr>
          <w:rFonts w:ascii="Times New Roman" w:hAnsi="Times New Roman" w:cs="Times New Roman"/>
          <w:sz w:val="28"/>
          <w:szCs w:val="28"/>
        </w:rPr>
        <w:t>– P.</w:t>
      </w:r>
      <w:r w:rsidRPr="000F710E">
        <w:rPr>
          <w:rFonts w:ascii="Times New Roman" w:hAnsi="Times New Roman" w:cs="Times New Roman"/>
          <w:sz w:val="28"/>
          <w:szCs w:val="28"/>
          <w:lang w:val="uk-UA"/>
        </w:rPr>
        <w:t>70–73</w:t>
      </w:r>
    </w:p>
    <w:p w14:paraId="2F996509" w14:textId="03B99A2D" w:rsidR="002767DC" w:rsidRDefault="000745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Novakovic N</w:t>
      </w:r>
      <w:r w:rsidR="002767DC" w:rsidRPr="000F710E">
        <w:rPr>
          <w:rFonts w:ascii="Times New Roman" w:hAnsi="Times New Roman" w:cs="Times New Roman"/>
          <w:sz w:val="28"/>
          <w:szCs w:val="28"/>
          <w:lang w:val="uk-UA"/>
        </w:rPr>
        <w:t>. Salivary antioxidants as periodontal biomarkers in evaluation of tiss</w:t>
      </w:r>
      <w:r>
        <w:rPr>
          <w:rFonts w:ascii="Times New Roman" w:hAnsi="Times New Roman" w:cs="Times New Roman"/>
          <w:sz w:val="28"/>
          <w:szCs w:val="28"/>
          <w:lang w:val="uk-UA"/>
        </w:rPr>
        <w:t xml:space="preserve">ue status and treatment outcome / </w:t>
      </w:r>
      <w:r>
        <w:rPr>
          <w:rFonts w:ascii="Times New Roman" w:hAnsi="Times New Roman" w:cs="Times New Roman"/>
          <w:sz w:val="28"/>
          <w:szCs w:val="28"/>
        </w:rPr>
        <w:t xml:space="preserve">N. </w:t>
      </w:r>
      <w:r>
        <w:rPr>
          <w:rFonts w:ascii="Times New Roman" w:hAnsi="Times New Roman" w:cs="Times New Roman"/>
          <w:sz w:val="28"/>
          <w:szCs w:val="28"/>
          <w:lang w:val="uk-UA"/>
        </w:rPr>
        <w:t>Novakovic</w:t>
      </w:r>
      <w:r w:rsidRPr="000F710E">
        <w:rPr>
          <w:rFonts w:ascii="Times New Roman" w:hAnsi="Times New Roman" w:cs="Times New Roman"/>
          <w:sz w:val="28"/>
          <w:szCs w:val="28"/>
          <w:lang w:val="uk-UA"/>
        </w:rPr>
        <w:t xml:space="preserve">, </w:t>
      </w:r>
      <w:r>
        <w:rPr>
          <w:rFonts w:ascii="Times New Roman" w:hAnsi="Times New Roman" w:cs="Times New Roman"/>
          <w:sz w:val="28"/>
          <w:szCs w:val="28"/>
        </w:rPr>
        <w:t xml:space="preserve">T. </w:t>
      </w:r>
      <w:r w:rsidRPr="000F710E">
        <w:rPr>
          <w:rFonts w:ascii="Times New Roman" w:hAnsi="Times New Roman" w:cs="Times New Roman"/>
          <w:sz w:val="28"/>
          <w:szCs w:val="28"/>
          <w:lang w:val="uk-UA"/>
        </w:rPr>
        <w:t xml:space="preserve">Todorovic, </w:t>
      </w:r>
      <w:r>
        <w:rPr>
          <w:rFonts w:ascii="Times New Roman" w:hAnsi="Times New Roman" w:cs="Times New Roman"/>
          <w:sz w:val="28"/>
          <w:szCs w:val="28"/>
        </w:rPr>
        <w:t xml:space="preserve">M. </w:t>
      </w:r>
      <w:r>
        <w:rPr>
          <w:rFonts w:ascii="Times New Roman" w:hAnsi="Times New Roman" w:cs="Times New Roman"/>
          <w:sz w:val="28"/>
          <w:szCs w:val="28"/>
          <w:lang w:val="uk-UA"/>
        </w:rPr>
        <w:t>Rakic</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Journal of Periodonta</w:t>
      </w:r>
      <w:r>
        <w:rPr>
          <w:rFonts w:ascii="Times New Roman" w:hAnsi="Times New Roman" w:cs="Times New Roman"/>
          <w:sz w:val="28"/>
          <w:szCs w:val="28"/>
          <w:lang w:val="uk-UA"/>
        </w:rPr>
        <w:t>l Research.</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2014.</w:t>
      </w:r>
      <w:r>
        <w:rPr>
          <w:rFonts w:ascii="Times New Roman" w:hAnsi="Times New Roman" w:cs="Times New Roman"/>
          <w:sz w:val="28"/>
          <w:szCs w:val="28"/>
        </w:rPr>
        <w:t xml:space="preserve"> – Vol. </w:t>
      </w:r>
      <w:r>
        <w:rPr>
          <w:rFonts w:ascii="Times New Roman" w:hAnsi="Times New Roman" w:cs="Times New Roman"/>
          <w:sz w:val="28"/>
          <w:szCs w:val="28"/>
          <w:lang w:val="uk-UA"/>
        </w:rPr>
        <w:t xml:space="preserve">49(1). </w:t>
      </w:r>
      <w:r>
        <w:rPr>
          <w:rFonts w:ascii="Times New Roman" w:hAnsi="Times New Roman" w:cs="Times New Roman"/>
          <w:sz w:val="28"/>
          <w:szCs w:val="28"/>
        </w:rPr>
        <w:t>– P.</w:t>
      </w:r>
      <w:r>
        <w:rPr>
          <w:rFonts w:ascii="Times New Roman" w:hAnsi="Times New Roman" w:cs="Times New Roman"/>
          <w:sz w:val="28"/>
          <w:szCs w:val="28"/>
          <w:lang w:val="uk-UA"/>
        </w:rPr>
        <w:t>129–136</w:t>
      </w:r>
      <w:r w:rsidR="002767DC" w:rsidRPr="000F710E">
        <w:rPr>
          <w:rFonts w:ascii="Times New Roman" w:hAnsi="Times New Roman" w:cs="Times New Roman"/>
          <w:sz w:val="28"/>
          <w:szCs w:val="28"/>
          <w:lang w:val="uk-UA"/>
        </w:rPr>
        <w:t>.</w:t>
      </w:r>
    </w:p>
    <w:p w14:paraId="2AC5C949" w14:textId="32211A5A" w:rsidR="002767DC" w:rsidRDefault="000745EF"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Baser U.</w:t>
      </w:r>
      <w:r w:rsidR="002767DC" w:rsidRPr="000F710E">
        <w:rPr>
          <w:rFonts w:ascii="Times New Roman" w:hAnsi="Times New Roman" w:cs="Times New Roman"/>
          <w:sz w:val="28"/>
          <w:szCs w:val="28"/>
          <w:lang w:val="uk-UA"/>
        </w:rPr>
        <w:t xml:space="preserve"> Plasma and salivary total antioxidant capacity in healthy controls compared with aggressive and </w:t>
      </w:r>
      <w:r>
        <w:rPr>
          <w:rFonts w:ascii="Times New Roman" w:hAnsi="Times New Roman" w:cs="Times New Roman"/>
          <w:sz w:val="28"/>
          <w:szCs w:val="28"/>
          <w:lang w:val="uk-UA"/>
        </w:rPr>
        <w:t xml:space="preserve">chronic periodontitis patients / </w:t>
      </w:r>
      <w:r w:rsidRPr="000F710E">
        <w:rPr>
          <w:rFonts w:ascii="Times New Roman" w:hAnsi="Times New Roman" w:cs="Times New Roman"/>
          <w:sz w:val="28"/>
          <w:szCs w:val="28"/>
          <w:lang w:val="uk-UA"/>
        </w:rPr>
        <w:t>U.</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Baser, H.</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Gamsiz-Isik, </w:t>
      </w:r>
      <w:r>
        <w:rPr>
          <w:rFonts w:ascii="Times New Roman" w:hAnsi="Times New Roman" w:cs="Times New Roman"/>
          <w:sz w:val="28"/>
          <w:szCs w:val="28"/>
          <w:lang w:val="uk-UA"/>
        </w:rPr>
        <w:t>E.</w:t>
      </w:r>
      <w:r w:rsidRPr="000F710E">
        <w:rPr>
          <w:rFonts w:ascii="Times New Roman" w:hAnsi="Times New Roman" w:cs="Times New Roman"/>
          <w:sz w:val="28"/>
          <w:szCs w:val="28"/>
          <w:lang w:val="uk-UA"/>
        </w:rPr>
        <w:t>Cif</w:t>
      </w:r>
      <w:r>
        <w:rPr>
          <w:rFonts w:ascii="Times New Roman" w:hAnsi="Times New Roman" w:cs="Times New Roman"/>
          <w:sz w:val="28"/>
          <w:szCs w:val="28"/>
          <w:lang w:val="uk-UA"/>
        </w:rPr>
        <w:t xml:space="preserve">cibasi </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Saudi Med. </w:t>
      </w:r>
      <w:r>
        <w:rPr>
          <w:rFonts w:ascii="Times New Roman" w:hAnsi="Times New Roman" w:cs="Times New Roman"/>
          <w:sz w:val="28"/>
          <w:szCs w:val="28"/>
        </w:rPr>
        <w:t>– 2015. – Vol.</w:t>
      </w:r>
      <w:r>
        <w:rPr>
          <w:rFonts w:ascii="Times New Roman" w:hAnsi="Times New Roman" w:cs="Times New Roman"/>
          <w:sz w:val="28"/>
          <w:szCs w:val="28"/>
          <w:lang w:val="uk-UA"/>
        </w:rPr>
        <w:t xml:space="preserve"> 36. </w:t>
      </w:r>
      <w:r>
        <w:rPr>
          <w:rFonts w:ascii="Times New Roman" w:hAnsi="Times New Roman" w:cs="Times New Roman"/>
          <w:sz w:val="28"/>
          <w:szCs w:val="28"/>
        </w:rPr>
        <w:t>– P.</w:t>
      </w:r>
      <w:r w:rsidR="002767DC" w:rsidRPr="000F710E">
        <w:rPr>
          <w:rFonts w:ascii="Times New Roman" w:hAnsi="Times New Roman" w:cs="Times New Roman"/>
          <w:sz w:val="28"/>
          <w:szCs w:val="28"/>
          <w:lang w:val="uk-UA"/>
        </w:rPr>
        <w:t>856–861.</w:t>
      </w:r>
    </w:p>
    <w:p w14:paraId="00C7C626" w14:textId="52B4356C"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Zh</w:t>
      </w:r>
      <w:r w:rsidR="000745EF">
        <w:rPr>
          <w:rFonts w:ascii="Times New Roman" w:hAnsi="Times New Roman" w:cs="Times New Roman"/>
          <w:sz w:val="28"/>
          <w:szCs w:val="28"/>
          <w:lang w:val="uk-UA"/>
        </w:rPr>
        <w:t>ang T</w:t>
      </w:r>
      <w:r w:rsidRPr="000F710E">
        <w:rPr>
          <w:rFonts w:ascii="Times New Roman" w:hAnsi="Times New Roman" w:cs="Times New Roman"/>
          <w:sz w:val="28"/>
          <w:szCs w:val="28"/>
          <w:lang w:val="uk-UA"/>
        </w:rPr>
        <w:t>. Total antioxidant capacity and total oxidant status in saliva of periodontitis patient</w:t>
      </w:r>
      <w:r w:rsidR="000745EF">
        <w:rPr>
          <w:rFonts w:ascii="Times New Roman" w:hAnsi="Times New Roman" w:cs="Times New Roman"/>
          <w:sz w:val="28"/>
          <w:szCs w:val="28"/>
          <w:lang w:val="uk-UA"/>
        </w:rPr>
        <w:t>s in relation to bacterial load / T.</w:t>
      </w:r>
      <w:r w:rsidR="000745EF">
        <w:rPr>
          <w:rFonts w:ascii="Times New Roman" w:hAnsi="Times New Roman" w:cs="Times New Roman"/>
          <w:sz w:val="28"/>
          <w:szCs w:val="28"/>
        </w:rPr>
        <w:t xml:space="preserve"> </w:t>
      </w:r>
      <w:r w:rsidR="000745EF" w:rsidRPr="000F710E">
        <w:rPr>
          <w:rFonts w:ascii="Times New Roman" w:hAnsi="Times New Roman" w:cs="Times New Roman"/>
          <w:sz w:val="28"/>
          <w:szCs w:val="28"/>
          <w:lang w:val="uk-UA"/>
        </w:rPr>
        <w:t>Zhan</w:t>
      </w:r>
      <w:r w:rsidR="000745EF">
        <w:rPr>
          <w:rFonts w:ascii="Times New Roman" w:hAnsi="Times New Roman" w:cs="Times New Roman"/>
          <w:sz w:val="28"/>
          <w:szCs w:val="28"/>
          <w:lang w:val="uk-UA"/>
        </w:rPr>
        <w:t>g, O.</w:t>
      </w:r>
      <w:r w:rsidR="000745EF">
        <w:rPr>
          <w:rFonts w:ascii="Times New Roman" w:hAnsi="Times New Roman" w:cs="Times New Roman"/>
          <w:sz w:val="28"/>
          <w:szCs w:val="28"/>
        </w:rPr>
        <w:t xml:space="preserve"> </w:t>
      </w:r>
      <w:r w:rsidR="000745EF">
        <w:rPr>
          <w:rFonts w:ascii="Times New Roman" w:hAnsi="Times New Roman" w:cs="Times New Roman"/>
          <w:sz w:val="28"/>
          <w:szCs w:val="28"/>
          <w:lang w:val="uk-UA"/>
        </w:rPr>
        <w:t>Andrukhov, H.</w:t>
      </w:r>
      <w:r w:rsidR="000745EF">
        <w:rPr>
          <w:rFonts w:ascii="Times New Roman" w:hAnsi="Times New Roman" w:cs="Times New Roman"/>
          <w:sz w:val="28"/>
          <w:szCs w:val="28"/>
        </w:rPr>
        <w:t xml:space="preserve"> </w:t>
      </w:r>
      <w:r w:rsidR="000745EF">
        <w:rPr>
          <w:rFonts w:ascii="Times New Roman" w:hAnsi="Times New Roman" w:cs="Times New Roman"/>
          <w:sz w:val="28"/>
          <w:szCs w:val="28"/>
          <w:lang w:val="uk-UA"/>
        </w:rPr>
        <w:t xml:space="preserve">Haririan </w:t>
      </w:r>
      <w:r w:rsidR="000745EF">
        <w:rPr>
          <w:rFonts w:ascii="Times New Roman" w:hAnsi="Times New Roman" w:cs="Times New Roman"/>
          <w:sz w:val="28"/>
          <w:szCs w:val="28"/>
        </w:rPr>
        <w:t>//</w:t>
      </w:r>
      <w:r w:rsidRPr="000F710E">
        <w:rPr>
          <w:rFonts w:ascii="Times New Roman" w:hAnsi="Times New Roman" w:cs="Times New Roman"/>
          <w:sz w:val="28"/>
          <w:szCs w:val="28"/>
          <w:lang w:val="uk-UA"/>
        </w:rPr>
        <w:t xml:space="preserve"> Front. Cell. Infect. Microbiol.</w:t>
      </w:r>
      <w:r w:rsidR="000745EF">
        <w:rPr>
          <w:rFonts w:ascii="Times New Roman" w:hAnsi="Times New Roman" w:cs="Times New Roman"/>
          <w:sz w:val="28"/>
          <w:szCs w:val="28"/>
        </w:rPr>
        <w:t xml:space="preserve"> – 2016. – Vol.</w:t>
      </w:r>
      <w:r w:rsidRPr="000F710E">
        <w:rPr>
          <w:rFonts w:ascii="Times New Roman" w:hAnsi="Times New Roman" w:cs="Times New Roman"/>
          <w:sz w:val="28"/>
          <w:szCs w:val="28"/>
          <w:lang w:val="uk-UA"/>
        </w:rPr>
        <w:t xml:space="preserve"> </w:t>
      </w:r>
      <w:r w:rsidR="000745EF">
        <w:rPr>
          <w:rFonts w:ascii="Times New Roman" w:hAnsi="Times New Roman" w:cs="Times New Roman"/>
          <w:sz w:val="28"/>
          <w:szCs w:val="28"/>
          <w:lang w:val="uk-UA"/>
        </w:rPr>
        <w:t>5. – P.</w:t>
      </w:r>
      <w:r>
        <w:rPr>
          <w:rFonts w:ascii="Times New Roman" w:hAnsi="Times New Roman" w:cs="Times New Roman"/>
          <w:sz w:val="28"/>
          <w:szCs w:val="28"/>
          <w:lang w:val="uk-UA"/>
        </w:rPr>
        <w:t>97</w:t>
      </w:r>
      <w:r w:rsidRPr="000F710E">
        <w:rPr>
          <w:rFonts w:ascii="Times New Roman" w:hAnsi="Times New Roman" w:cs="Times New Roman"/>
          <w:sz w:val="28"/>
          <w:szCs w:val="28"/>
          <w:lang w:val="uk-UA"/>
        </w:rPr>
        <w:t>.</w:t>
      </w:r>
    </w:p>
    <w:p w14:paraId="0B093E01" w14:textId="571A4FE2" w:rsidR="002767DC" w:rsidRDefault="005A3EA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Trivedi S</w:t>
      </w:r>
      <w:r w:rsidR="002767DC" w:rsidRPr="000F710E">
        <w:rPr>
          <w:rFonts w:ascii="Times New Roman" w:hAnsi="Times New Roman" w:cs="Times New Roman"/>
          <w:sz w:val="28"/>
          <w:szCs w:val="28"/>
          <w:lang w:val="uk-UA"/>
        </w:rPr>
        <w:t>. Association of salivary lipid peroxidation levels, antioxidant enz</w:t>
      </w:r>
      <w:r>
        <w:rPr>
          <w:rFonts w:ascii="Times New Roman" w:hAnsi="Times New Roman" w:cs="Times New Roman"/>
          <w:sz w:val="28"/>
          <w:szCs w:val="28"/>
          <w:lang w:val="uk-UA"/>
        </w:rPr>
        <w:t xml:space="preserve">ymes, and chronic periodontitis / </w:t>
      </w:r>
      <w:r w:rsidRPr="000F710E">
        <w:rPr>
          <w:rFonts w:ascii="Times New Roman" w:hAnsi="Times New Roman" w:cs="Times New Roman"/>
          <w:sz w:val="28"/>
          <w:szCs w:val="28"/>
          <w:lang w:val="uk-UA"/>
        </w:rPr>
        <w:t>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Trivedi, </w:t>
      </w:r>
      <w:r>
        <w:rPr>
          <w:rFonts w:ascii="Times New Roman" w:hAnsi="Times New Roman" w:cs="Times New Roman"/>
          <w:sz w:val="28"/>
          <w:szCs w:val="28"/>
          <w:lang w:val="uk-UA"/>
        </w:rPr>
        <w:t>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Lal</w:t>
      </w:r>
      <w:r>
        <w:rPr>
          <w:rFonts w:ascii="Times New Roman" w:hAnsi="Times New Roman" w:cs="Times New Roman"/>
          <w:sz w:val="28"/>
          <w:szCs w:val="28"/>
          <w:lang w:val="uk-UA"/>
        </w:rPr>
        <w:t>, A. A.</w:t>
      </w:r>
      <w:r>
        <w:rPr>
          <w:rFonts w:ascii="Times New Roman" w:hAnsi="Times New Roman" w:cs="Times New Roman"/>
          <w:sz w:val="28"/>
          <w:szCs w:val="28"/>
        </w:rPr>
        <w:t xml:space="preserve"> </w:t>
      </w:r>
      <w:r>
        <w:rPr>
          <w:rFonts w:ascii="Times New Roman" w:hAnsi="Times New Roman" w:cs="Times New Roman"/>
          <w:sz w:val="28"/>
          <w:szCs w:val="28"/>
          <w:lang w:val="uk-UA"/>
        </w:rPr>
        <w:t>Mahdi, B</w:t>
      </w:r>
      <w:r>
        <w:rPr>
          <w:rFonts w:ascii="Times New Roman" w:hAnsi="Times New Roman" w:cs="Times New Roman"/>
          <w:sz w:val="28"/>
          <w:szCs w:val="28"/>
        </w:rPr>
        <w:t>.</w:t>
      </w:r>
      <w:r>
        <w:rPr>
          <w:rFonts w:ascii="Times New Roman" w:hAnsi="Times New Roman" w:cs="Times New Roman"/>
          <w:sz w:val="28"/>
          <w:szCs w:val="28"/>
          <w:lang w:val="uk-UA"/>
        </w:rPr>
        <w:t xml:space="preserve"> Singh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Int. J. Periodontics Restorative Dent.</w:t>
      </w:r>
      <w:r w:rsidR="00D73E0B">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w:t>
      </w:r>
      <w:r>
        <w:rPr>
          <w:rFonts w:ascii="Times New Roman" w:hAnsi="Times New Roman" w:cs="Times New Roman"/>
          <w:sz w:val="28"/>
          <w:szCs w:val="28"/>
        </w:rPr>
        <w:t>2015. – Vol.</w:t>
      </w:r>
      <w:r>
        <w:rPr>
          <w:rFonts w:ascii="Times New Roman" w:hAnsi="Times New Roman" w:cs="Times New Roman"/>
          <w:sz w:val="28"/>
          <w:szCs w:val="28"/>
          <w:lang w:val="uk-UA"/>
        </w:rPr>
        <w:t xml:space="preserve">35. </w:t>
      </w:r>
      <w:r>
        <w:rPr>
          <w:rFonts w:ascii="Times New Roman" w:hAnsi="Times New Roman" w:cs="Times New Roman"/>
          <w:sz w:val="28"/>
          <w:szCs w:val="28"/>
        </w:rPr>
        <w:t>– P.</w:t>
      </w:r>
      <w:r>
        <w:rPr>
          <w:rFonts w:ascii="Times New Roman" w:hAnsi="Times New Roman" w:cs="Times New Roman"/>
          <w:sz w:val="28"/>
          <w:szCs w:val="28"/>
          <w:lang w:val="uk-UA"/>
        </w:rPr>
        <w:t>14–</w:t>
      </w:r>
      <w:r w:rsidR="002767DC" w:rsidRPr="000F710E">
        <w:rPr>
          <w:rFonts w:ascii="Times New Roman" w:hAnsi="Times New Roman" w:cs="Times New Roman"/>
          <w:sz w:val="28"/>
          <w:szCs w:val="28"/>
          <w:lang w:val="uk-UA"/>
        </w:rPr>
        <w:t>19.</w:t>
      </w:r>
    </w:p>
    <w:p w14:paraId="7C9C678E" w14:textId="2428A7CE" w:rsidR="002767DC" w:rsidRDefault="005A3EA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Celec P</w:t>
      </w:r>
      <w:r w:rsidR="002767DC" w:rsidRPr="000F710E">
        <w:rPr>
          <w:rFonts w:ascii="Times New Roman" w:hAnsi="Times New Roman" w:cs="Times New Roman"/>
          <w:sz w:val="28"/>
          <w:szCs w:val="28"/>
          <w:lang w:val="uk-UA"/>
        </w:rPr>
        <w:t xml:space="preserve">. Salivary thiobarbituric acid reacting substances and malondialdehyde–their relationship to reported smoking and to parodontal status described </w:t>
      </w:r>
      <w:r>
        <w:rPr>
          <w:rFonts w:ascii="Times New Roman" w:hAnsi="Times New Roman" w:cs="Times New Roman"/>
          <w:sz w:val="28"/>
          <w:szCs w:val="28"/>
          <w:lang w:val="uk-UA"/>
        </w:rPr>
        <w:t xml:space="preserve">by the papillary bleeding index / </w:t>
      </w:r>
      <w:r w:rsidRPr="000F710E">
        <w:rPr>
          <w:rFonts w:ascii="Times New Roman" w:hAnsi="Times New Roman" w:cs="Times New Roman"/>
          <w:sz w:val="28"/>
          <w:szCs w:val="28"/>
          <w:lang w:val="uk-UA"/>
        </w:rPr>
        <w:t>P.</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Celec, J.</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Hodosy, V</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Celecová </w:t>
      </w:r>
      <w:r>
        <w:rPr>
          <w:rFonts w:ascii="Times New Roman" w:hAnsi="Times New Roman" w:cs="Times New Roman"/>
          <w:sz w:val="28"/>
          <w:szCs w:val="28"/>
        </w:rPr>
        <w:t>//</w:t>
      </w:r>
      <w:r w:rsidR="002767DC" w:rsidRPr="000F710E">
        <w:rPr>
          <w:rFonts w:ascii="Times New Roman" w:hAnsi="Times New Roman" w:cs="Times New Roman"/>
          <w:sz w:val="28"/>
          <w:szCs w:val="28"/>
          <w:lang w:val="uk-UA"/>
        </w:rPr>
        <w:t xml:space="preserve"> Dis. Markers</w:t>
      </w:r>
      <w:r>
        <w:rPr>
          <w:rFonts w:ascii="Times New Roman" w:hAnsi="Times New Roman" w:cs="Times New Roman"/>
          <w:sz w:val="28"/>
          <w:szCs w:val="28"/>
        </w:rPr>
        <w:t>. – 2005. – Vol.</w:t>
      </w:r>
      <w:r>
        <w:rPr>
          <w:rFonts w:ascii="Times New Roman" w:hAnsi="Times New Roman" w:cs="Times New Roman"/>
          <w:sz w:val="28"/>
          <w:szCs w:val="28"/>
          <w:lang w:val="uk-UA"/>
        </w:rPr>
        <w:t xml:space="preserve"> 21.</w:t>
      </w:r>
      <w:r>
        <w:rPr>
          <w:rFonts w:ascii="Times New Roman" w:hAnsi="Times New Roman" w:cs="Times New Roman"/>
          <w:sz w:val="28"/>
          <w:szCs w:val="28"/>
        </w:rPr>
        <w:t xml:space="preserve"> – P.</w:t>
      </w:r>
      <w:r w:rsidR="002767DC" w:rsidRPr="000F710E">
        <w:rPr>
          <w:rFonts w:ascii="Times New Roman" w:hAnsi="Times New Roman" w:cs="Times New Roman"/>
          <w:sz w:val="28"/>
          <w:szCs w:val="28"/>
          <w:lang w:val="uk-UA"/>
        </w:rPr>
        <w:t xml:space="preserve"> 133–137.</w:t>
      </w:r>
    </w:p>
    <w:p w14:paraId="173DAAF6" w14:textId="0B6736A1" w:rsidR="002767DC" w:rsidRPr="005A3EA8" w:rsidRDefault="005A3EA8" w:rsidP="005A3EA8">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Trivedi S</w:t>
      </w:r>
      <w:r w:rsidRPr="000F710E">
        <w:rPr>
          <w:rFonts w:ascii="Times New Roman" w:hAnsi="Times New Roman" w:cs="Times New Roman"/>
          <w:sz w:val="28"/>
          <w:szCs w:val="28"/>
          <w:lang w:val="uk-UA"/>
        </w:rPr>
        <w:t>. Association of salivary lipid peroxidation levels, antioxidant enz</w:t>
      </w:r>
      <w:r>
        <w:rPr>
          <w:rFonts w:ascii="Times New Roman" w:hAnsi="Times New Roman" w:cs="Times New Roman"/>
          <w:sz w:val="28"/>
          <w:szCs w:val="28"/>
          <w:lang w:val="uk-UA"/>
        </w:rPr>
        <w:t xml:space="preserve">ymes, and chronic periodontitis / </w:t>
      </w:r>
      <w:r w:rsidRPr="000F710E">
        <w:rPr>
          <w:rFonts w:ascii="Times New Roman" w:hAnsi="Times New Roman" w:cs="Times New Roman"/>
          <w:sz w:val="28"/>
          <w:szCs w:val="28"/>
          <w:lang w:val="uk-UA"/>
        </w:rPr>
        <w:t>S.</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 xml:space="preserve">Trivedi, </w:t>
      </w:r>
      <w:r>
        <w:rPr>
          <w:rFonts w:ascii="Times New Roman" w:hAnsi="Times New Roman" w:cs="Times New Roman"/>
          <w:sz w:val="28"/>
          <w:szCs w:val="28"/>
          <w:lang w:val="uk-UA"/>
        </w:rPr>
        <w:t>N.</w:t>
      </w:r>
      <w:r>
        <w:rPr>
          <w:rFonts w:ascii="Times New Roman" w:hAnsi="Times New Roman" w:cs="Times New Roman"/>
          <w:sz w:val="28"/>
          <w:szCs w:val="28"/>
        </w:rPr>
        <w:t xml:space="preserve"> </w:t>
      </w:r>
      <w:r w:rsidRPr="000F710E">
        <w:rPr>
          <w:rFonts w:ascii="Times New Roman" w:hAnsi="Times New Roman" w:cs="Times New Roman"/>
          <w:sz w:val="28"/>
          <w:szCs w:val="28"/>
          <w:lang w:val="uk-UA"/>
        </w:rPr>
        <w:t>Lal</w:t>
      </w:r>
      <w:r>
        <w:rPr>
          <w:rFonts w:ascii="Times New Roman" w:hAnsi="Times New Roman" w:cs="Times New Roman"/>
          <w:sz w:val="28"/>
          <w:szCs w:val="28"/>
          <w:lang w:val="uk-UA"/>
        </w:rPr>
        <w:t>, A. A.</w:t>
      </w:r>
      <w:r>
        <w:rPr>
          <w:rFonts w:ascii="Times New Roman" w:hAnsi="Times New Roman" w:cs="Times New Roman"/>
          <w:sz w:val="28"/>
          <w:szCs w:val="28"/>
        </w:rPr>
        <w:t xml:space="preserve"> </w:t>
      </w:r>
      <w:r>
        <w:rPr>
          <w:rFonts w:ascii="Times New Roman" w:hAnsi="Times New Roman" w:cs="Times New Roman"/>
          <w:sz w:val="28"/>
          <w:szCs w:val="28"/>
          <w:lang w:val="uk-UA"/>
        </w:rPr>
        <w:t>Mahdi, B</w:t>
      </w:r>
      <w:r>
        <w:rPr>
          <w:rFonts w:ascii="Times New Roman" w:hAnsi="Times New Roman" w:cs="Times New Roman"/>
          <w:sz w:val="28"/>
          <w:szCs w:val="28"/>
        </w:rPr>
        <w:t>.</w:t>
      </w:r>
      <w:r>
        <w:rPr>
          <w:rFonts w:ascii="Times New Roman" w:hAnsi="Times New Roman" w:cs="Times New Roman"/>
          <w:sz w:val="28"/>
          <w:szCs w:val="28"/>
          <w:lang w:val="uk-UA"/>
        </w:rPr>
        <w:t xml:space="preserve"> Singh </w:t>
      </w:r>
      <w:r>
        <w:rPr>
          <w:rFonts w:ascii="Times New Roman" w:hAnsi="Times New Roman" w:cs="Times New Roman"/>
          <w:sz w:val="28"/>
          <w:szCs w:val="28"/>
        </w:rPr>
        <w:t>//</w:t>
      </w:r>
      <w:r w:rsidRPr="000F710E">
        <w:rPr>
          <w:rFonts w:ascii="Times New Roman" w:hAnsi="Times New Roman" w:cs="Times New Roman"/>
          <w:sz w:val="28"/>
          <w:szCs w:val="28"/>
          <w:lang w:val="uk-UA"/>
        </w:rPr>
        <w:t xml:space="preserve"> Int. J.</w:t>
      </w:r>
      <w:r w:rsidR="00D73E0B">
        <w:rPr>
          <w:rFonts w:ascii="Times New Roman" w:hAnsi="Times New Roman" w:cs="Times New Roman"/>
          <w:sz w:val="28"/>
          <w:szCs w:val="28"/>
          <w:lang w:val="uk-UA"/>
        </w:rPr>
        <w:t xml:space="preserve"> Periodontics Restorative Dent. </w:t>
      </w:r>
      <w:r w:rsidR="00D73E0B">
        <w:rPr>
          <w:rFonts w:ascii="Times New Roman" w:hAnsi="Times New Roman" w:cs="Times New Roman"/>
          <w:sz w:val="28"/>
          <w:szCs w:val="28"/>
        </w:rPr>
        <w:t xml:space="preserve">– </w:t>
      </w:r>
      <w:r>
        <w:rPr>
          <w:rFonts w:ascii="Times New Roman" w:hAnsi="Times New Roman" w:cs="Times New Roman"/>
          <w:sz w:val="28"/>
          <w:szCs w:val="28"/>
        </w:rPr>
        <w:t>2015. – Vol.</w:t>
      </w:r>
      <w:r>
        <w:rPr>
          <w:rFonts w:ascii="Times New Roman" w:hAnsi="Times New Roman" w:cs="Times New Roman"/>
          <w:sz w:val="28"/>
          <w:szCs w:val="28"/>
          <w:lang w:val="uk-UA"/>
        </w:rPr>
        <w:t xml:space="preserve">35. </w:t>
      </w:r>
      <w:r>
        <w:rPr>
          <w:rFonts w:ascii="Times New Roman" w:hAnsi="Times New Roman" w:cs="Times New Roman"/>
          <w:sz w:val="28"/>
          <w:szCs w:val="28"/>
        </w:rPr>
        <w:t>– P.</w:t>
      </w:r>
      <w:r>
        <w:rPr>
          <w:rFonts w:ascii="Times New Roman" w:hAnsi="Times New Roman" w:cs="Times New Roman"/>
          <w:sz w:val="28"/>
          <w:szCs w:val="28"/>
          <w:lang w:val="uk-UA"/>
        </w:rPr>
        <w:t>14–19.</w:t>
      </w:r>
    </w:p>
    <w:p w14:paraId="33D45EAF" w14:textId="6052EE1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F710E">
        <w:rPr>
          <w:rFonts w:ascii="Times New Roman" w:hAnsi="Times New Roman" w:cs="Times New Roman"/>
          <w:sz w:val="28"/>
          <w:szCs w:val="28"/>
          <w:lang w:val="uk-UA"/>
        </w:rPr>
        <w:t>Takan</w:t>
      </w:r>
      <w:r w:rsidR="005A3EA8">
        <w:rPr>
          <w:rFonts w:ascii="Times New Roman" w:hAnsi="Times New Roman" w:cs="Times New Roman"/>
          <w:sz w:val="28"/>
          <w:szCs w:val="28"/>
          <w:lang w:val="uk-UA"/>
        </w:rPr>
        <w:t>e M</w:t>
      </w:r>
      <w:r w:rsidRPr="000F710E">
        <w:rPr>
          <w:rFonts w:ascii="Times New Roman" w:hAnsi="Times New Roman" w:cs="Times New Roman"/>
          <w:sz w:val="28"/>
          <w:szCs w:val="28"/>
          <w:lang w:val="uk-UA"/>
        </w:rPr>
        <w:t>. New biomarker evidence of oxidative DNA damage in whole saliva from clinically healthy and peri</w:t>
      </w:r>
      <w:r w:rsidR="005A3EA8">
        <w:rPr>
          <w:rFonts w:ascii="Times New Roman" w:hAnsi="Times New Roman" w:cs="Times New Roman"/>
          <w:sz w:val="28"/>
          <w:szCs w:val="28"/>
          <w:lang w:val="uk-UA"/>
        </w:rPr>
        <w:t xml:space="preserve">odontally diseased individuals / </w:t>
      </w:r>
      <w:r w:rsidR="005A3EA8" w:rsidRPr="000F710E">
        <w:rPr>
          <w:rFonts w:ascii="Times New Roman" w:hAnsi="Times New Roman" w:cs="Times New Roman"/>
          <w:sz w:val="28"/>
          <w:szCs w:val="28"/>
          <w:lang w:val="uk-UA"/>
        </w:rPr>
        <w:t>Takane M., Sugano N., Iwasaki H.</w:t>
      </w:r>
      <w:r w:rsidR="005A3EA8">
        <w:rPr>
          <w:rFonts w:ascii="Times New Roman" w:hAnsi="Times New Roman" w:cs="Times New Roman"/>
          <w:sz w:val="28"/>
          <w:szCs w:val="28"/>
        </w:rPr>
        <w:t xml:space="preserve"> // </w:t>
      </w:r>
      <w:r w:rsidRPr="000F710E">
        <w:rPr>
          <w:rFonts w:ascii="Times New Roman" w:hAnsi="Times New Roman" w:cs="Times New Roman"/>
          <w:sz w:val="28"/>
          <w:szCs w:val="28"/>
          <w:lang w:val="uk-UA"/>
        </w:rPr>
        <w:t>J. Periodontol.</w:t>
      </w:r>
      <w:r w:rsidR="005A3EA8">
        <w:rPr>
          <w:rFonts w:ascii="Times New Roman" w:hAnsi="Times New Roman" w:cs="Times New Roman"/>
          <w:sz w:val="28"/>
          <w:szCs w:val="28"/>
        </w:rPr>
        <w:t xml:space="preserve"> – 2002. – Vol.</w:t>
      </w:r>
      <w:r w:rsidR="005A3EA8">
        <w:rPr>
          <w:rFonts w:ascii="Times New Roman" w:hAnsi="Times New Roman" w:cs="Times New Roman"/>
          <w:sz w:val="28"/>
          <w:szCs w:val="28"/>
          <w:lang w:val="uk-UA"/>
        </w:rPr>
        <w:t xml:space="preserve"> 73.</w:t>
      </w:r>
      <w:r w:rsidR="005A3EA8">
        <w:rPr>
          <w:rFonts w:ascii="Times New Roman" w:hAnsi="Times New Roman" w:cs="Times New Roman"/>
          <w:sz w:val="28"/>
          <w:szCs w:val="28"/>
        </w:rPr>
        <w:t xml:space="preserve"> – P.</w:t>
      </w:r>
      <w:r w:rsidRPr="000F710E">
        <w:rPr>
          <w:rFonts w:ascii="Times New Roman" w:hAnsi="Times New Roman" w:cs="Times New Roman"/>
          <w:sz w:val="28"/>
          <w:szCs w:val="28"/>
          <w:lang w:val="uk-UA"/>
        </w:rPr>
        <w:t xml:space="preserve"> 551–554.</w:t>
      </w:r>
    </w:p>
    <w:p w14:paraId="754125B4" w14:textId="6E849FD9" w:rsidR="002767DC" w:rsidRDefault="005A3EA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Armstrong J. </w:t>
      </w:r>
      <w:r w:rsidR="002767DC" w:rsidRPr="000F710E">
        <w:rPr>
          <w:rFonts w:ascii="Times New Roman" w:hAnsi="Times New Roman" w:cs="Times New Roman"/>
          <w:sz w:val="28"/>
          <w:szCs w:val="28"/>
          <w:lang w:val="uk-UA"/>
        </w:rPr>
        <w:t>I</w:t>
      </w:r>
      <w:r>
        <w:rPr>
          <w:rFonts w:ascii="Times New Roman" w:hAnsi="Times New Roman" w:cs="Times New Roman"/>
          <w:sz w:val="28"/>
          <w:szCs w:val="28"/>
          <w:lang w:val="uk-UA"/>
        </w:rPr>
        <w:t>llusions in Regression Analysis</w:t>
      </w:r>
      <w:r w:rsidR="002767DC" w:rsidRPr="000F710E">
        <w:rPr>
          <w:rFonts w:ascii="Times New Roman" w:hAnsi="Times New Roman" w:cs="Times New Roman"/>
          <w:sz w:val="28"/>
          <w:szCs w:val="28"/>
          <w:lang w:val="uk-UA"/>
        </w:rPr>
        <w:t>. International</w:t>
      </w:r>
      <w:r>
        <w:rPr>
          <w:rFonts w:ascii="Times New Roman" w:hAnsi="Times New Roman" w:cs="Times New Roman"/>
          <w:sz w:val="28"/>
          <w:szCs w:val="28"/>
        </w:rPr>
        <w:t xml:space="preserve"> / </w:t>
      </w:r>
      <w:r>
        <w:rPr>
          <w:rFonts w:ascii="Times New Roman" w:hAnsi="Times New Roman" w:cs="Times New Roman"/>
          <w:sz w:val="28"/>
          <w:szCs w:val="28"/>
          <w:lang w:val="uk-UA"/>
        </w:rPr>
        <w:t>Armstrong J.</w:t>
      </w:r>
      <w:r>
        <w:rPr>
          <w:rFonts w:ascii="Times New Roman" w:hAnsi="Times New Roman" w:cs="Times New Roman"/>
          <w:sz w:val="28"/>
          <w:szCs w:val="28"/>
        </w:rPr>
        <w:t xml:space="preserve"> //</w:t>
      </w:r>
      <w:r w:rsidR="002767DC" w:rsidRPr="000F710E">
        <w:rPr>
          <w:rFonts w:ascii="Times New Roman" w:hAnsi="Times New Roman" w:cs="Times New Roman"/>
          <w:sz w:val="28"/>
          <w:szCs w:val="28"/>
          <w:lang w:val="uk-UA"/>
        </w:rPr>
        <w:t xml:space="preserve"> Journal of Forecasting (forthcoming).</w:t>
      </w:r>
      <w:r>
        <w:rPr>
          <w:rFonts w:ascii="Times New Roman" w:hAnsi="Times New Roman" w:cs="Times New Roman"/>
          <w:sz w:val="28"/>
          <w:szCs w:val="28"/>
        </w:rPr>
        <w:t xml:space="preserve"> – 2012. – Vol.</w:t>
      </w:r>
      <w:r>
        <w:rPr>
          <w:rFonts w:ascii="Times New Roman" w:hAnsi="Times New Roman" w:cs="Times New Roman"/>
          <w:sz w:val="28"/>
          <w:szCs w:val="28"/>
          <w:lang w:val="uk-UA"/>
        </w:rPr>
        <w:t xml:space="preserve"> 28 (3).</w:t>
      </w:r>
      <w:r>
        <w:rPr>
          <w:rFonts w:ascii="Times New Roman" w:hAnsi="Times New Roman" w:cs="Times New Roman"/>
          <w:sz w:val="28"/>
          <w:szCs w:val="28"/>
        </w:rPr>
        <w:t xml:space="preserve"> –P.</w:t>
      </w:r>
      <w:r w:rsidR="002767DC" w:rsidRPr="000F710E">
        <w:rPr>
          <w:rFonts w:ascii="Times New Roman" w:hAnsi="Times New Roman" w:cs="Times New Roman"/>
          <w:sz w:val="28"/>
          <w:szCs w:val="28"/>
          <w:lang w:val="uk-UA"/>
        </w:rPr>
        <w:t xml:space="preserve"> 689.</w:t>
      </w:r>
    </w:p>
    <w:p w14:paraId="5F506B31" w14:textId="507F8728" w:rsidR="002767DC" w:rsidRDefault="005A3EA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Sahingur S</w:t>
      </w:r>
      <w:r>
        <w:rPr>
          <w:rFonts w:ascii="Times New Roman" w:hAnsi="Times New Roman" w:cs="Times New Roman"/>
          <w:sz w:val="28"/>
          <w:szCs w:val="28"/>
        </w:rPr>
        <w:t>.</w:t>
      </w:r>
      <w:r>
        <w:rPr>
          <w:rFonts w:ascii="Times New Roman" w:hAnsi="Times New Roman" w:cs="Times New Roman"/>
          <w:sz w:val="28"/>
          <w:szCs w:val="28"/>
          <w:lang w:val="uk-UA"/>
        </w:rPr>
        <w:t>E.</w:t>
      </w:r>
      <w:r w:rsidR="002767DC" w:rsidRPr="00062874">
        <w:rPr>
          <w:rFonts w:ascii="Times New Roman" w:hAnsi="Times New Roman" w:cs="Times New Roman"/>
          <w:sz w:val="28"/>
          <w:szCs w:val="28"/>
          <w:lang w:val="uk-UA"/>
        </w:rPr>
        <w:t xml:space="preserve"> Analysis of host responses a</w:t>
      </w:r>
      <w:r>
        <w:rPr>
          <w:rFonts w:ascii="Times New Roman" w:hAnsi="Times New Roman" w:cs="Times New Roman"/>
          <w:sz w:val="28"/>
          <w:szCs w:val="28"/>
          <w:lang w:val="uk-UA"/>
        </w:rPr>
        <w:t xml:space="preserve">nd risk for disease progression / </w:t>
      </w:r>
      <w:r w:rsidRPr="00062874">
        <w:rPr>
          <w:rFonts w:ascii="Times New Roman" w:hAnsi="Times New Roman" w:cs="Times New Roman"/>
          <w:sz w:val="28"/>
          <w:szCs w:val="28"/>
          <w:lang w:val="uk-UA"/>
        </w:rPr>
        <w:t>S</w:t>
      </w:r>
      <w:r>
        <w:rPr>
          <w:rFonts w:ascii="Times New Roman" w:hAnsi="Times New Roman" w:cs="Times New Roman"/>
          <w:sz w:val="28"/>
          <w:szCs w:val="28"/>
        </w:rPr>
        <w:t>.</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sidRPr="00062874">
        <w:rPr>
          <w:rFonts w:ascii="Times New Roman" w:hAnsi="Times New Roman" w:cs="Times New Roman"/>
          <w:sz w:val="28"/>
          <w:szCs w:val="28"/>
          <w:lang w:val="uk-UA"/>
        </w:rPr>
        <w:t>Sahingur, R</w:t>
      </w:r>
      <w:r>
        <w:rPr>
          <w:rFonts w:ascii="Times New Roman" w:hAnsi="Times New Roman" w:cs="Times New Roman"/>
          <w:sz w:val="28"/>
          <w:szCs w:val="28"/>
        </w:rPr>
        <w:t>.</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sidRPr="00062874">
        <w:rPr>
          <w:rFonts w:ascii="Times New Roman" w:hAnsi="Times New Roman" w:cs="Times New Roman"/>
          <w:sz w:val="28"/>
          <w:szCs w:val="28"/>
          <w:lang w:val="uk-UA"/>
        </w:rPr>
        <w:t xml:space="preserve">Cohen </w:t>
      </w:r>
      <w:r>
        <w:rPr>
          <w:rFonts w:ascii="Times New Roman" w:hAnsi="Times New Roman" w:cs="Times New Roman"/>
          <w:sz w:val="28"/>
          <w:szCs w:val="28"/>
        </w:rPr>
        <w:t>//</w:t>
      </w:r>
      <w:r w:rsidR="002767DC" w:rsidRPr="00062874">
        <w:rPr>
          <w:rFonts w:ascii="Times New Roman" w:hAnsi="Times New Roman" w:cs="Times New Roman"/>
          <w:sz w:val="28"/>
          <w:szCs w:val="28"/>
          <w:lang w:val="uk-UA"/>
        </w:rPr>
        <w:t xml:space="preserve"> Periodontol 2000</w:t>
      </w:r>
      <w:r>
        <w:rPr>
          <w:rFonts w:ascii="Times New Roman" w:hAnsi="Times New Roman" w:cs="Times New Roman"/>
          <w:sz w:val="28"/>
          <w:szCs w:val="28"/>
        </w:rPr>
        <w:t>. – 2004. – Vol.</w:t>
      </w:r>
      <w:r>
        <w:rPr>
          <w:rFonts w:ascii="Times New Roman" w:hAnsi="Times New Roman" w:cs="Times New Roman"/>
          <w:sz w:val="28"/>
          <w:szCs w:val="28"/>
          <w:lang w:val="uk-UA"/>
        </w:rPr>
        <w:t xml:space="preserve"> 34.</w:t>
      </w:r>
      <w:r>
        <w:rPr>
          <w:rFonts w:ascii="Times New Roman" w:hAnsi="Times New Roman" w:cs="Times New Roman"/>
          <w:sz w:val="28"/>
          <w:szCs w:val="28"/>
        </w:rPr>
        <w:t xml:space="preserve"> –P.</w:t>
      </w:r>
      <w:r w:rsidR="002767DC" w:rsidRPr="00062874">
        <w:rPr>
          <w:rFonts w:ascii="Times New Roman" w:hAnsi="Times New Roman" w:cs="Times New Roman"/>
          <w:sz w:val="28"/>
          <w:szCs w:val="28"/>
          <w:lang w:val="uk-UA"/>
        </w:rPr>
        <w:t xml:space="preserve"> 57-83.</w:t>
      </w:r>
    </w:p>
    <w:p w14:paraId="2B2D19EF" w14:textId="4313DC21" w:rsidR="002767DC" w:rsidRDefault="005A3EA8"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Deo V</w:t>
      </w:r>
      <w:r w:rsidR="002767DC" w:rsidRPr="00062874">
        <w:rPr>
          <w:rFonts w:ascii="Times New Roman" w:hAnsi="Times New Roman" w:cs="Times New Roman"/>
          <w:sz w:val="28"/>
          <w:szCs w:val="28"/>
          <w:lang w:val="uk-UA"/>
        </w:rPr>
        <w:t>.</w:t>
      </w:r>
      <w:r w:rsidR="005D66AA">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Pathogenesis of periodontitis: rol</w:t>
      </w:r>
      <w:r>
        <w:rPr>
          <w:rFonts w:ascii="Times New Roman" w:hAnsi="Times New Roman" w:cs="Times New Roman"/>
          <w:sz w:val="28"/>
          <w:szCs w:val="28"/>
          <w:lang w:val="uk-UA"/>
        </w:rPr>
        <w:t xml:space="preserve">e of cytokines in host response / </w:t>
      </w:r>
      <w:r>
        <w:rPr>
          <w:rFonts w:ascii="Times New Roman" w:hAnsi="Times New Roman" w:cs="Times New Roman"/>
          <w:sz w:val="28"/>
          <w:szCs w:val="28"/>
        </w:rPr>
        <w:t xml:space="preserve">V. </w:t>
      </w:r>
      <w:r>
        <w:rPr>
          <w:rFonts w:ascii="Times New Roman" w:hAnsi="Times New Roman" w:cs="Times New Roman"/>
          <w:sz w:val="28"/>
          <w:szCs w:val="28"/>
          <w:lang w:val="uk-UA"/>
        </w:rPr>
        <w:t>Deo</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M.L. </w:t>
      </w:r>
      <w:r>
        <w:rPr>
          <w:rFonts w:ascii="Times New Roman" w:hAnsi="Times New Roman" w:cs="Times New Roman"/>
          <w:sz w:val="28"/>
          <w:szCs w:val="28"/>
          <w:lang w:val="uk-UA"/>
        </w:rPr>
        <w:t>Bhongade</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 De</w:t>
      </w:r>
      <w:r>
        <w:rPr>
          <w:rFonts w:ascii="Times New Roman" w:hAnsi="Times New Roman" w:cs="Times New Roman"/>
          <w:sz w:val="28"/>
          <w:szCs w:val="28"/>
          <w:lang w:val="uk-UA"/>
        </w:rPr>
        <w:t>nt. Today. – 2010. – Vol.</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29</w:t>
      </w:r>
      <w:r>
        <w:rPr>
          <w:rFonts w:ascii="Times New Roman" w:hAnsi="Times New Roman" w:cs="Times New Roman"/>
          <w:sz w:val="28"/>
          <w:szCs w:val="28"/>
          <w:lang w:val="uk-UA"/>
        </w:rPr>
        <w:t xml:space="preserve">(9). – P. </w:t>
      </w:r>
      <w:r w:rsidR="002767DC">
        <w:rPr>
          <w:rFonts w:ascii="Times New Roman" w:hAnsi="Times New Roman" w:cs="Times New Roman"/>
          <w:sz w:val="28"/>
          <w:szCs w:val="28"/>
          <w:lang w:val="uk-UA"/>
        </w:rPr>
        <w:t>64-66.</w:t>
      </w:r>
    </w:p>
    <w:p w14:paraId="7C48A536" w14:textId="01D787F1"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Gemm</w:t>
      </w:r>
      <w:r w:rsidR="005D66AA">
        <w:rPr>
          <w:rFonts w:ascii="Times New Roman" w:hAnsi="Times New Roman" w:cs="Times New Roman"/>
          <w:sz w:val="28"/>
          <w:szCs w:val="28"/>
          <w:lang w:val="uk-UA"/>
        </w:rPr>
        <w:t>ell E.</w:t>
      </w:r>
      <w:r w:rsidRPr="00062874">
        <w:rPr>
          <w:rFonts w:ascii="Times New Roman" w:hAnsi="Times New Roman" w:cs="Times New Roman"/>
          <w:sz w:val="28"/>
          <w:szCs w:val="28"/>
          <w:lang w:val="uk-UA"/>
        </w:rPr>
        <w:t xml:space="preserve"> Modulation of the antibody response by Porphyromonas gingivalis and Fusobacte</w:t>
      </w:r>
      <w:r w:rsidR="005D66AA">
        <w:rPr>
          <w:rFonts w:ascii="Times New Roman" w:hAnsi="Times New Roman" w:cs="Times New Roman"/>
          <w:sz w:val="28"/>
          <w:szCs w:val="28"/>
          <w:lang w:val="uk-UA"/>
        </w:rPr>
        <w:t xml:space="preserve">rium nucleatum in a mouse model / </w:t>
      </w:r>
      <w:r w:rsidR="005D66AA">
        <w:rPr>
          <w:rFonts w:ascii="Times New Roman" w:hAnsi="Times New Roman" w:cs="Times New Roman"/>
          <w:sz w:val="28"/>
          <w:szCs w:val="28"/>
        </w:rPr>
        <w:t xml:space="preserve">E. </w:t>
      </w:r>
      <w:r w:rsidR="005D66AA">
        <w:rPr>
          <w:rFonts w:ascii="Times New Roman" w:hAnsi="Times New Roman" w:cs="Times New Roman"/>
          <w:sz w:val="28"/>
          <w:szCs w:val="28"/>
          <w:lang w:val="uk-UA"/>
        </w:rPr>
        <w:t>Gemmell</w:t>
      </w:r>
      <w:r w:rsidR="005D66AA" w:rsidRPr="00062874">
        <w:rPr>
          <w:rFonts w:ascii="Times New Roman" w:hAnsi="Times New Roman" w:cs="Times New Roman"/>
          <w:sz w:val="28"/>
          <w:szCs w:val="28"/>
          <w:lang w:val="uk-UA"/>
        </w:rPr>
        <w:t xml:space="preserve">, </w:t>
      </w:r>
      <w:r w:rsidR="005D66AA">
        <w:rPr>
          <w:rFonts w:ascii="Times New Roman" w:hAnsi="Times New Roman" w:cs="Times New Roman"/>
          <w:sz w:val="28"/>
          <w:szCs w:val="28"/>
        </w:rPr>
        <w:t xml:space="preserve">P.S. </w:t>
      </w:r>
      <w:r w:rsidR="005D66AA">
        <w:rPr>
          <w:rFonts w:ascii="Times New Roman" w:hAnsi="Times New Roman" w:cs="Times New Roman"/>
          <w:sz w:val="28"/>
          <w:szCs w:val="28"/>
          <w:lang w:val="uk-UA"/>
        </w:rPr>
        <w:t>Bird</w:t>
      </w:r>
      <w:r w:rsidR="005D66AA" w:rsidRPr="00062874">
        <w:rPr>
          <w:rFonts w:ascii="Times New Roman" w:hAnsi="Times New Roman" w:cs="Times New Roman"/>
          <w:sz w:val="28"/>
          <w:szCs w:val="28"/>
          <w:lang w:val="uk-UA"/>
        </w:rPr>
        <w:t xml:space="preserve">, </w:t>
      </w:r>
      <w:r w:rsidR="005D66AA">
        <w:rPr>
          <w:rFonts w:ascii="Times New Roman" w:hAnsi="Times New Roman" w:cs="Times New Roman"/>
          <w:sz w:val="28"/>
          <w:szCs w:val="28"/>
        </w:rPr>
        <w:t xml:space="preserve">P.J. </w:t>
      </w:r>
      <w:r w:rsidR="005D66AA">
        <w:rPr>
          <w:rFonts w:ascii="Times New Roman" w:hAnsi="Times New Roman" w:cs="Times New Roman"/>
          <w:sz w:val="28"/>
          <w:szCs w:val="28"/>
          <w:lang w:val="uk-UA"/>
        </w:rPr>
        <w:t>Ford</w:t>
      </w:r>
      <w:r w:rsidR="005D66AA">
        <w:rPr>
          <w:rFonts w:ascii="Times New Roman" w:hAnsi="Times New Roman" w:cs="Times New Roman"/>
          <w:sz w:val="28"/>
          <w:szCs w:val="28"/>
        </w:rPr>
        <w:t xml:space="preserve"> //</w:t>
      </w:r>
      <w:r w:rsidRPr="00062874">
        <w:rPr>
          <w:rFonts w:ascii="Times New Roman" w:hAnsi="Times New Roman" w:cs="Times New Roman"/>
          <w:sz w:val="28"/>
          <w:szCs w:val="28"/>
          <w:lang w:val="uk-UA"/>
        </w:rPr>
        <w:t xml:space="preserve"> Oral Mi</w:t>
      </w:r>
      <w:r w:rsidR="005D66AA">
        <w:rPr>
          <w:rFonts w:ascii="Times New Roman" w:hAnsi="Times New Roman" w:cs="Times New Roman"/>
          <w:sz w:val="28"/>
          <w:szCs w:val="28"/>
          <w:lang w:val="uk-UA"/>
        </w:rPr>
        <w:t>crobiol. Immunol.</w:t>
      </w:r>
      <w:r w:rsidR="005D66AA">
        <w:rPr>
          <w:rFonts w:ascii="Times New Roman" w:hAnsi="Times New Roman" w:cs="Times New Roman"/>
          <w:sz w:val="28"/>
          <w:szCs w:val="28"/>
        </w:rPr>
        <w:t xml:space="preserve"> – 2004. – Vol.</w:t>
      </w:r>
      <w:r w:rsidR="005D66AA">
        <w:rPr>
          <w:rFonts w:ascii="Times New Roman" w:hAnsi="Times New Roman" w:cs="Times New Roman"/>
          <w:sz w:val="28"/>
          <w:szCs w:val="28"/>
          <w:lang w:val="uk-UA"/>
        </w:rPr>
        <w:t xml:space="preserve"> 19.</w:t>
      </w:r>
      <w:r w:rsidR="005D66AA">
        <w:rPr>
          <w:rFonts w:ascii="Times New Roman" w:hAnsi="Times New Roman" w:cs="Times New Roman"/>
          <w:sz w:val="28"/>
          <w:szCs w:val="28"/>
        </w:rPr>
        <w:t xml:space="preserve"> – P.</w:t>
      </w:r>
      <w:r>
        <w:rPr>
          <w:rFonts w:ascii="Times New Roman" w:hAnsi="Times New Roman" w:cs="Times New Roman"/>
          <w:sz w:val="28"/>
          <w:szCs w:val="28"/>
          <w:lang w:val="uk-UA"/>
        </w:rPr>
        <w:t xml:space="preserve"> 247-251</w:t>
      </w:r>
      <w:r>
        <w:rPr>
          <w:rFonts w:ascii="Times New Roman" w:hAnsi="Times New Roman" w:cs="Times New Roman"/>
          <w:sz w:val="28"/>
          <w:szCs w:val="28"/>
        </w:rPr>
        <w:t>.</w:t>
      </w:r>
    </w:p>
    <w:p w14:paraId="09F6FC16" w14:textId="358C22F6"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Gibson F</w:t>
      </w:r>
      <w:r>
        <w:rPr>
          <w:rFonts w:ascii="Times New Roman" w:hAnsi="Times New Roman" w:cs="Times New Roman"/>
          <w:sz w:val="28"/>
          <w:szCs w:val="28"/>
        </w:rPr>
        <w:t>.</w:t>
      </w:r>
      <w:r>
        <w:rPr>
          <w:rFonts w:ascii="Times New Roman" w:hAnsi="Times New Roman" w:cs="Times New Roman"/>
          <w:sz w:val="28"/>
          <w:szCs w:val="28"/>
          <w:lang w:val="uk-UA"/>
        </w:rPr>
        <w:t>C</w:t>
      </w:r>
      <w:r w:rsidR="002767DC" w:rsidRPr="00062874">
        <w:rPr>
          <w:rFonts w:ascii="Times New Roman" w:hAnsi="Times New Roman" w:cs="Times New Roman"/>
          <w:sz w:val="28"/>
          <w:szCs w:val="28"/>
          <w:lang w:val="uk-UA"/>
        </w:rPr>
        <w:t>. Gingipainspecific IgG in the sera of patients with periodontal disease is necessary for opsonophagocyto</w:t>
      </w:r>
      <w:r>
        <w:rPr>
          <w:rFonts w:ascii="Times New Roman" w:hAnsi="Times New Roman" w:cs="Times New Roman"/>
          <w:sz w:val="28"/>
          <w:szCs w:val="28"/>
          <w:lang w:val="uk-UA"/>
        </w:rPr>
        <w:t xml:space="preserve">sis of Porphyromonas gingivalis / </w:t>
      </w:r>
      <w:r>
        <w:rPr>
          <w:rFonts w:ascii="Times New Roman" w:hAnsi="Times New Roman" w:cs="Times New Roman"/>
          <w:sz w:val="28"/>
          <w:szCs w:val="28"/>
        </w:rPr>
        <w:t xml:space="preserve">F.C. </w:t>
      </w:r>
      <w:r>
        <w:rPr>
          <w:rFonts w:ascii="Times New Roman" w:hAnsi="Times New Roman" w:cs="Times New Roman"/>
          <w:sz w:val="28"/>
          <w:szCs w:val="28"/>
          <w:lang w:val="uk-UA"/>
        </w:rPr>
        <w:t>Gibson</w:t>
      </w:r>
      <w:r w:rsidRPr="000628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J. </w:t>
      </w:r>
      <w:r>
        <w:rPr>
          <w:rFonts w:ascii="Times New Roman" w:hAnsi="Times New Roman" w:cs="Times New Roman"/>
          <w:sz w:val="28"/>
          <w:szCs w:val="28"/>
          <w:lang w:val="uk-UA"/>
        </w:rPr>
        <w:t>Savelli</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 J. Periodontol.</w:t>
      </w:r>
      <w:r>
        <w:rPr>
          <w:rFonts w:ascii="Times New Roman" w:hAnsi="Times New Roman" w:cs="Times New Roman"/>
          <w:sz w:val="28"/>
          <w:szCs w:val="28"/>
        </w:rPr>
        <w:t xml:space="preserve"> – 2005. – Vol.</w:t>
      </w:r>
      <w:r>
        <w:rPr>
          <w:rFonts w:ascii="Times New Roman" w:hAnsi="Times New Roman" w:cs="Times New Roman"/>
          <w:sz w:val="28"/>
          <w:szCs w:val="28"/>
          <w:lang w:val="uk-UA"/>
        </w:rPr>
        <w:t xml:space="preserve"> 76(10)</w:t>
      </w:r>
      <w:r>
        <w:rPr>
          <w:rFonts w:ascii="Times New Roman" w:hAnsi="Times New Roman" w:cs="Times New Roman"/>
          <w:sz w:val="28"/>
          <w:szCs w:val="28"/>
        </w:rPr>
        <w:t>. – P.</w:t>
      </w:r>
      <w:r w:rsidR="002767DC" w:rsidRPr="00062874">
        <w:rPr>
          <w:rFonts w:ascii="Times New Roman" w:hAnsi="Times New Roman" w:cs="Times New Roman"/>
          <w:sz w:val="28"/>
          <w:szCs w:val="28"/>
          <w:lang w:val="uk-UA"/>
        </w:rPr>
        <w:t xml:space="preserve"> 1629-</w:t>
      </w:r>
      <w:r>
        <w:rPr>
          <w:rFonts w:ascii="Times New Roman" w:hAnsi="Times New Roman" w:cs="Times New Roman"/>
          <w:sz w:val="28"/>
          <w:szCs w:val="28"/>
        </w:rPr>
        <w:t>16</w:t>
      </w:r>
      <w:r w:rsidR="002767DC" w:rsidRPr="00062874">
        <w:rPr>
          <w:rFonts w:ascii="Times New Roman" w:hAnsi="Times New Roman" w:cs="Times New Roman"/>
          <w:sz w:val="28"/>
          <w:szCs w:val="28"/>
          <w:lang w:val="uk-UA"/>
        </w:rPr>
        <w:t>36.</w:t>
      </w:r>
    </w:p>
    <w:p w14:paraId="63318805" w14:textId="6F92EB6D"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Kinane D</w:t>
      </w:r>
      <w:r>
        <w:rPr>
          <w:rFonts w:ascii="Times New Roman" w:hAnsi="Times New Roman" w:cs="Times New Roman"/>
          <w:sz w:val="28"/>
          <w:szCs w:val="28"/>
        </w:rPr>
        <w:t>.</w:t>
      </w:r>
      <w:r>
        <w:rPr>
          <w:rFonts w:ascii="Times New Roman" w:hAnsi="Times New Roman" w:cs="Times New Roman"/>
          <w:sz w:val="28"/>
          <w:szCs w:val="28"/>
          <w:lang w:val="uk-UA"/>
        </w:rPr>
        <w:t>F</w:t>
      </w:r>
      <w:r w:rsidR="002767DC" w:rsidRPr="00062874">
        <w:rPr>
          <w:rFonts w:ascii="Times New Roman" w:hAnsi="Times New Roman" w:cs="Times New Roman"/>
          <w:sz w:val="28"/>
          <w:szCs w:val="28"/>
          <w:lang w:val="uk-UA"/>
        </w:rPr>
        <w:t>. Immune Processes in Periodontal Disease: A Revi</w:t>
      </w:r>
      <w:r>
        <w:rPr>
          <w:rFonts w:ascii="Times New Roman" w:hAnsi="Times New Roman" w:cs="Times New Roman"/>
          <w:sz w:val="28"/>
          <w:szCs w:val="28"/>
          <w:lang w:val="uk-UA"/>
        </w:rPr>
        <w:t xml:space="preserve">ew / </w:t>
      </w:r>
      <w:r>
        <w:rPr>
          <w:rFonts w:ascii="Times New Roman" w:hAnsi="Times New Roman" w:cs="Times New Roman"/>
          <w:sz w:val="28"/>
          <w:szCs w:val="28"/>
        </w:rPr>
        <w:t xml:space="preserve">D.F. </w:t>
      </w:r>
      <w:r>
        <w:rPr>
          <w:rFonts w:ascii="Times New Roman" w:hAnsi="Times New Roman" w:cs="Times New Roman"/>
          <w:sz w:val="28"/>
          <w:szCs w:val="28"/>
          <w:lang w:val="uk-UA"/>
        </w:rPr>
        <w:t>Kinane</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D.F. </w:t>
      </w:r>
      <w:r>
        <w:rPr>
          <w:rFonts w:ascii="Times New Roman" w:hAnsi="Times New Roman" w:cs="Times New Roman"/>
          <w:sz w:val="28"/>
          <w:szCs w:val="28"/>
          <w:lang w:val="uk-UA"/>
        </w:rPr>
        <w:t>Lappin</w:t>
      </w:r>
      <w:r>
        <w:rPr>
          <w:rFonts w:ascii="Times New Roman" w:hAnsi="Times New Roman" w:cs="Times New Roman"/>
          <w:sz w:val="28"/>
          <w:szCs w:val="28"/>
        </w:rPr>
        <w:t xml:space="preserve"> //</w:t>
      </w:r>
      <w:r w:rsidR="002767DC">
        <w:rPr>
          <w:rFonts w:ascii="Times New Roman" w:hAnsi="Times New Roman" w:cs="Times New Roman"/>
          <w:sz w:val="28"/>
          <w:szCs w:val="28"/>
          <w:lang w:val="uk-UA"/>
        </w:rPr>
        <w:t xml:space="preserve"> J. Periodontol.</w:t>
      </w:r>
      <w:r>
        <w:rPr>
          <w:rFonts w:ascii="Times New Roman" w:hAnsi="Times New Roman" w:cs="Times New Roman"/>
          <w:sz w:val="28"/>
          <w:szCs w:val="28"/>
        </w:rPr>
        <w:t xml:space="preserve"> – 2002. – Vol.</w:t>
      </w:r>
      <w:r>
        <w:rPr>
          <w:rFonts w:ascii="Times New Roman" w:hAnsi="Times New Roman" w:cs="Times New Roman"/>
          <w:sz w:val="28"/>
          <w:szCs w:val="28"/>
          <w:lang w:val="uk-UA"/>
        </w:rPr>
        <w:t xml:space="preserve"> 7</w:t>
      </w:r>
      <w:r>
        <w:rPr>
          <w:rFonts w:ascii="Times New Roman" w:hAnsi="Times New Roman" w:cs="Times New Roman"/>
          <w:sz w:val="28"/>
          <w:szCs w:val="28"/>
        </w:rPr>
        <w:t xml:space="preserve">. –P. </w:t>
      </w:r>
      <w:r w:rsidR="002767DC">
        <w:rPr>
          <w:rFonts w:ascii="Times New Roman" w:hAnsi="Times New Roman" w:cs="Times New Roman"/>
          <w:sz w:val="28"/>
          <w:szCs w:val="28"/>
          <w:lang w:val="uk-UA"/>
        </w:rPr>
        <w:t>62-71.</w:t>
      </w:r>
    </w:p>
    <w:p w14:paraId="7E3C1236" w14:textId="580F790C"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Leone C</w:t>
      </w:r>
      <w:r>
        <w:rPr>
          <w:rFonts w:ascii="Times New Roman" w:hAnsi="Times New Roman" w:cs="Times New Roman"/>
          <w:sz w:val="28"/>
          <w:szCs w:val="28"/>
        </w:rPr>
        <w:t>.</w:t>
      </w:r>
      <w:r>
        <w:rPr>
          <w:rFonts w:ascii="Times New Roman" w:hAnsi="Times New Roman" w:cs="Times New Roman"/>
          <w:sz w:val="28"/>
          <w:szCs w:val="28"/>
          <w:lang w:val="uk-UA"/>
        </w:rPr>
        <w:t>W</w:t>
      </w:r>
      <w:r w:rsidR="002767DC" w:rsidRPr="00062874">
        <w:rPr>
          <w:rFonts w:ascii="Times New Roman" w:hAnsi="Times New Roman" w:cs="Times New Roman"/>
          <w:sz w:val="28"/>
          <w:szCs w:val="28"/>
          <w:lang w:val="uk-UA"/>
        </w:rPr>
        <w:t>. Immunization enhances inflammation and tissue destruction in respon</w:t>
      </w:r>
      <w:r>
        <w:rPr>
          <w:rFonts w:ascii="Times New Roman" w:hAnsi="Times New Roman" w:cs="Times New Roman"/>
          <w:sz w:val="28"/>
          <w:szCs w:val="28"/>
          <w:lang w:val="uk-UA"/>
        </w:rPr>
        <w:t xml:space="preserve">se to Prophyromonas gingivalis </w:t>
      </w:r>
      <w:r>
        <w:rPr>
          <w:rFonts w:ascii="Times New Roman" w:hAnsi="Times New Roman" w:cs="Times New Roman"/>
          <w:sz w:val="28"/>
          <w:szCs w:val="28"/>
        </w:rPr>
        <w:t xml:space="preserve">/ C.W. </w:t>
      </w:r>
      <w:r>
        <w:rPr>
          <w:rFonts w:ascii="Times New Roman" w:hAnsi="Times New Roman" w:cs="Times New Roman"/>
          <w:sz w:val="28"/>
          <w:szCs w:val="28"/>
          <w:lang w:val="uk-UA"/>
        </w:rPr>
        <w:t xml:space="preserve">Leone, </w:t>
      </w:r>
      <w:r>
        <w:rPr>
          <w:rFonts w:ascii="Times New Roman" w:hAnsi="Times New Roman" w:cs="Times New Roman"/>
          <w:sz w:val="28"/>
          <w:szCs w:val="28"/>
        </w:rPr>
        <w:t xml:space="preserve">H. </w:t>
      </w:r>
      <w:r>
        <w:rPr>
          <w:rFonts w:ascii="Times New Roman" w:hAnsi="Times New Roman" w:cs="Times New Roman"/>
          <w:sz w:val="28"/>
          <w:szCs w:val="28"/>
          <w:lang w:val="uk-UA"/>
        </w:rPr>
        <w:t xml:space="preserve">Bokhadhoor, </w:t>
      </w:r>
      <w:r>
        <w:rPr>
          <w:rFonts w:ascii="Times New Roman" w:hAnsi="Times New Roman" w:cs="Times New Roman"/>
          <w:sz w:val="28"/>
          <w:szCs w:val="28"/>
        </w:rPr>
        <w:t xml:space="preserve">D. </w:t>
      </w:r>
      <w:r>
        <w:rPr>
          <w:rFonts w:ascii="Times New Roman" w:hAnsi="Times New Roman" w:cs="Times New Roman"/>
          <w:sz w:val="28"/>
          <w:szCs w:val="28"/>
          <w:lang w:val="uk-UA"/>
        </w:rPr>
        <w:t xml:space="preserve">Kuo </w:t>
      </w:r>
      <w:r>
        <w:rPr>
          <w:rFonts w:ascii="Times New Roman" w:hAnsi="Times New Roman" w:cs="Times New Roman"/>
          <w:sz w:val="28"/>
          <w:szCs w:val="28"/>
        </w:rPr>
        <w:t>//</w:t>
      </w:r>
      <w:r w:rsidR="002767DC" w:rsidRPr="00062874">
        <w:rPr>
          <w:rFonts w:ascii="Times New Roman" w:hAnsi="Times New Roman" w:cs="Times New Roman"/>
          <w:sz w:val="28"/>
          <w:szCs w:val="28"/>
          <w:lang w:val="uk-UA"/>
        </w:rPr>
        <w:t xml:space="preserve"> Infect I</w:t>
      </w:r>
      <w:r>
        <w:rPr>
          <w:rFonts w:ascii="Times New Roman" w:hAnsi="Times New Roman" w:cs="Times New Roman"/>
          <w:sz w:val="28"/>
          <w:szCs w:val="28"/>
          <w:lang w:val="uk-UA"/>
        </w:rPr>
        <w:t>mmun.</w:t>
      </w:r>
      <w:r>
        <w:rPr>
          <w:rFonts w:ascii="Times New Roman" w:hAnsi="Times New Roman" w:cs="Times New Roman"/>
          <w:sz w:val="28"/>
          <w:szCs w:val="28"/>
        </w:rPr>
        <w:t xml:space="preserve"> – 2002. – Vol.</w:t>
      </w:r>
      <w:r>
        <w:rPr>
          <w:rFonts w:ascii="Times New Roman" w:hAnsi="Times New Roman" w:cs="Times New Roman"/>
          <w:sz w:val="28"/>
          <w:szCs w:val="28"/>
          <w:lang w:val="uk-UA"/>
        </w:rPr>
        <w:t xml:space="preserve"> 74(4).</w:t>
      </w:r>
      <w:r>
        <w:rPr>
          <w:rFonts w:ascii="Times New Roman" w:hAnsi="Times New Roman" w:cs="Times New Roman"/>
          <w:sz w:val="28"/>
          <w:szCs w:val="28"/>
        </w:rPr>
        <w:t xml:space="preserve"> –P.</w:t>
      </w:r>
      <w:r w:rsidR="002767DC" w:rsidRPr="00062874">
        <w:rPr>
          <w:rFonts w:ascii="Times New Roman" w:hAnsi="Times New Roman" w:cs="Times New Roman"/>
          <w:sz w:val="28"/>
          <w:szCs w:val="28"/>
          <w:lang w:val="uk-UA"/>
        </w:rPr>
        <w:t xml:space="preserve"> 2286-2292.</w:t>
      </w:r>
    </w:p>
    <w:p w14:paraId="61939F1F" w14:textId="54099C3D"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Saggu T</w:t>
      </w:r>
      <w:r>
        <w:rPr>
          <w:rFonts w:ascii="Times New Roman" w:hAnsi="Times New Roman" w:cs="Times New Roman"/>
          <w:sz w:val="28"/>
          <w:szCs w:val="28"/>
        </w:rPr>
        <w:t>.</w:t>
      </w:r>
      <w:r>
        <w:rPr>
          <w:rFonts w:ascii="Times New Roman" w:hAnsi="Times New Roman" w:cs="Times New Roman"/>
          <w:sz w:val="28"/>
          <w:szCs w:val="28"/>
          <w:lang w:val="uk-UA"/>
        </w:rPr>
        <w:t>K.</w:t>
      </w:r>
      <w:r w:rsidR="002767DC" w:rsidRPr="00062874">
        <w:rPr>
          <w:rFonts w:ascii="Times New Roman" w:hAnsi="Times New Roman" w:cs="Times New Roman"/>
          <w:sz w:val="28"/>
          <w:szCs w:val="28"/>
          <w:lang w:val="uk-UA"/>
        </w:rPr>
        <w:t xml:space="preserve"> Evaluation of salivary antioxidant enzyme</w:t>
      </w:r>
      <w:r>
        <w:rPr>
          <w:rFonts w:ascii="Times New Roman" w:hAnsi="Times New Roman" w:cs="Times New Roman"/>
          <w:sz w:val="28"/>
          <w:szCs w:val="28"/>
          <w:lang w:val="uk-UA"/>
        </w:rPr>
        <w:t xml:space="preserve">s among smokers and nonsmokers / </w:t>
      </w:r>
      <w:r>
        <w:rPr>
          <w:rFonts w:ascii="Times New Roman" w:hAnsi="Times New Roman" w:cs="Times New Roman"/>
          <w:sz w:val="28"/>
          <w:szCs w:val="28"/>
        </w:rPr>
        <w:t xml:space="preserve">T.K. </w:t>
      </w:r>
      <w:r>
        <w:rPr>
          <w:rFonts w:ascii="Times New Roman" w:hAnsi="Times New Roman" w:cs="Times New Roman"/>
          <w:sz w:val="28"/>
          <w:szCs w:val="28"/>
          <w:lang w:val="uk-UA"/>
        </w:rPr>
        <w:t>Saggu</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K.M. </w:t>
      </w:r>
      <w:r>
        <w:rPr>
          <w:rFonts w:ascii="Times New Roman" w:hAnsi="Times New Roman" w:cs="Times New Roman"/>
          <w:sz w:val="28"/>
          <w:szCs w:val="28"/>
          <w:lang w:val="uk-UA"/>
        </w:rPr>
        <w:t>Masthan</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P.D. </w:t>
      </w:r>
      <w:r>
        <w:rPr>
          <w:rFonts w:ascii="Times New Roman" w:hAnsi="Times New Roman" w:cs="Times New Roman"/>
          <w:sz w:val="28"/>
          <w:szCs w:val="28"/>
          <w:lang w:val="uk-UA"/>
        </w:rPr>
        <w:t>Dudanakar</w:t>
      </w:r>
      <w:r>
        <w:rPr>
          <w:rFonts w:ascii="Times New Roman" w:hAnsi="Times New Roman" w:cs="Times New Roman"/>
          <w:sz w:val="28"/>
          <w:szCs w:val="28"/>
        </w:rPr>
        <w:t xml:space="preserve"> // </w:t>
      </w:r>
      <w:r w:rsidR="002767DC" w:rsidRPr="00062874">
        <w:rPr>
          <w:rFonts w:ascii="Times New Roman" w:hAnsi="Times New Roman" w:cs="Times New Roman"/>
          <w:sz w:val="28"/>
          <w:szCs w:val="28"/>
          <w:lang w:val="uk-UA"/>
        </w:rPr>
        <w:t>World J Dent</w:t>
      </w:r>
      <w:r>
        <w:rPr>
          <w:rFonts w:ascii="Times New Roman" w:hAnsi="Times New Roman" w:cs="Times New Roman"/>
          <w:sz w:val="28"/>
          <w:szCs w:val="28"/>
        </w:rPr>
        <w:t>. – 2012. – Vol.</w:t>
      </w:r>
      <w:r>
        <w:rPr>
          <w:rFonts w:ascii="Times New Roman" w:hAnsi="Times New Roman" w:cs="Times New Roman"/>
          <w:sz w:val="28"/>
          <w:szCs w:val="28"/>
          <w:lang w:val="uk-UA"/>
        </w:rPr>
        <w:t xml:space="preserve"> 3.</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18–21.</w:t>
      </w:r>
      <w:r w:rsidR="002767DC" w:rsidRPr="00062874">
        <w:rPr>
          <w:rFonts w:ascii="Times New Roman" w:hAnsi="Times New Roman" w:cs="Times New Roman"/>
          <w:sz w:val="28"/>
          <w:szCs w:val="28"/>
          <w:lang w:val="uk-UA"/>
        </w:rPr>
        <w:t xml:space="preserve"> </w:t>
      </w:r>
    </w:p>
    <w:p w14:paraId="774C4BB0" w14:textId="7AF11B30"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R</w:t>
      </w:r>
      <w:r w:rsidR="005D66AA">
        <w:rPr>
          <w:rFonts w:ascii="Times New Roman" w:hAnsi="Times New Roman" w:cs="Times New Roman"/>
          <w:sz w:val="28"/>
          <w:szCs w:val="28"/>
          <w:lang w:val="uk-UA"/>
        </w:rPr>
        <w:t>ai B.</w:t>
      </w:r>
      <w:r w:rsidRPr="00062874">
        <w:rPr>
          <w:rFonts w:ascii="Times New Roman" w:hAnsi="Times New Roman" w:cs="Times New Roman"/>
          <w:sz w:val="28"/>
          <w:szCs w:val="28"/>
          <w:lang w:val="uk-UA"/>
        </w:rPr>
        <w:t xml:space="preserve"> Salivary lipid peroxidation product malonalde</w:t>
      </w:r>
      <w:r w:rsidR="007F754F">
        <w:rPr>
          <w:rFonts w:ascii="Times New Roman" w:hAnsi="Times New Roman" w:cs="Times New Roman"/>
          <w:sz w:val="28"/>
          <w:szCs w:val="28"/>
        </w:rPr>
        <w:t>alde</w:t>
      </w:r>
      <w:r w:rsidRPr="00062874">
        <w:rPr>
          <w:rFonts w:ascii="Times New Roman" w:hAnsi="Times New Roman" w:cs="Times New Roman"/>
          <w:sz w:val="28"/>
          <w:szCs w:val="28"/>
          <w:lang w:val="uk-UA"/>
        </w:rPr>
        <w:t>h</w:t>
      </w:r>
      <w:r w:rsidR="005D66AA">
        <w:rPr>
          <w:rFonts w:ascii="Times New Roman" w:hAnsi="Times New Roman" w:cs="Times New Roman"/>
          <w:sz w:val="28"/>
          <w:szCs w:val="28"/>
          <w:lang w:val="uk-UA"/>
        </w:rPr>
        <w:t xml:space="preserve">yde in various dental diseases / </w:t>
      </w:r>
      <w:r w:rsidR="005D66AA">
        <w:rPr>
          <w:rFonts w:ascii="Times New Roman" w:hAnsi="Times New Roman" w:cs="Times New Roman"/>
          <w:sz w:val="28"/>
          <w:szCs w:val="28"/>
        </w:rPr>
        <w:t xml:space="preserve">B. </w:t>
      </w:r>
      <w:r w:rsidR="005D66AA">
        <w:rPr>
          <w:rFonts w:ascii="Times New Roman" w:hAnsi="Times New Roman" w:cs="Times New Roman"/>
          <w:sz w:val="28"/>
          <w:szCs w:val="28"/>
          <w:lang w:val="uk-UA"/>
        </w:rPr>
        <w:t xml:space="preserve">Rai, </w:t>
      </w:r>
      <w:r w:rsidR="005D66AA">
        <w:rPr>
          <w:rFonts w:ascii="Times New Roman" w:hAnsi="Times New Roman" w:cs="Times New Roman"/>
          <w:sz w:val="28"/>
          <w:szCs w:val="28"/>
        </w:rPr>
        <w:t xml:space="preserve">S. </w:t>
      </w:r>
      <w:r w:rsidR="005D66AA">
        <w:rPr>
          <w:rFonts w:ascii="Times New Roman" w:hAnsi="Times New Roman" w:cs="Times New Roman"/>
          <w:sz w:val="28"/>
          <w:szCs w:val="28"/>
          <w:lang w:val="uk-UA"/>
        </w:rPr>
        <w:t xml:space="preserve">Kharb, </w:t>
      </w:r>
      <w:r w:rsidR="005D66AA">
        <w:rPr>
          <w:rFonts w:ascii="Times New Roman" w:hAnsi="Times New Roman" w:cs="Times New Roman"/>
          <w:sz w:val="28"/>
          <w:szCs w:val="28"/>
        </w:rPr>
        <w:t xml:space="preserve">R. </w:t>
      </w:r>
      <w:r w:rsidR="005D66AA">
        <w:rPr>
          <w:rFonts w:ascii="Times New Roman" w:hAnsi="Times New Roman" w:cs="Times New Roman"/>
          <w:sz w:val="28"/>
          <w:szCs w:val="28"/>
          <w:lang w:val="uk-UA"/>
        </w:rPr>
        <w:t>Jain</w:t>
      </w:r>
      <w:r w:rsidR="005D66AA">
        <w:rPr>
          <w:rFonts w:ascii="Times New Roman" w:hAnsi="Times New Roman" w:cs="Times New Roman"/>
          <w:sz w:val="28"/>
          <w:szCs w:val="28"/>
        </w:rPr>
        <w:t xml:space="preserve"> // </w:t>
      </w:r>
      <w:r w:rsidRPr="00062874">
        <w:rPr>
          <w:rFonts w:ascii="Times New Roman" w:hAnsi="Times New Roman" w:cs="Times New Roman"/>
          <w:sz w:val="28"/>
          <w:szCs w:val="28"/>
          <w:lang w:val="uk-UA"/>
        </w:rPr>
        <w:t>Wor</w:t>
      </w:r>
      <w:r w:rsidR="005D66AA">
        <w:rPr>
          <w:rFonts w:ascii="Times New Roman" w:hAnsi="Times New Roman" w:cs="Times New Roman"/>
          <w:sz w:val="28"/>
          <w:szCs w:val="28"/>
          <w:lang w:val="uk-UA"/>
        </w:rPr>
        <w:t>ld J Med Sci.</w:t>
      </w:r>
      <w:r w:rsidR="005D66AA">
        <w:rPr>
          <w:rFonts w:ascii="Times New Roman" w:hAnsi="Times New Roman" w:cs="Times New Roman"/>
          <w:sz w:val="28"/>
          <w:szCs w:val="28"/>
        </w:rPr>
        <w:t xml:space="preserve"> </w:t>
      </w:r>
      <w:r w:rsidR="007F754F">
        <w:rPr>
          <w:rFonts w:ascii="Times New Roman" w:hAnsi="Times New Roman" w:cs="Times New Roman"/>
          <w:sz w:val="28"/>
          <w:szCs w:val="28"/>
        </w:rPr>
        <w:t xml:space="preserve">– 2006. </w:t>
      </w:r>
      <w:r w:rsidR="005D66AA">
        <w:rPr>
          <w:rFonts w:ascii="Times New Roman" w:hAnsi="Times New Roman" w:cs="Times New Roman"/>
          <w:sz w:val="28"/>
          <w:szCs w:val="28"/>
        </w:rPr>
        <w:t>– Vol. 1. – P.</w:t>
      </w:r>
      <w:r w:rsidR="005D66AA">
        <w:rPr>
          <w:rFonts w:ascii="Times New Roman" w:hAnsi="Times New Roman" w:cs="Times New Roman"/>
          <w:sz w:val="28"/>
          <w:szCs w:val="28"/>
          <w:lang w:val="uk-UA"/>
        </w:rPr>
        <w:t xml:space="preserve"> 100–101</w:t>
      </w:r>
      <w:r w:rsidR="007F754F">
        <w:rPr>
          <w:rFonts w:ascii="Times New Roman" w:hAnsi="Times New Roman" w:cs="Times New Roman"/>
          <w:sz w:val="28"/>
          <w:szCs w:val="28"/>
        </w:rPr>
        <w:t>.</w:t>
      </w:r>
    </w:p>
    <w:p w14:paraId="4500A090" w14:textId="24036CA8" w:rsidR="002767DC"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Reuter S</w:t>
      </w:r>
      <w:r w:rsidR="005D66AA">
        <w:rPr>
          <w:rFonts w:ascii="Times New Roman" w:hAnsi="Times New Roman" w:cs="Times New Roman"/>
          <w:sz w:val="28"/>
          <w:szCs w:val="28"/>
          <w:lang w:val="uk-UA"/>
        </w:rPr>
        <w:t xml:space="preserve">. </w:t>
      </w:r>
      <w:r w:rsidRPr="00062874">
        <w:rPr>
          <w:rFonts w:ascii="Times New Roman" w:hAnsi="Times New Roman" w:cs="Times New Roman"/>
          <w:sz w:val="28"/>
          <w:szCs w:val="28"/>
          <w:lang w:val="uk-UA"/>
        </w:rPr>
        <w:t xml:space="preserve">Oxidative stress, inflammation, and cancer: How are they linked? </w:t>
      </w:r>
      <w:r w:rsidR="005D66AA">
        <w:rPr>
          <w:rFonts w:ascii="Times New Roman" w:hAnsi="Times New Roman" w:cs="Times New Roman"/>
          <w:sz w:val="28"/>
          <w:szCs w:val="28"/>
        </w:rPr>
        <w:t xml:space="preserve">/ S. </w:t>
      </w:r>
      <w:r w:rsidR="005D66AA">
        <w:rPr>
          <w:rFonts w:ascii="Times New Roman" w:hAnsi="Times New Roman" w:cs="Times New Roman"/>
          <w:sz w:val="28"/>
          <w:szCs w:val="28"/>
          <w:lang w:val="uk-UA"/>
        </w:rPr>
        <w:t>Reuter</w:t>
      </w:r>
      <w:r w:rsidR="005D66AA" w:rsidRPr="00062874">
        <w:rPr>
          <w:rFonts w:ascii="Times New Roman" w:hAnsi="Times New Roman" w:cs="Times New Roman"/>
          <w:sz w:val="28"/>
          <w:szCs w:val="28"/>
          <w:lang w:val="uk-UA"/>
        </w:rPr>
        <w:t>, S</w:t>
      </w:r>
      <w:r w:rsidR="005D66AA">
        <w:rPr>
          <w:rFonts w:ascii="Times New Roman" w:hAnsi="Times New Roman" w:cs="Times New Roman"/>
          <w:sz w:val="28"/>
          <w:szCs w:val="28"/>
        </w:rPr>
        <w:t>.</w:t>
      </w:r>
      <w:r w:rsidR="005D66AA" w:rsidRPr="00062874">
        <w:rPr>
          <w:rFonts w:ascii="Times New Roman" w:hAnsi="Times New Roman" w:cs="Times New Roman"/>
          <w:sz w:val="28"/>
          <w:szCs w:val="28"/>
          <w:lang w:val="uk-UA"/>
        </w:rPr>
        <w:t>C</w:t>
      </w:r>
      <w:r w:rsidR="005D66AA">
        <w:rPr>
          <w:rFonts w:ascii="Times New Roman" w:hAnsi="Times New Roman" w:cs="Times New Roman"/>
          <w:sz w:val="28"/>
          <w:szCs w:val="28"/>
        </w:rPr>
        <w:t xml:space="preserve">. </w:t>
      </w:r>
      <w:r w:rsidR="005D66AA" w:rsidRPr="00062874">
        <w:rPr>
          <w:rFonts w:ascii="Times New Roman" w:hAnsi="Times New Roman" w:cs="Times New Roman"/>
          <w:sz w:val="28"/>
          <w:szCs w:val="28"/>
          <w:lang w:val="uk-UA"/>
        </w:rPr>
        <w:t>Gupta, M</w:t>
      </w:r>
      <w:r w:rsidR="005D66AA">
        <w:rPr>
          <w:rFonts w:ascii="Times New Roman" w:hAnsi="Times New Roman" w:cs="Times New Roman"/>
          <w:sz w:val="28"/>
          <w:szCs w:val="28"/>
        </w:rPr>
        <w:t>.</w:t>
      </w:r>
      <w:r w:rsidR="005D66AA" w:rsidRPr="00062874">
        <w:rPr>
          <w:rFonts w:ascii="Times New Roman" w:hAnsi="Times New Roman" w:cs="Times New Roman"/>
          <w:sz w:val="28"/>
          <w:szCs w:val="28"/>
          <w:lang w:val="uk-UA"/>
        </w:rPr>
        <w:t>M</w:t>
      </w:r>
      <w:r w:rsidR="005D66AA">
        <w:rPr>
          <w:rFonts w:ascii="Times New Roman" w:hAnsi="Times New Roman" w:cs="Times New Roman"/>
          <w:sz w:val="28"/>
          <w:szCs w:val="28"/>
        </w:rPr>
        <w:t xml:space="preserve">. </w:t>
      </w:r>
      <w:r w:rsidR="005D66AA" w:rsidRPr="00062874">
        <w:rPr>
          <w:rFonts w:ascii="Times New Roman" w:hAnsi="Times New Roman" w:cs="Times New Roman"/>
          <w:sz w:val="28"/>
          <w:szCs w:val="28"/>
          <w:lang w:val="uk-UA"/>
        </w:rPr>
        <w:t xml:space="preserve">Chaturvedi </w:t>
      </w:r>
      <w:r w:rsidR="005D66AA">
        <w:rPr>
          <w:rFonts w:ascii="Times New Roman" w:hAnsi="Times New Roman" w:cs="Times New Roman"/>
          <w:sz w:val="28"/>
          <w:szCs w:val="28"/>
        </w:rPr>
        <w:t xml:space="preserve"> // </w:t>
      </w:r>
      <w:r w:rsidRPr="00062874">
        <w:rPr>
          <w:rFonts w:ascii="Times New Roman" w:hAnsi="Times New Roman" w:cs="Times New Roman"/>
          <w:sz w:val="28"/>
          <w:szCs w:val="28"/>
          <w:lang w:val="uk-UA"/>
        </w:rPr>
        <w:t>Free Radic Biol Med</w:t>
      </w:r>
      <w:r w:rsidR="005D66AA">
        <w:rPr>
          <w:rFonts w:ascii="Times New Roman" w:hAnsi="Times New Roman" w:cs="Times New Roman"/>
          <w:sz w:val="28"/>
          <w:szCs w:val="28"/>
        </w:rPr>
        <w:t>. – 2010. – Vol.</w:t>
      </w:r>
      <w:r w:rsidR="005D66AA">
        <w:rPr>
          <w:rFonts w:ascii="Times New Roman" w:hAnsi="Times New Roman" w:cs="Times New Roman"/>
          <w:sz w:val="28"/>
          <w:szCs w:val="28"/>
          <w:lang w:val="uk-UA"/>
        </w:rPr>
        <w:t xml:space="preserve"> 49.</w:t>
      </w:r>
      <w:r w:rsidR="005D66AA">
        <w:rPr>
          <w:rFonts w:ascii="Times New Roman" w:hAnsi="Times New Roman" w:cs="Times New Roman"/>
          <w:sz w:val="28"/>
          <w:szCs w:val="28"/>
        </w:rPr>
        <w:t xml:space="preserve"> – P.</w:t>
      </w:r>
      <w:r w:rsidR="005D66AA">
        <w:rPr>
          <w:rFonts w:ascii="Times New Roman" w:hAnsi="Times New Roman" w:cs="Times New Roman"/>
          <w:sz w:val="28"/>
          <w:szCs w:val="28"/>
          <w:lang w:val="uk-UA"/>
        </w:rPr>
        <w:t xml:space="preserve"> 1603–1616.</w:t>
      </w:r>
    </w:p>
    <w:p w14:paraId="441C9771" w14:textId="5482483C"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Saxena S. </w:t>
      </w:r>
      <w:r w:rsidR="002767DC" w:rsidRPr="00062874">
        <w:rPr>
          <w:rFonts w:ascii="Times New Roman" w:hAnsi="Times New Roman" w:cs="Times New Roman"/>
          <w:sz w:val="28"/>
          <w:szCs w:val="28"/>
          <w:lang w:val="uk-UA"/>
        </w:rPr>
        <w:t>Assessment of plasma and salivary antioxidant status in patients with</w:t>
      </w:r>
      <w:r>
        <w:rPr>
          <w:rFonts w:ascii="Times New Roman" w:hAnsi="Times New Roman" w:cs="Times New Roman"/>
          <w:sz w:val="28"/>
          <w:szCs w:val="28"/>
          <w:lang w:val="uk-UA"/>
        </w:rPr>
        <w:t xml:space="preserve"> recurrent aphthous stomatitis / S. </w:t>
      </w:r>
      <w:r w:rsidRPr="00062874">
        <w:rPr>
          <w:rFonts w:ascii="Times New Roman" w:hAnsi="Times New Roman" w:cs="Times New Roman"/>
          <w:sz w:val="28"/>
          <w:szCs w:val="28"/>
          <w:lang w:val="uk-UA"/>
        </w:rPr>
        <w:t xml:space="preserve">Saxena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RSBO</w:t>
      </w:r>
      <w:r>
        <w:rPr>
          <w:rFonts w:ascii="Times New Roman" w:hAnsi="Times New Roman" w:cs="Times New Roman"/>
          <w:sz w:val="28"/>
          <w:szCs w:val="28"/>
        </w:rPr>
        <w:t>. – 2011. – Vol.</w:t>
      </w:r>
      <w:r>
        <w:rPr>
          <w:rFonts w:ascii="Times New Roman" w:hAnsi="Times New Roman" w:cs="Times New Roman"/>
          <w:sz w:val="28"/>
          <w:szCs w:val="28"/>
          <w:lang w:val="uk-UA"/>
        </w:rPr>
        <w:t xml:space="preserve"> 8.</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261–265.</w:t>
      </w:r>
    </w:p>
    <w:p w14:paraId="17EAAFCE" w14:textId="77EA6A84"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Brock G. R.</w:t>
      </w:r>
      <w:r w:rsidR="002767DC" w:rsidRPr="00062874">
        <w:rPr>
          <w:rFonts w:ascii="Times New Roman" w:hAnsi="Times New Roman" w:cs="Times New Roman"/>
          <w:sz w:val="28"/>
          <w:szCs w:val="28"/>
          <w:lang w:val="uk-UA"/>
        </w:rPr>
        <w:t xml:space="preserve"> Local and systemic total antioxidant capacity in periodontitis and he</w:t>
      </w:r>
      <w:r>
        <w:rPr>
          <w:rFonts w:ascii="Times New Roman" w:hAnsi="Times New Roman" w:cs="Times New Roman"/>
          <w:sz w:val="28"/>
          <w:szCs w:val="28"/>
          <w:lang w:val="uk-UA"/>
        </w:rPr>
        <w:t xml:space="preserve">alth / </w:t>
      </w:r>
      <w:r w:rsidRPr="00062874">
        <w:rPr>
          <w:rFonts w:ascii="Times New Roman" w:hAnsi="Times New Roman" w:cs="Times New Roman"/>
          <w:sz w:val="28"/>
          <w:szCs w:val="28"/>
          <w:lang w:val="uk-UA"/>
        </w:rPr>
        <w:t>G. R.</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Brock, </w:t>
      </w:r>
      <w:r w:rsidRPr="00062874">
        <w:rPr>
          <w:rFonts w:ascii="Times New Roman" w:hAnsi="Times New Roman" w:cs="Times New Roman"/>
          <w:sz w:val="28"/>
          <w:szCs w:val="28"/>
          <w:lang w:val="uk-UA"/>
        </w:rPr>
        <w:t>C. J.</w:t>
      </w:r>
      <w:r>
        <w:rPr>
          <w:rFonts w:ascii="Times New Roman" w:hAnsi="Times New Roman" w:cs="Times New Roman"/>
          <w:sz w:val="28"/>
          <w:szCs w:val="28"/>
        </w:rPr>
        <w:t xml:space="preserve"> </w:t>
      </w:r>
      <w:r>
        <w:rPr>
          <w:rFonts w:ascii="Times New Roman" w:hAnsi="Times New Roman" w:cs="Times New Roman"/>
          <w:sz w:val="28"/>
          <w:szCs w:val="28"/>
          <w:lang w:val="uk-UA"/>
        </w:rPr>
        <w:t>Butterworth</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C. </w:t>
      </w:r>
      <w:r w:rsidRPr="00062874">
        <w:rPr>
          <w:rFonts w:ascii="Times New Roman" w:hAnsi="Times New Roman" w:cs="Times New Roman"/>
          <w:sz w:val="28"/>
          <w:szCs w:val="28"/>
          <w:lang w:val="uk-UA"/>
        </w:rPr>
        <w:t xml:space="preserve">Matthews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 xml:space="preserve">J. </w:t>
      </w:r>
      <w:r w:rsidR="002767DC">
        <w:rPr>
          <w:rFonts w:ascii="Times New Roman" w:hAnsi="Times New Roman" w:cs="Times New Roman"/>
          <w:sz w:val="28"/>
          <w:szCs w:val="28"/>
          <w:lang w:val="uk-UA"/>
        </w:rPr>
        <w:t>Clin. Periodontol.</w:t>
      </w:r>
      <w:r>
        <w:rPr>
          <w:rFonts w:ascii="Times New Roman" w:hAnsi="Times New Roman" w:cs="Times New Roman"/>
          <w:sz w:val="28"/>
          <w:szCs w:val="28"/>
        </w:rPr>
        <w:t xml:space="preserve"> – 2004. – Vol.</w:t>
      </w:r>
      <w:r>
        <w:rPr>
          <w:rFonts w:ascii="Times New Roman" w:hAnsi="Times New Roman" w:cs="Times New Roman"/>
          <w:sz w:val="28"/>
          <w:szCs w:val="28"/>
          <w:lang w:val="uk-UA"/>
        </w:rPr>
        <w:t xml:space="preserve"> 31.</w:t>
      </w:r>
      <w:r>
        <w:rPr>
          <w:rFonts w:ascii="Times New Roman" w:hAnsi="Times New Roman" w:cs="Times New Roman"/>
          <w:sz w:val="28"/>
          <w:szCs w:val="28"/>
        </w:rPr>
        <w:t xml:space="preserve"> – P.</w:t>
      </w:r>
      <w:r w:rsidR="002767DC">
        <w:rPr>
          <w:rFonts w:ascii="Times New Roman" w:hAnsi="Times New Roman" w:cs="Times New Roman"/>
          <w:sz w:val="28"/>
          <w:szCs w:val="28"/>
          <w:lang w:val="uk-UA"/>
        </w:rPr>
        <w:t xml:space="preserve"> 515–521</w:t>
      </w:r>
      <w:r>
        <w:rPr>
          <w:rFonts w:ascii="Times New Roman" w:hAnsi="Times New Roman" w:cs="Times New Roman"/>
          <w:sz w:val="28"/>
          <w:szCs w:val="28"/>
        </w:rPr>
        <w:t>.</w:t>
      </w:r>
    </w:p>
    <w:p w14:paraId="21673EF0" w14:textId="6318FC61" w:rsidR="002767DC" w:rsidRDefault="005D66AA"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Baltacioglu E</w:t>
      </w:r>
      <w:r w:rsidR="002767DC" w:rsidRPr="00062874">
        <w:rPr>
          <w:rFonts w:ascii="Times New Roman" w:hAnsi="Times New Roman" w:cs="Times New Roman"/>
          <w:sz w:val="28"/>
          <w:szCs w:val="28"/>
          <w:lang w:val="uk-UA"/>
        </w:rPr>
        <w:t>. Lipid peroxidation levels and total oxidant/antioxidant status in serum and saliva from patients with chronic and aggressive periodontitis. Oxidative stress index: a new bio</w:t>
      </w:r>
      <w:r w:rsidR="00D73E0B">
        <w:rPr>
          <w:rFonts w:ascii="Times New Roman" w:hAnsi="Times New Roman" w:cs="Times New Roman"/>
          <w:sz w:val="28"/>
          <w:szCs w:val="28"/>
          <w:lang w:val="uk-UA"/>
        </w:rPr>
        <w:t>marker for periodontal disease?</w:t>
      </w:r>
      <w:r>
        <w:rPr>
          <w:rFonts w:ascii="Times New Roman" w:hAnsi="Times New Roman" w:cs="Times New Roman"/>
          <w:sz w:val="28"/>
          <w:szCs w:val="28"/>
        </w:rPr>
        <w:t xml:space="preserve"> / </w:t>
      </w:r>
      <w:r w:rsidRPr="00062874">
        <w:rPr>
          <w:rFonts w:ascii="Times New Roman" w:hAnsi="Times New Roman" w:cs="Times New Roman"/>
          <w:sz w:val="28"/>
          <w:szCs w:val="28"/>
          <w:lang w:val="uk-UA"/>
        </w:rPr>
        <w:t>E.</w:t>
      </w:r>
      <w:r>
        <w:rPr>
          <w:rFonts w:ascii="Times New Roman" w:hAnsi="Times New Roman" w:cs="Times New Roman"/>
          <w:sz w:val="28"/>
          <w:szCs w:val="28"/>
        </w:rPr>
        <w:t xml:space="preserve"> </w:t>
      </w:r>
      <w:r>
        <w:rPr>
          <w:rFonts w:ascii="Times New Roman" w:hAnsi="Times New Roman" w:cs="Times New Roman"/>
          <w:sz w:val="28"/>
          <w:szCs w:val="28"/>
          <w:lang w:val="uk-UA"/>
        </w:rPr>
        <w:t>ltacioglu</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P. </w:t>
      </w:r>
      <w:r>
        <w:rPr>
          <w:rFonts w:ascii="Times New Roman" w:hAnsi="Times New Roman" w:cs="Times New Roman"/>
          <w:sz w:val="28"/>
          <w:szCs w:val="28"/>
          <w:lang w:val="uk-UA"/>
        </w:rPr>
        <w:t>Yuva</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G. </w:t>
      </w:r>
      <w:r>
        <w:rPr>
          <w:rFonts w:ascii="Times New Roman" w:hAnsi="Times New Roman" w:cs="Times New Roman"/>
          <w:sz w:val="28"/>
          <w:szCs w:val="28"/>
          <w:lang w:val="uk-UA"/>
        </w:rPr>
        <w:t>Aydin</w:t>
      </w:r>
      <w:r w:rsidRPr="00062874">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sidR="002767DC" w:rsidRPr="00062874">
        <w:rPr>
          <w:rFonts w:ascii="Times New Roman" w:hAnsi="Times New Roman" w:cs="Times New Roman"/>
          <w:sz w:val="28"/>
          <w:szCs w:val="28"/>
          <w:lang w:val="uk-UA"/>
        </w:rPr>
        <w:t>J. Periodontol.</w:t>
      </w:r>
      <w:r>
        <w:rPr>
          <w:rFonts w:ascii="Times New Roman" w:hAnsi="Times New Roman" w:cs="Times New Roman"/>
          <w:sz w:val="28"/>
          <w:szCs w:val="28"/>
        </w:rPr>
        <w:t xml:space="preserve"> – 2014. –Vol.</w:t>
      </w:r>
      <w:r>
        <w:rPr>
          <w:rFonts w:ascii="Times New Roman" w:hAnsi="Times New Roman" w:cs="Times New Roman"/>
          <w:sz w:val="28"/>
          <w:szCs w:val="28"/>
          <w:lang w:val="uk-UA"/>
        </w:rPr>
        <w:t xml:space="preserve"> 85.</w:t>
      </w:r>
      <w:r>
        <w:rPr>
          <w:rFonts w:ascii="Times New Roman" w:hAnsi="Times New Roman" w:cs="Times New Roman"/>
          <w:sz w:val="28"/>
          <w:szCs w:val="28"/>
        </w:rPr>
        <w:t xml:space="preserve"> – P.</w:t>
      </w:r>
      <w:r>
        <w:rPr>
          <w:rFonts w:ascii="Times New Roman" w:hAnsi="Times New Roman" w:cs="Times New Roman"/>
          <w:sz w:val="28"/>
          <w:szCs w:val="28"/>
          <w:lang w:val="uk-UA"/>
        </w:rPr>
        <w:t xml:space="preserve"> 1432–1441.</w:t>
      </w:r>
      <w:r w:rsidRPr="005D66AA">
        <w:rPr>
          <w:rFonts w:ascii="Times New Roman" w:hAnsi="Times New Roman" w:cs="Times New Roman"/>
          <w:sz w:val="28"/>
          <w:szCs w:val="28"/>
          <w:lang w:val="uk-UA"/>
        </w:rPr>
        <w:t xml:space="preserve"> </w:t>
      </w:r>
    </w:p>
    <w:p w14:paraId="10E65382" w14:textId="25080CB0" w:rsidR="002767DC" w:rsidRPr="00876160" w:rsidRDefault="002767DC" w:rsidP="002767DC">
      <w:pPr>
        <w:pStyle w:val="ListParagraph"/>
        <w:numPr>
          <w:ilvl w:val="0"/>
          <w:numId w:val="9"/>
        </w:numPr>
        <w:tabs>
          <w:tab w:val="left" w:pos="0"/>
        </w:tabs>
        <w:spacing w:after="0" w:line="360" w:lineRule="auto"/>
        <w:ind w:left="0"/>
        <w:jc w:val="both"/>
        <w:rPr>
          <w:rFonts w:ascii="Times New Roman" w:hAnsi="Times New Roman" w:cs="Times New Roman"/>
          <w:sz w:val="28"/>
          <w:szCs w:val="28"/>
          <w:lang w:val="uk-UA"/>
        </w:rPr>
      </w:pPr>
      <w:r w:rsidRPr="00062874">
        <w:rPr>
          <w:rFonts w:ascii="Times New Roman" w:hAnsi="Times New Roman" w:cs="Times New Roman"/>
          <w:sz w:val="28"/>
          <w:szCs w:val="28"/>
          <w:lang w:val="uk-UA"/>
        </w:rPr>
        <w:t>G</w:t>
      </w:r>
      <w:r w:rsidR="005D66AA">
        <w:rPr>
          <w:rFonts w:ascii="Times New Roman" w:hAnsi="Times New Roman" w:cs="Times New Roman"/>
          <w:sz w:val="28"/>
          <w:szCs w:val="28"/>
          <w:lang w:val="uk-UA"/>
        </w:rPr>
        <w:t>ümü S.P.</w:t>
      </w:r>
      <w:r w:rsidRPr="00062874">
        <w:rPr>
          <w:rFonts w:ascii="Times New Roman" w:hAnsi="Times New Roman" w:cs="Times New Roman"/>
          <w:sz w:val="28"/>
          <w:szCs w:val="28"/>
          <w:lang w:val="uk-UA"/>
        </w:rPr>
        <w:t xml:space="preserve"> Salivary antioxidants in patients with type 1 or 2 diabetes and inflammatory periodontal</w:t>
      </w:r>
      <w:r w:rsidR="005D66AA">
        <w:rPr>
          <w:rFonts w:ascii="Times New Roman" w:hAnsi="Times New Roman" w:cs="Times New Roman"/>
          <w:sz w:val="28"/>
          <w:szCs w:val="28"/>
          <w:lang w:val="uk-UA"/>
        </w:rPr>
        <w:t xml:space="preserve"> disease: a case-control study / </w:t>
      </w:r>
      <w:r w:rsidR="00BA62CB">
        <w:rPr>
          <w:rFonts w:ascii="Times New Roman" w:hAnsi="Times New Roman" w:cs="Times New Roman"/>
          <w:sz w:val="28"/>
          <w:szCs w:val="28"/>
        </w:rPr>
        <w:t xml:space="preserve">S.P. </w:t>
      </w:r>
      <w:r w:rsidR="00BA62CB">
        <w:rPr>
          <w:rFonts w:ascii="Times New Roman" w:hAnsi="Times New Roman" w:cs="Times New Roman"/>
          <w:sz w:val="28"/>
          <w:szCs w:val="28"/>
          <w:lang w:val="uk-UA"/>
        </w:rPr>
        <w:t>Gümü</w:t>
      </w:r>
      <w:r w:rsidR="005D66AA" w:rsidRPr="00062874">
        <w:rPr>
          <w:rFonts w:ascii="Times New Roman" w:hAnsi="Times New Roman" w:cs="Times New Roman"/>
          <w:sz w:val="28"/>
          <w:szCs w:val="28"/>
          <w:lang w:val="uk-UA"/>
        </w:rPr>
        <w:t xml:space="preserve">, </w:t>
      </w:r>
      <w:r w:rsidR="00BA62CB">
        <w:rPr>
          <w:rFonts w:ascii="Times New Roman" w:hAnsi="Times New Roman" w:cs="Times New Roman"/>
          <w:sz w:val="28"/>
          <w:szCs w:val="28"/>
        </w:rPr>
        <w:t xml:space="preserve">N. </w:t>
      </w:r>
      <w:r w:rsidR="00BA62CB">
        <w:rPr>
          <w:rFonts w:ascii="Times New Roman" w:hAnsi="Times New Roman" w:cs="Times New Roman"/>
          <w:sz w:val="28"/>
          <w:szCs w:val="28"/>
          <w:lang w:val="uk-UA"/>
        </w:rPr>
        <w:t xml:space="preserve">Buduneli, </w:t>
      </w:r>
      <w:r w:rsidR="00BA62CB">
        <w:rPr>
          <w:rFonts w:ascii="Times New Roman" w:hAnsi="Times New Roman" w:cs="Times New Roman"/>
          <w:sz w:val="28"/>
          <w:szCs w:val="28"/>
        </w:rPr>
        <w:t xml:space="preserve">S. </w:t>
      </w:r>
      <w:r w:rsidR="00BA62CB">
        <w:rPr>
          <w:rFonts w:ascii="Times New Roman" w:hAnsi="Times New Roman" w:cs="Times New Roman"/>
          <w:sz w:val="28"/>
          <w:szCs w:val="28"/>
          <w:lang w:val="uk-UA"/>
        </w:rPr>
        <w:t>Cetinkalp</w:t>
      </w:r>
      <w:r w:rsidR="005D66AA">
        <w:rPr>
          <w:rFonts w:ascii="Times New Roman" w:hAnsi="Times New Roman" w:cs="Times New Roman"/>
          <w:sz w:val="28"/>
          <w:szCs w:val="28"/>
          <w:lang w:val="uk-UA"/>
        </w:rPr>
        <w:t xml:space="preserve"> </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J. Periodontol</w:t>
      </w:r>
      <w:r w:rsidR="005D66AA" w:rsidRPr="005D66AA">
        <w:rPr>
          <w:rFonts w:ascii="Times New Roman" w:hAnsi="Times New Roman" w:cs="Times New Roman"/>
          <w:sz w:val="28"/>
          <w:szCs w:val="28"/>
          <w:lang w:val="uk-UA"/>
        </w:rPr>
        <w:t>.</w:t>
      </w:r>
      <w:r w:rsidR="005D66AA">
        <w:rPr>
          <w:rFonts w:ascii="Times New Roman" w:hAnsi="Times New Roman" w:cs="Times New Roman"/>
          <w:sz w:val="28"/>
          <w:szCs w:val="28"/>
          <w:lang w:val="uk-UA"/>
        </w:rPr>
        <w:t xml:space="preserve"> – 2009</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w:t>
      </w:r>
      <w:r w:rsidR="005D66AA">
        <w:rPr>
          <w:rFonts w:ascii="Times New Roman" w:hAnsi="Times New Roman" w:cs="Times New Roman"/>
          <w:sz w:val="28"/>
          <w:szCs w:val="28"/>
        </w:rPr>
        <w:t>Vol</w:t>
      </w:r>
      <w:r w:rsidR="005D66AA" w:rsidRPr="005D66AA">
        <w:rPr>
          <w:rFonts w:ascii="Times New Roman" w:hAnsi="Times New Roman" w:cs="Times New Roman"/>
          <w:sz w:val="28"/>
          <w:szCs w:val="28"/>
          <w:lang w:val="uk-UA"/>
        </w:rPr>
        <w:t>.</w:t>
      </w:r>
      <w:r w:rsidR="005D66AA">
        <w:rPr>
          <w:rFonts w:ascii="Times New Roman" w:hAnsi="Times New Roman" w:cs="Times New Roman"/>
          <w:sz w:val="28"/>
          <w:szCs w:val="28"/>
          <w:lang w:val="uk-UA"/>
        </w:rPr>
        <w:t xml:space="preserve"> 80.</w:t>
      </w:r>
      <w:r w:rsidR="005D66AA" w:rsidRPr="005D66AA">
        <w:rPr>
          <w:rFonts w:ascii="Times New Roman" w:hAnsi="Times New Roman" w:cs="Times New Roman"/>
          <w:sz w:val="28"/>
          <w:szCs w:val="28"/>
          <w:lang w:val="uk-UA"/>
        </w:rPr>
        <w:t xml:space="preserve"> </w:t>
      </w:r>
      <w:r w:rsidR="005D66AA">
        <w:rPr>
          <w:rFonts w:ascii="Times New Roman" w:hAnsi="Times New Roman" w:cs="Times New Roman"/>
          <w:sz w:val="28"/>
          <w:szCs w:val="28"/>
          <w:lang w:val="uk-UA"/>
        </w:rPr>
        <w:t>–</w:t>
      </w:r>
      <w:r w:rsidR="005D66AA">
        <w:rPr>
          <w:rFonts w:ascii="Times New Roman" w:hAnsi="Times New Roman" w:cs="Times New Roman"/>
          <w:sz w:val="28"/>
          <w:szCs w:val="28"/>
        </w:rPr>
        <w:t xml:space="preserve"> P.</w:t>
      </w:r>
      <w:r>
        <w:rPr>
          <w:rFonts w:ascii="Times New Roman" w:hAnsi="Times New Roman" w:cs="Times New Roman"/>
          <w:sz w:val="28"/>
          <w:szCs w:val="28"/>
          <w:lang w:val="uk-UA"/>
        </w:rPr>
        <w:t xml:space="preserve"> 1440–1446. </w:t>
      </w:r>
    </w:p>
    <w:p w14:paraId="4B841446" w14:textId="250AACCE" w:rsidR="005B5BB4" w:rsidRDefault="005B5BB4">
      <w:pPr>
        <w:rPr>
          <w:rFonts w:ascii="Times New Roman" w:hAnsi="Times New Roman"/>
          <w:sz w:val="28"/>
          <w:szCs w:val="28"/>
          <w:lang w:val="uk-UA"/>
        </w:rPr>
      </w:pPr>
      <w:r>
        <w:rPr>
          <w:rFonts w:ascii="Times New Roman" w:hAnsi="Times New Roman"/>
          <w:sz w:val="28"/>
          <w:szCs w:val="28"/>
          <w:lang w:val="uk-UA"/>
        </w:rPr>
        <w:br w:type="page"/>
      </w:r>
    </w:p>
    <w:p w14:paraId="2594197A" w14:textId="3DA23177" w:rsidR="005B5BB4" w:rsidRDefault="005B5BB4" w:rsidP="00EE0234">
      <w:pPr>
        <w:pStyle w:val="Heading1"/>
        <w:spacing w:before="0" w:line="360" w:lineRule="auto"/>
        <w:jc w:val="center"/>
        <w:rPr>
          <w:rFonts w:ascii="Times New Roman" w:hAnsi="Times New Roman" w:cs="Times New Roman"/>
          <w:color w:val="auto"/>
          <w:sz w:val="28"/>
          <w:szCs w:val="28"/>
          <w:lang w:val="uk-UA"/>
        </w:rPr>
      </w:pPr>
      <w:bookmarkStart w:id="45" w:name="_Toc507575335"/>
      <w:r w:rsidRPr="00EE0234">
        <w:rPr>
          <w:rFonts w:ascii="Times New Roman" w:hAnsi="Times New Roman" w:cs="Times New Roman"/>
          <w:color w:val="auto"/>
          <w:sz w:val="28"/>
          <w:szCs w:val="28"/>
          <w:lang w:val="uk-UA"/>
        </w:rPr>
        <w:t>ДОДАТКИ</w:t>
      </w:r>
      <w:bookmarkEnd w:id="45"/>
    </w:p>
    <w:p w14:paraId="6C97CBC9" w14:textId="77777777" w:rsidR="00EE0234" w:rsidRPr="00EE0234" w:rsidRDefault="00EE0234" w:rsidP="00EE0234">
      <w:pPr>
        <w:spacing w:after="0"/>
        <w:rPr>
          <w:lang w:val="uk-UA"/>
        </w:rPr>
      </w:pPr>
    </w:p>
    <w:p w14:paraId="42CE6334" w14:textId="5E97A42F" w:rsidR="00713CF7" w:rsidRPr="00EE0234" w:rsidRDefault="00713CF7" w:rsidP="00EE0234">
      <w:pPr>
        <w:widowControl w:val="0"/>
        <w:suppressAutoHyphens/>
        <w:autoSpaceDE w:val="0"/>
        <w:spacing w:after="0" w:line="360" w:lineRule="auto"/>
        <w:ind w:left="786"/>
        <w:jc w:val="both"/>
        <w:rPr>
          <w:rFonts w:ascii="Times New Roman" w:eastAsia="Times New Roman" w:hAnsi="Times New Roman" w:cs="Times New Roman"/>
          <w:sz w:val="28"/>
          <w:szCs w:val="28"/>
          <w:lang w:val="uk-UA" w:eastAsia="ar-SA"/>
        </w:rPr>
      </w:pPr>
      <w:r w:rsidRPr="00EE0234">
        <w:rPr>
          <w:rFonts w:ascii="Times New Roman" w:eastAsia="Times New Roman" w:hAnsi="Times New Roman" w:cs="Times New Roman"/>
          <w:sz w:val="28"/>
          <w:szCs w:val="28"/>
          <w:lang w:val="uk-UA" w:eastAsia="ar-SA"/>
        </w:rPr>
        <w:t>Список публікацій за темою дисертації:</w:t>
      </w:r>
    </w:p>
    <w:p w14:paraId="1CE9378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14:paraId="3A04718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2017.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2.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С.57-61.</w:t>
      </w:r>
    </w:p>
    <w:p w14:paraId="57839A4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Выявление факторов риска развития стоматологических заболеваний среди школьников г. Харькова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Медицина сегодня и завтра. – 2016. – №4 (73).– </w:t>
      </w:r>
      <w:r w:rsidRPr="00DD39D0">
        <w:rPr>
          <w:rFonts w:ascii="Times New Roman" w:eastAsia="Times New Roman" w:hAnsi="Times New Roman"/>
          <w:sz w:val="28"/>
          <w:szCs w:val="28"/>
          <w:lang w:val="uk-UA" w:eastAsia="ar-SA"/>
        </w:rPr>
        <w:t>С</w:t>
      </w:r>
      <w:r w:rsidRPr="00DD39D0">
        <w:rPr>
          <w:rFonts w:ascii="Times New Roman" w:eastAsia="Times New Roman" w:hAnsi="Times New Roman"/>
          <w:sz w:val="28"/>
          <w:szCs w:val="28"/>
          <w:lang w:val="ru-RU" w:eastAsia="ar-SA"/>
        </w:rPr>
        <w:t>.92-95</w:t>
      </w:r>
      <w:r w:rsidRPr="00DD39D0">
        <w:rPr>
          <w:rFonts w:ascii="Times New Roman" w:eastAsia="Times New Roman" w:hAnsi="Times New Roman"/>
          <w:sz w:val="28"/>
          <w:szCs w:val="28"/>
          <w:lang w:val="uk-UA" w:eastAsia="ar-SA"/>
        </w:rPr>
        <w:t>.</w:t>
      </w:r>
    </w:p>
    <w:p w14:paraId="6EC1D6D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Особенности стоматологического статуса детей, рожденных преждевременно (обзор литературы)</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Л.</w:t>
      </w:r>
      <w:r w:rsidRPr="00DD39D0">
        <w:rPr>
          <w:rFonts w:ascii="Times New Roman" w:eastAsia="Times New Roman" w:hAnsi="Times New Roman"/>
          <w:sz w:val="28"/>
          <w:szCs w:val="28"/>
          <w:lang w:val="uk-UA" w:eastAsia="ar-SA"/>
        </w:rPr>
        <w:t xml:space="preserve"> С. Кривенко // </w:t>
      </w:r>
      <w:r w:rsidRPr="00DD39D0">
        <w:rPr>
          <w:rFonts w:ascii="Times New Roman" w:eastAsia="Times New Roman" w:hAnsi="Times New Roman"/>
          <w:sz w:val="28"/>
          <w:szCs w:val="28"/>
          <w:lang w:val="ru-RU" w:eastAsia="ar-SA"/>
        </w:rPr>
        <w:t>Вісник проблем медицини та біології</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2014</w:t>
      </w:r>
      <w:r w:rsidRPr="00DD39D0">
        <w:rPr>
          <w:rFonts w:ascii="Times New Roman" w:eastAsia="Times New Roman" w:hAnsi="Times New Roman"/>
          <w:sz w:val="28"/>
          <w:szCs w:val="28"/>
          <w:lang w:val="uk-UA" w:eastAsia="ar-SA"/>
        </w:rPr>
        <w:t>. – №</w:t>
      </w:r>
      <w:r w:rsidRPr="00DD39D0">
        <w:rPr>
          <w:rFonts w:ascii="Times New Roman" w:eastAsia="Times New Roman" w:hAnsi="Times New Roman"/>
          <w:sz w:val="28"/>
          <w:szCs w:val="28"/>
          <w:lang w:val="ru-RU" w:eastAsia="ar-SA"/>
        </w:rPr>
        <w:t xml:space="preserve"> 4, </w:t>
      </w:r>
      <w:r w:rsidRPr="00DD39D0">
        <w:rPr>
          <w:rFonts w:ascii="Times New Roman" w:eastAsia="Times New Roman" w:hAnsi="Times New Roman"/>
          <w:sz w:val="28"/>
          <w:szCs w:val="28"/>
          <w:lang w:val="uk-UA" w:eastAsia="ar-SA"/>
        </w:rPr>
        <w:t xml:space="preserve">Том 3 (115). </w:t>
      </w:r>
      <w:r w:rsidRPr="00DD39D0">
        <w:rPr>
          <w:rFonts w:ascii="Times New Roman" w:eastAsia="Times New Roman" w:hAnsi="Times New Roman"/>
          <w:sz w:val="28"/>
          <w:szCs w:val="28"/>
          <w:lang w:val="uk-UA" w:eastAsia="ar-SA"/>
        </w:rPr>
        <w:br/>
        <w:t xml:space="preserve">– С. </w:t>
      </w:r>
      <w:r w:rsidRPr="00DD39D0">
        <w:rPr>
          <w:rFonts w:ascii="Times New Roman" w:eastAsia="Times New Roman" w:hAnsi="Times New Roman"/>
          <w:sz w:val="28"/>
          <w:szCs w:val="28"/>
          <w:lang w:val="ru-RU" w:eastAsia="ar-SA"/>
        </w:rPr>
        <w:t>20-24</w:t>
      </w:r>
      <w:r w:rsidRPr="00DD39D0">
        <w:rPr>
          <w:rFonts w:ascii="Times New Roman" w:eastAsia="Times New Roman" w:hAnsi="Times New Roman"/>
          <w:sz w:val="28"/>
          <w:szCs w:val="28"/>
          <w:lang w:val="uk-UA" w:eastAsia="ar-SA"/>
        </w:rPr>
        <w:t>.</w:t>
      </w:r>
    </w:p>
    <w:p w14:paraId="1D5C533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DD39D0">
        <w:rPr>
          <w:rFonts w:ascii="Times New Roman" w:eastAsia="Times New Roman" w:hAnsi="Times New Roman"/>
          <w:sz w:val="28"/>
          <w:szCs w:val="28"/>
          <w:lang w:val="uk-UA" w:eastAsia="ar-SA"/>
        </w:rPr>
        <w:br/>
        <w:t>Л. С. Кривенко // Новини стоматології. – 2017. – №4 (93). – С.72-74.</w:t>
      </w:r>
    </w:p>
    <w:p w14:paraId="79F1661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Досвід генотипування дітей мешканців Харківської області з проявами гінгівіту на тлі атопічних захворювань за </w:t>
      </w:r>
      <w:r w:rsidRPr="00DD39D0">
        <w:rPr>
          <w:rFonts w:ascii="Times New Roman" w:eastAsia="Times New Roman" w:hAnsi="Times New Roman"/>
          <w:sz w:val="28"/>
          <w:szCs w:val="28"/>
          <w:lang w:val="ru-RU" w:eastAsia="ar-SA"/>
        </w:rPr>
        <w:t>snp</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rs</w:t>
      </w:r>
      <w:r w:rsidRPr="00DD39D0">
        <w:rPr>
          <w:rFonts w:ascii="Times New Roman" w:eastAsia="Times New Roman" w:hAnsi="Times New Roman"/>
          <w:sz w:val="28"/>
          <w:szCs w:val="28"/>
          <w:lang w:val="uk-UA" w:eastAsia="ar-SA"/>
        </w:rPr>
        <w:t>1801270 / Л. С. Кривенко // Клінічна та експериментальна патологія. – 2017. – №2 (60), ч.2. – С. 33-36.</w:t>
      </w:r>
    </w:p>
    <w:p w14:paraId="3CE60C3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14:paraId="606EA89D"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Динаміка біомаркерів ротової рідини при лікуванні хронічного гінгівіту у дітей з атопічними захворюванням / </w:t>
      </w:r>
      <w:r w:rsidRPr="00DD39D0">
        <w:rPr>
          <w:rFonts w:ascii="Times New Roman" w:eastAsia="Times New Roman" w:hAnsi="Times New Roman"/>
          <w:sz w:val="28"/>
          <w:szCs w:val="28"/>
          <w:lang w:val="uk-UA" w:eastAsia="ar-SA"/>
        </w:rPr>
        <w:br/>
        <w:t>Л. С. Кривенко // Український журнал медицини, біології та спорту. – 2017. – №3(5). – С.145-149.</w:t>
      </w:r>
    </w:p>
    <w:p w14:paraId="10476FB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Характеристика клітин букального епітелію дітей, хворих на атопічні захворювання, та їх стоматологічний статус / </w:t>
      </w:r>
      <w:r w:rsidRPr="00DD39D0">
        <w:rPr>
          <w:rFonts w:ascii="Times New Roman" w:eastAsia="Times New Roman" w:hAnsi="Times New Roman"/>
          <w:sz w:val="28"/>
          <w:szCs w:val="28"/>
          <w:lang w:val="uk-UA" w:eastAsia="ar-SA"/>
        </w:rPr>
        <w:br/>
        <w:t>Л. С. Кривенко // Актуальні проблеми сучасної медицини: Вісник Української медичної  стоматологічної академії.</w:t>
      </w:r>
      <w:r w:rsidRPr="007B622F">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t>– 2017. – № 4 (60), том 17. – С. 134-137.</w:t>
      </w:r>
    </w:p>
    <w:p w14:paraId="1F94BF4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14:paraId="287AE8CD"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Pr>
          <w:rFonts w:ascii="Times New Roman" w:eastAsia="Times New Roman" w:hAnsi="Times New Roman"/>
          <w:sz w:val="28"/>
          <w:szCs w:val="28"/>
          <w:lang w:eastAsia="ar-SA"/>
        </w:rPr>
        <w:t>Kri</w:t>
      </w:r>
      <w:r w:rsidRPr="00DD39D0">
        <w:rPr>
          <w:rFonts w:ascii="Times New Roman" w:eastAsia="Times New Roman" w:hAnsi="Times New Roman"/>
          <w:sz w:val="28"/>
          <w:szCs w:val="28"/>
          <w:lang w:eastAsia="ar-SA"/>
        </w:rPr>
        <w:t>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Influence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maternal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development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Pr="00DD39D0">
        <w:rPr>
          <w:rFonts w:ascii="Times New Roman" w:eastAsia="Times New Roman" w:hAnsi="Times New Roman"/>
          <w:sz w:val="28"/>
          <w:szCs w:val="28"/>
          <w:lang w:eastAsia="ar-SA"/>
        </w:rPr>
        <w:t>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collegas</w:t>
      </w:r>
      <w:r w:rsidRPr="00DD39D0">
        <w:rPr>
          <w:rFonts w:ascii="Times New Roman" w:eastAsia="Times New Roman" w:hAnsi="Times New Roman"/>
          <w:sz w:val="28"/>
          <w:szCs w:val="28"/>
          <w:lang w:val="uk-UA" w:eastAsia="ar-SA"/>
        </w:rPr>
        <w:t xml:space="preserve">. – 2015. – 3 (4).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.386-391. https://inter.knmu.edu.ua/?journal=pub&amp;page=article&amp;op=view&amp;path%5B%5D=99 (</w:t>
      </w:r>
      <w:r w:rsidRPr="00DD39D0">
        <w:rPr>
          <w:rFonts w:ascii="Times New Roman" w:eastAsia="Times New Roman" w:hAnsi="Times New Roman"/>
          <w:i/>
          <w:sz w:val="28"/>
          <w:szCs w:val="28"/>
          <w:lang w:val="uk-UA" w:eastAsia="ar-SA"/>
        </w:rPr>
        <w:t>Дисертантом виконано обстеження дітей з атопічними захворюваннями та здійснено аналіз отриманих даних</w:t>
      </w:r>
      <w:r w:rsidRPr="00DD39D0">
        <w:rPr>
          <w:rFonts w:ascii="Times New Roman" w:eastAsia="Times New Roman" w:hAnsi="Times New Roman"/>
          <w:sz w:val="28"/>
          <w:szCs w:val="28"/>
          <w:lang w:val="uk-UA" w:eastAsia="ar-SA"/>
        </w:rPr>
        <w:t>)</w:t>
      </w:r>
    </w:p>
    <w:p w14:paraId="0E41CA6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Comparative analysis of the role of domestic allergens in atopic dermatitis etiology in children /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eastAsia="ar-SA"/>
        </w:rPr>
        <w:t>M</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Uryvayva,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Lupaltsova,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Staruseva,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Rybka,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Kryvenko // Inter collegas. – 2015. – 2 (3). – С.205-211. https://inter.knmu.edu.ua/?journal=pub&amp;page=article&amp;op=view&amp;path%5B%5D=67 (</w:t>
      </w:r>
      <w:r w:rsidRPr="00DD39D0">
        <w:rPr>
          <w:rFonts w:ascii="Times New Roman" w:eastAsia="Times New Roman" w:hAnsi="Times New Roman"/>
          <w:i/>
          <w:sz w:val="28"/>
          <w:szCs w:val="28"/>
          <w:lang w:val="uk-UA" w:eastAsia="ar-SA"/>
        </w:rPr>
        <w:t>Дисертантом виконано аналіз отриманих даних щодо провідної ролі алергенів у розвитку атопічного дерматиту у дітей)</w:t>
      </w:r>
    </w:p>
    <w:p w14:paraId="0CFF9C2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451654D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 xml:space="preserve">Л. С. Кривенко, Р. С. Назарян // Вісник проблем медицини та біології. – 2016. – </w:t>
      </w:r>
      <w:r>
        <w:rPr>
          <w:rFonts w:ascii="Times New Roman" w:eastAsia="Times New Roman" w:hAnsi="Times New Roman"/>
          <w:sz w:val="28"/>
          <w:szCs w:val="28"/>
          <w:lang w:val="uk-UA" w:eastAsia="ar-SA"/>
        </w:rPr>
        <w:t>Вип. 3, Т.2 (132)</w:t>
      </w:r>
      <w:r w:rsidRPr="00DD39D0">
        <w:rPr>
          <w:rFonts w:ascii="Times New Roman" w:eastAsia="Times New Roman" w:hAnsi="Times New Roman"/>
          <w:sz w:val="28"/>
          <w:szCs w:val="28"/>
          <w:lang w:val="uk-UA" w:eastAsia="ar-SA"/>
        </w:rPr>
        <w:t xml:space="preserve"> – С. 132-138.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регресійний аналіз отриманих даних</w:t>
      </w:r>
      <w:r w:rsidRPr="00DD39D0">
        <w:rPr>
          <w:rFonts w:ascii="Times New Roman" w:eastAsia="Times New Roman" w:hAnsi="Times New Roman"/>
          <w:sz w:val="28"/>
          <w:szCs w:val="28"/>
          <w:lang w:val="uk-UA" w:eastAsia="ar-SA"/>
        </w:rPr>
        <w:t>)</w:t>
      </w:r>
    </w:p>
    <w:p w14:paraId="04C2942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Закономірності розвитку та формування зубощелепної системи дітей, народжених передчасно / </w:t>
      </w:r>
      <w:r w:rsidRPr="00DD39D0">
        <w:rPr>
          <w:rFonts w:ascii="Times New Roman" w:eastAsia="Times New Roman" w:hAnsi="Times New Roman"/>
          <w:sz w:val="28"/>
          <w:szCs w:val="28"/>
          <w:lang w:val="uk-UA" w:eastAsia="ar-SA"/>
        </w:rPr>
        <w:t xml:space="preserve">І. Ю. </w:t>
      </w:r>
      <w:r w:rsidRPr="00DD39D0">
        <w:rPr>
          <w:rFonts w:ascii="Times New Roman" w:eastAsia="Times New Roman" w:hAnsi="Times New Roman"/>
          <w:sz w:val="28"/>
          <w:szCs w:val="28"/>
          <w:lang w:val="ru-RU" w:eastAsia="ar-SA"/>
        </w:rPr>
        <w:t xml:space="preserve">Кондратова, </w:t>
      </w:r>
      <w:r w:rsidRPr="00DD39D0">
        <w:rPr>
          <w:rFonts w:ascii="Times New Roman" w:eastAsia="Times New Roman" w:hAnsi="Times New Roman"/>
          <w:sz w:val="28"/>
          <w:szCs w:val="28"/>
          <w:lang w:val="ru-RU" w:eastAsia="ar-SA"/>
        </w:rPr>
        <w:br/>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 xml:space="preserve">Назарян, </w:t>
      </w:r>
      <w:r w:rsidRPr="00DD39D0">
        <w:rPr>
          <w:rFonts w:ascii="Times New Roman" w:eastAsia="Times New Roman" w:hAnsi="Times New Roman"/>
          <w:sz w:val="28"/>
          <w:szCs w:val="28"/>
          <w:lang w:val="uk-UA" w:eastAsia="ar-SA"/>
        </w:rPr>
        <w:t xml:space="preserve">А. О. </w:t>
      </w:r>
      <w:r w:rsidRPr="00DD39D0">
        <w:rPr>
          <w:rFonts w:ascii="Times New Roman" w:eastAsia="Times New Roman" w:hAnsi="Times New Roman"/>
          <w:sz w:val="28"/>
          <w:szCs w:val="28"/>
          <w:lang w:val="ru-RU" w:eastAsia="ar-SA"/>
        </w:rPr>
        <w:t>Хоценко</w:t>
      </w:r>
      <w:r w:rsidRPr="00DD39D0">
        <w:rPr>
          <w:rFonts w:ascii="Times New Roman" w:eastAsia="Times New Roman" w:hAnsi="Times New Roman"/>
          <w:sz w:val="28"/>
          <w:szCs w:val="28"/>
          <w:lang w:val="uk-UA" w:eastAsia="ar-SA"/>
        </w:rPr>
        <w:t>, Л. С. Кривенко</w:t>
      </w:r>
      <w:r w:rsidRPr="00DD39D0">
        <w:rPr>
          <w:rFonts w:ascii="Times New Roman" w:eastAsia="Times New Roman" w:hAnsi="Times New Roman"/>
          <w:sz w:val="28"/>
          <w:szCs w:val="28"/>
          <w:lang w:val="ru-RU" w:eastAsia="ar-SA"/>
        </w:rPr>
        <w:t xml:space="preserve"> // Медицина сегодня и завтра.</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2015.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 4 (69). –</w:t>
      </w:r>
      <w:r w:rsidRPr="00DD39D0">
        <w:rPr>
          <w:rFonts w:ascii="Times New Roman" w:eastAsia="Times New Roman" w:hAnsi="Times New Roman"/>
          <w:sz w:val="28"/>
          <w:szCs w:val="28"/>
          <w:lang w:val="uk-UA" w:eastAsia="ar-SA"/>
        </w:rPr>
        <w:t xml:space="preserve"> С. 125-127.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37BB5FC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r w:rsidRPr="0050759E">
        <w:rPr>
          <w:rFonts w:ascii="Times New Roman" w:eastAsia="Times New Roman" w:hAnsi="Times New Roman"/>
          <w:sz w:val="28"/>
          <w:szCs w:val="28"/>
          <w:lang w:val="uk-UA" w:eastAsia="ar-SA"/>
        </w:rPr>
        <w:t>.</w:t>
      </w:r>
    </w:p>
    <w:p w14:paraId="2A5668E7"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142D9">
        <w:rPr>
          <w:rFonts w:ascii="Times New Roman" w:eastAsia="Times New Roman" w:hAnsi="Times New Roman"/>
          <w:sz w:val="28"/>
          <w:szCs w:val="28"/>
          <w:lang w:val="uk-UA" w:eastAsia="ar-SA"/>
        </w:rPr>
        <w:t>Тканевая активность синтазы оксида азота в ротовой полости при атопической патологии / Р. С. Назарян, Л. С. Криве</w:t>
      </w:r>
      <w:r>
        <w:rPr>
          <w:rFonts w:ascii="Times New Roman" w:eastAsia="Times New Roman" w:hAnsi="Times New Roman"/>
          <w:sz w:val="28"/>
          <w:szCs w:val="28"/>
          <w:lang w:val="uk-UA" w:eastAsia="ar-SA"/>
        </w:rPr>
        <w:t>нко, В. В. Гаргин // Morphologia</w:t>
      </w:r>
      <w:r w:rsidRPr="00D142D9">
        <w:rPr>
          <w:rFonts w:ascii="Times New Roman" w:eastAsia="Times New Roman" w:hAnsi="Times New Roman"/>
          <w:sz w:val="28"/>
          <w:szCs w:val="28"/>
          <w:lang w:val="uk-UA" w:eastAsia="ar-SA"/>
        </w:rPr>
        <w:t>. - 2016. - Т. 10, № 3. - С. 212-216</w:t>
      </w:r>
      <w:r w:rsidRPr="00DD39D0">
        <w:rPr>
          <w:rFonts w:ascii="Times New Roman" w:eastAsia="Times New Roman" w:hAnsi="Times New Roman"/>
          <w:sz w:val="28"/>
          <w:szCs w:val="28"/>
          <w:lang w:val="uk-UA" w:eastAsia="ar-SA"/>
        </w:rPr>
        <w:t>.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50033950"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val="uk-UA" w:eastAsia="ar-SA"/>
        </w:rPr>
        <w:t xml:space="preserve">Кривенко Л. С. Перспектива використання поліморфізму гена </w:t>
      </w:r>
      <w:r w:rsidRPr="00DD39D0">
        <w:rPr>
          <w:rFonts w:ascii="Times New Roman" w:eastAsia="Times New Roman" w:hAnsi="Times New Roman"/>
          <w:sz w:val="28"/>
          <w:szCs w:val="28"/>
          <w:lang w:val="ru-RU" w:eastAsia="ar-SA"/>
        </w:rPr>
        <w:t>MUC</w:t>
      </w:r>
      <w:r w:rsidRPr="00DD39D0">
        <w:rPr>
          <w:rFonts w:ascii="Times New Roman" w:eastAsia="Times New Roman" w:hAnsi="Times New Roman"/>
          <w:sz w:val="28"/>
          <w:szCs w:val="28"/>
          <w:lang w:val="uk-UA" w:eastAsia="ar-SA"/>
        </w:rPr>
        <w:t>5</w:t>
      </w:r>
      <w:r w:rsidRPr="00DD39D0">
        <w:rPr>
          <w:rFonts w:ascii="Times New Roman" w:eastAsia="Times New Roman" w:hAnsi="Times New Roman"/>
          <w:sz w:val="28"/>
          <w:szCs w:val="28"/>
          <w:lang w:val="ru-RU" w:eastAsia="ar-SA"/>
        </w:rPr>
        <w:t>B</w:t>
      </w:r>
      <w:r w:rsidRPr="00DD39D0">
        <w:rPr>
          <w:rFonts w:ascii="Times New Roman" w:eastAsia="Times New Roman" w:hAnsi="Times New Roman"/>
          <w:sz w:val="28"/>
          <w:szCs w:val="28"/>
          <w:lang w:val="uk-UA" w:eastAsia="ar-SA"/>
        </w:rPr>
        <w:t xml:space="preserve">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26BA924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Можливості використання генетичних предикторів гінгівіту у дітей на тлі атопічних захворювань / Л. С. Кривенко, </w:t>
      </w:r>
      <w:r w:rsidRPr="00DD39D0">
        <w:rPr>
          <w:rFonts w:ascii="Times New Roman" w:eastAsia="Times New Roman" w:hAnsi="Times New Roman"/>
          <w:sz w:val="28"/>
          <w:szCs w:val="28"/>
          <w:lang w:val="uk-UA" w:eastAsia="ar-SA"/>
        </w:rPr>
        <w:br/>
        <w:t xml:space="preserve">Р. С. Назарян, Н. Є. Волкова, О. В. Горенська // Новини стоматології. – 2017. – №2 (91). – С. 89-92.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14:paraId="5E8A439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Functional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diagnostic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using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Electrical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Impedance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Tomography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Reconstruction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Internet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Things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Pulavskyi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Krivenko</w:t>
      </w:r>
      <w:r w:rsidRPr="00DD39D0">
        <w:rPr>
          <w:rFonts w:ascii="Times New Roman" w:eastAsia="Times New Roman" w:hAnsi="Times New Roman"/>
          <w:sz w:val="28"/>
          <w:szCs w:val="28"/>
          <w:lang w:val="uk-UA" w:eastAsia="ar-SA"/>
        </w:rPr>
        <w:t xml:space="preserve"> // 2017 6</w:t>
      </w:r>
      <w:r w:rsidRPr="00DD39D0">
        <w:rPr>
          <w:rFonts w:ascii="Times New Roman" w:eastAsia="Times New Roman" w:hAnsi="Times New Roman"/>
          <w:sz w:val="28"/>
          <w:szCs w:val="28"/>
          <w:lang w:eastAsia="ar-SA"/>
        </w:rPr>
        <w:t>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Mediterranean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Embedded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Computing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MECO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proceedings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research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monograph</w:t>
      </w:r>
      <w:r w:rsidRPr="00DD39D0">
        <w:rPr>
          <w:rFonts w:ascii="Times New Roman" w:eastAsia="Times New Roman" w:hAnsi="Times New Roman"/>
          <w:sz w:val="28"/>
          <w:szCs w:val="28"/>
          <w:lang w:val="uk-UA" w:eastAsia="ar-SA"/>
        </w:rPr>
        <w:t>. – 2017. – Р.379-382</w:t>
      </w:r>
      <w:r>
        <w:rPr>
          <w:rFonts w:ascii="Times New Roman" w:eastAsia="Times New Roman" w:hAnsi="Times New Roman"/>
          <w:sz w:val="28"/>
          <w:szCs w:val="28"/>
          <w:lang w:eastAsia="ar-SA"/>
        </w:rPr>
        <w:t>.</w:t>
      </w:r>
      <w:r w:rsidRPr="005F7384">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обстеження пацієнтів з захворюваннями легень, оброблено клінічні дані та оцінено дані додаткових методів обстеження)</w:t>
      </w:r>
    </w:p>
    <w:p w14:paraId="795018F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role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nitric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synthase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modulation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immune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response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Gargin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xml:space="preserve">.11, </w:t>
      </w:r>
      <w:r w:rsidRPr="00DD39D0">
        <w:rPr>
          <w:rFonts w:ascii="Times New Roman" w:eastAsia="Times New Roman" w:hAnsi="Times New Roman"/>
          <w:sz w:val="28"/>
          <w:szCs w:val="28"/>
          <w:lang w:val="uk-UA" w:eastAsia="ar-SA"/>
        </w:rPr>
        <w:t xml:space="preserve">№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10DA105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Коррекция иммунологического статуса при оптимизации лечения хронического гингивита на фоне атопических заболеваний детей 12-18 лет / </w:t>
      </w:r>
      <w:r w:rsidRPr="00DD39D0">
        <w:rPr>
          <w:rFonts w:ascii="Times New Roman" w:eastAsia="Times New Roman" w:hAnsi="Times New Roman"/>
          <w:sz w:val="28"/>
          <w:szCs w:val="28"/>
          <w:lang w:val="uk-UA" w:eastAsia="ar-SA"/>
        </w:rPr>
        <w:t xml:space="preserve">Л. С. Кривенко // </w:t>
      </w:r>
      <w:r w:rsidRPr="00DD39D0">
        <w:rPr>
          <w:rFonts w:ascii="Times New Roman" w:eastAsia="Times New Roman" w:hAnsi="Times New Roman"/>
          <w:sz w:val="28"/>
          <w:szCs w:val="28"/>
          <w:lang w:val="ru-RU" w:eastAsia="ar-SA"/>
        </w:rPr>
        <w:t>Современная стоматология</w:t>
      </w:r>
      <w:r>
        <w:rPr>
          <w:rFonts w:ascii="Times New Roman" w:eastAsia="Times New Roman" w:hAnsi="Times New Roman"/>
          <w:sz w:val="28"/>
          <w:szCs w:val="28"/>
          <w:lang w:val="ru-RU" w:eastAsia="ar-SA"/>
        </w:rPr>
        <w:t xml:space="preserve"> (Беларусь)</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№3. – 2017. – С.74-76.</w:t>
      </w:r>
    </w:p>
    <w:p w14:paraId="18B1F9B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Изменение иммунологических показателей при лечении хронического гингивита детей на фоне атопических заболеваний / </w:t>
      </w:r>
      <w:r w:rsidRPr="00DD39D0">
        <w:rPr>
          <w:rFonts w:ascii="Times New Roman" w:eastAsia="Times New Roman" w:hAnsi="Times New Roman"/>
          <w:sz w:val="28"/>
          <w:szCs w:val="28"/>
          <w:lang w:val="uk-UA" w:eastAsia="ar-SA"/>
        </w:rPr>
        <w:br/>
        <w:t>Л. С. Кривенко // Стоматолог</w:t>
      </w:r>
      <w:r>
        <w:rPr>
          <w:rFonts w:ascii="Times New Roman" w:eastAsia="Times New Roman" w:hAnsi="Times New Roman"/>
          <w:sz w:val="28"/>
          <w:szCs w:val="28"/>
          <w:lang w:val="uk-UA" w:eastAsia="ar-SA"/>
        </w:rPr>
        <w:t xml:space="preserve"> (Беларусь)</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2017. – № 4(27). – С.26-30.</w:t>
      </w:r>
    </w:p>
    <w:p w14:paraId="7EC634C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 lipid peroxidation and periodontal status detection in Ukrainian atopic children with Convolutional Neural Networks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 V. N. Bezruk, S. A. Krivenko // 2017 4th International Scientific-Practical 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“Problems of Infocommunications. Science</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Technology</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 2017.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ru-RU" w:eastAsia="ar-SA"/>
        </w:rPr>
        <w:t>.122-125.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проведений статистичний аналіз)</w:t>
      </w:r>
    </w:p>
    <w:p w14:paraId="14E398D4"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http:</w:t>
      </w:r>
      <w:r>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www.jocms.org </w:t>
      </w:r>
      <w:r w:rsidRPr="00D6133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index.php / ijph / article/ view/ 233</w:t>
      </w:r>
    </w:p>
    <w:p w14:paraId="7A6AAB1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Orthodontic aspects of dental status in prematurely born children / L. S. Kryvenko // </w:t>
      </w:r>
      <w:r w:rsidRPr="00DD39D0">
        <w:rPr>
          <w:rFonts w:ascii="Times New Roman" w:eastAsia="Times New Roman" w:hAnsi="Times New Roman"/>
          <w:sz w:val="28"/>
          <w:szCs w:val="28"/>
          <w:lang w:val="ru-RU" w:eastAsia="ar-SA"/>
        </w:rPr>
        <w:t>Наука</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и</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здравоохранение</w:t>
      </w:r>
      <w:r w:rsidRPr="0026295B">
        <w:rPr>
          <w:rFonts w:ascii="Times New Roman" w:eastAsia="Times New Roman" w:hAnsi="Times New Roman"/>
          <w:sz w:val="28"/>
          <w:szCs w:val="28"/>
          <w:lang w:eastAsia="ar-SA"/>
        </w:rPr>
        <w:t xml:space="preserve"> (</w:t>
      </w:r>
      <w:r>
        <w:rPr>
          <w:rFonts w:ascii="Times New Roman" w:eastAsia="Times New Roman" w:hAnsi="Times New Roman"/>
          <w:sz w:val="28"/>
          <w:szCs w:val="28"/>
          <w:lang w:val="ru-RU" w:eastAsia="ar-SA"/>
        </w:rPr>
        <w:t>Казахстан</w:t>
      </w:r>
      <w:r w:rsidRPr="0026295B">
        <w:rPr>
          <w:rFonts w:ascii="Times New Roman" w:eastAsia="Times New Roman" w:hAnsi="Times New Roman"/>
          <w:sz w:val="28"/>
          <w:szCs w:val="28"/>
          <w:lang w:eastAsia="ar-SA"/>
        </w:rPr>
        <w:t>)</w:t>
      </w:r>
      <w:r w:rsidRPr="00DD39D0">
        <w:rPr>
          <w:rFonts w:ascii="Times New Roman" w:eastAsia="Times New Roman" w:hAnsi="Times New Roman"/>
          <w:sz w:val="28"/>
          <w:szCs w:val="28"/>
          <w:lang w:eastAsia="ar-SA"/>
        </w:rPr>
        <w:t xml:space="preserve">. – 2014. – №6. – </w:t>
      </w:r>
      <w:r w:rsidRPr="00DD39D0">
        <w:rPr>
          <w:rFonts w:ascii="Times New Roman" w:eastAsia="Times New Roman" w:hAnsi="Times New Roman"/>
          <w:sz w:val="28"/>
          <w:szCs w:val="28"/>
          <w:lang w:val="ru-RU" w:eastAsia="ar-SA"/>
        </w:rPr>
        <w:t>С</w:t>
      </w:r>
      <w:r w:rsidRPr="00DD39D0">
        <w:rPr>
          <w:rFonts w:ascii="Times New Roman" w:eastAsia="Times New Roman" w:hAnsi="Times New Roman"/>
          <w:sz w:val="28"/>
          <w:szCs w:val="28"/>
          <w:lang w:eastAsia="ar-SA"/>
        </w:rPr>
        <w:t>.13-15</w:t>
      </w:r>
      <w:r w:rsidRPr="00DD39D0">
        <w:rPr>
          <w:rFonts w:ascii="Times New Roman" w:eastAsia="Times New Roman" w:hAnsi="Times New Roman"/>
          <w:sz w:val="28"/>
          <w:szCs w:val="28"/>
          <w:lang w:val="uk-UA" w:eastAsia="ar-SA"/>
        </w:rPr>
        <w:t>.</w:t>
      </w:r>
    </w:p>
    <w:p w14:paraId="6932ACC1"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The Pareto chart for caries intensity evaluation in children with allergic diseases / </w:t>
      </w:r>
      <w:r>
        <w:rPr>
          <w:rFonts w:ascii="Times New Roman" w:eastAsia="Times New Roman" w:hAnsi="Times New Roman"/>
          <w:sz w:val="28"/>
          <w:szCs w:val="28"/>
          <w:lang w:val="uk-UA" w:eastAsia="ar-SA"/>
        </w:rPr>
        <w:t>V.M.</w:t>
      </w:r>
      <w:r>
        <w:rPr>
          <w:rFonts w:ascii="Times New Roman" w:eastAsia="Times New Roman" w:hAnsi="Times New Roman"/>
          <w:sz w:val="28"/>
          <w:szCs w:val="28"/>
          <w:lang w:eastAsia="ar-SA"/>
        </w:rPr>
        <w:t xml:space="preserve"> </w:t>
      </w:r>
      <w:r>
        <w:rPr>
          <w:rFonts w:ascii="Times New Roman" w:eastAsia="Times New Roman" w:hAnsi="Times New Roman"/>
          <w:sz w:val="28"/>
          <w:szCs w:val="28"/>
          <w:lang w:val="uk-UA" w:eastAsia="ar-SA"/>
        </w:rPr>
        <w:t>Bezruk</w:t>
      </w:r>
      <w:r w:rsidRPr="00974C00">
        <w:rPr>
          <w:rFonts w:ascii="Times New Roman" w:eastAsia="Times New Roman" w:hAnsi="Times New Roman"/>
          <w:sz w:val="28"/>
          <w:szCs w:val="28"/>
          <w:lang w:val="uk-UA" w:eastAsia="ar-SA"/>
        </w:rPr>
        <w:t>, S.S.</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Kryvenko</w:t>
      </w:r>
      <w:r>
        <w:rPr>
          <w:rFonts w:ascii="Times New Roman" w:eastAsia="Times New Roman" w:hAnsi="Times New Roman"/>
          <w:sz w:val="28"/>
          <w:szCs w:val="28"/>
          <w:lang w:eastAsia="ar-SA"/>
        </w:rPr>
        <w:t xml:space="preserve">, </w:t>
      </w:r>
      <w:r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p>
    <w:p w14:paraId="581A5DD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analysis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Interventional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Medicine</w:t>
      </w:r>
      <w:r w:rsidRPr="00DD39D0">
        <w:rPr>
          <w:rFonts w:ascii="Times New Roman" w:eastAsia="Times New Roman" w:hAnsi="Times New Roman"/>
          <w:sz w:val="28"/>
          <w:szCs w:val="28"/>
          <w:lang w:val="uk-UA" w:eastAsia="ar-SA"/>
        </w:rPr>
        <w:t xml:space="preserve"> &amp; </w:t>
      </w:r>
      <w:r w:rsidRPr="00DD39D0">
        <w:rPr>
          <w:rFonts w:ascii="Times New Roman" w:eastAsia="Times New Roman" w:hAnsi="Times New Roman"/>
          <w:sz w:val="28"/>
          <w:szCs w:val="28"/>
          <w:lang w:eastAsia="ar-SA"/>
        </w:rPr>
        <w:t>Applied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Science</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Pr>
          <w:rFonts w:ascii="Times New Roman" w:eastAsia="Times New Roman" w:hAnsi="Times New Roman"/>
          <w:sz w:val="28"/>
          <w:szCs w:val="28"/>
          <w:lang w:val="uk-UA" w:eastAsia="ar-SA"/>
        </w:rPr>
        <w:t>. 9, №4</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1</w:t>
      </w:r>
      <w:r w:rsidRPr="00D61330">
        <w:rPr>
          <w:rFonts w:ascii="Times New Roman" w:eastAsia="Times New Roman" w:hAnsi="Times New Roman"/>
          <w:sz w:val="28"/>
          <w:szCs w:val="28"/>
          <w:lang w:val="uk-UA" w:eastAsia="ar-SA"/>
        </w:rPr>
        <w:t>99-203</w:t>
      </w:r>
      <w:r w:rsidRPr="00DD39D0">
        <w:rPr>
          <w:rFonts w:ascii="Times New Roman" w:eastAsia="Times New Roman" w:hAnsi="Times New Roman"/>
          <w:sz w:val="28"/>
          <w:szCs w:val="28"/>
          <w:lang w:val="uk-UA" w:eastAsia="ar-SA"/>
        </w:rPr>
        <w:t xml:space="preserve">. </w:t>
      </w:r>
      <w:r w:rsidRPr="00D61330">
        <w:rPr>
          <w:rFonts w:ascii="Times New Roman" w:eastAsia="Times New Roman" w:hAnsi="Times New Roman"/>
          <w:sz w:val="28"/>
          <w:szCs w:val="28"/>
          <w:lang w:val="uk-UA" w:eastAsia="ar-SA"/>
        </w:rPr>
        <w:t xml:space="preserve">https://doi.org/10.1556/1646.9.2017.32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проведено статистичний аналіз)</w:t>
      </w:r>
    </w:p>
    <w:p w14:paraId="068E4F35"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Характеристика антиоксидантної системи дітей з гінгівітом на тлі атопічних захворювань / Л.</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С. Кривенко // Вісник проблем біології і медицини. - №1 (135). -2017. – с.</w:t>
      </w:r>
      <w:r w:rsidRPr="00DD39D0">
        <w:rPr>
          <w:rFonts w:ascii="Times New Roman" w:eastAsia="Times New Roman" w:hAnsi="Times New Roman"/>
          <w:sz w:val="28"/>
          <w:szCs w:val="28"/>
          <w:lang w:val="uk-UA" w:eastAsia="ar-SA"/>
        </w:rPr>
        <w:t xml:space="preserve"> 326-327.</w:t>
      </w:r>
    </w:p>
    <w:p w14:paraId="1C8158C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115848 Україна, МПК G01N 33/48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a201700397; Заявлено 16.01.2017; Опубл. 26.12.2017, бюл. № 24.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винаходу та приклади клінічного застосування</w:t>
      </w:r>
      <w:r w:rsidRPr="00DD39D0">
        <w:rPr>
          <w:rFonts w:ascii="Times New Roman" w:eastAsia="Times New Roman" w:hAnsi="Times New Roman"/>
          <w:sz w:val="28"/>
          <w:szCs w:val="28"/>
          <w:lang w:val="uk-UA" w:eastAsia="ar-SA"/>
        </w:rPr>
        <w:t>)</w:t>
      </w:r>
    </w:p>
    <w:p w14:paraId="2937B0CC"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w:t>
      </w:r>
      <w:r>
        <w:rPr>
          <w:rFonts w:ascii="Times New Roman" w:eastAsia="Times New Roman" w:hAnsi="Times New Roman"/>
          <w:sz w:val="28"/>
          <w:szCs w:val="28"/>
          <w:lang w:val="uk-UA" w:eastAsia="ar-SA"/>
        </w:rPr>
        <w:t xml:space="preserve"> </w:t>
      </w:r>
      <w:r w:rsidRPr="0094668F">
        <w:rPr>
          <w:rFonts w:ascii="Times New Roman" w:eastAsia="Times New Roman" w:hAnsi="Times New Roman"/>
          <w:sz w:val="28"/>
          <w:szCs w:val="28"/>
          <w:lang w:val="uk-UA" w:eastAsia="ar-SA"/>
        </w:rPr>
        <w:t xml:space="preserve">116178 </w:t>
      </w:r>
      <w:r w:rsidRPr="00DD39D0">
        <w:rPr>
          <w:rFonts w:ascii="Times New Roman" w:eastAsia="Times New Roman" w:hAnsi="Times New Roman"/>
          <w:sz w:val="28"/>
          <w:szCs w:val="28"/>
          <w:lang w:val="uk-UA" w:eastAsia="ar-SA"/>
        </w:rPr>
        <w:t xml:space="preserve">Україна, </w:t>
      </w:r>
      <w:r>
        <w:rPr>
          <w:rFonts w:ascii="Times New Roman" w:eastAsia="Times New Roman" w:hAnsi="Times New Roman"/>
          <w:sz w:val="28"/>
          <w:szCs w:val="28"/>
          <w:lang w:val="uk-UA" w:eastAsia="ar-SA"/>
        </w:rPr>
        <w:t xml:space="preserve">МПК </w:t>
      </w:r>
      <w:r w:rsidRPr="00DD39D0">
        <w:rPr>
          <w:rFonts w:ascii="Times New Roman" w:eastAsia="Times New Roman" w:hAnsi="Times New Roman"/>
          <w:sz w:val="28"/>
          <w:szCs w:val="28"/>
          <w:lang w:val="uk-UA" w:eastAsia="ar-SA"/>
        </w:rPr>
        <w:t>G01N 33/48 (2006.01) Спосіб оцінки активності патологічного процесу порожнини рота при атопічній патології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Гаргін В.В. </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xml:space="preserve">). – Заявка </w:t>
      </w:r>
      <w:r>
        <w:rPr>
          <w:rFonts w:ascii="Times New Roman" w:eastAsia="Times New Roman" w:hAnsi="Times New Roman"/>
          <w:sz w:val="28"/>
          <w:szCs w:val="28"/>
          <w:lang w:val="uk-UA" w:eastAsia="ar-SA"/>
        </w:rPr>
        <w:t>а201700396; Заявлено 16.01.2017;</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Опубл. </w:t>
      </w:r>
      <w:r w:rsidRPr="0094668F">
        <w:rPr>
          <w:rFonts w:ascii="Times New Roman" w:eastAsia="Times New Roman" w:hAnsi="Times New Roman"/>
          <w:sz w:val="28"/>
          <w:szCs w:val="28"/>
          <w:lang w:val="uk-UA" w:eastAsia="ar-SA"/>
        </w:rPr>
        <w:t>12.02.2018, бюл. № 3</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Здобувачем запропонований протокол експериментального моделювання атопії, зібраний первинний матеріал, оброблені результати, написана формула винаходу та підготовлено текст заявки</w:t>
      </w:r>
      <w:r w:rsidRPr="00DD39D0">
        <w:rPr>
          <w:rFonts w:ascii="Times New Roman" w:eastAsia="Times New Roman" w:hAnsi="Times New Roman"/>
          <w:sz w:val="28"/>
          <w:szCs w:val="28"/>
          <w:lang w:val="uk-UA" w:eastAsia="ar-SA"/>
        </w:rPr>
        <w:t>).</w:t>
      </w:r>
    </w:p>
    <w:p w14:paraId="5886482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корисної моделі та приклади клінічного застосування, підготовлено текст заявки</w:t>
      </w:r>
      <w:r w:rsidRPr="00DD39D0">
        <w:rPr>
          <w:rFonts w:ascii="Times New Roman" w:eastAsia="Times New Roman" w:hAnsi="Times New Roman"/>
          <w:sz w:val="28"/>
          <w:szCs w:val="28"/>
          <w:lang w:val="uk-UA" w:eastAsia="ar-SA"/>
        </w:rPr>
        <w:t>)</w:t>
      </w:r>
    </w:p>
    <w:p w14:paraId="328B6D18"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Аналіз пародонтологічного статусу дітей, хворих на алергію / Л. С. Кривенко // Нове та традиційне у дослідженнях сучасних представників медичної науки: матеріали науково-практичної конференції, Львів, 27-28 лютого 2015 р. – Львів, 2015. – С.37-38.</w:t>
      </w:r>
    </w:p>
    <w:p w14:paraId="29E4F289"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Анатомические особенности полости рта детей, рожденных преждевременно / Л. С. Кривенко // Новые технологии в стоматологии: материа</w:t>
      </w:r>
      <w:r w:rsidRPr="00DD39D0">
        <w:rPr>
          <w:rFonts w:ascii="Times New Roman" w:eastAsia="Times New Roman" w:hAnsi="Times New Roman"/>
          <w:sz w:val="28"/>
          <w:szCs w:val="28"/>
          <w:lang w:val="ru-RU" w:eastAsia="ar-SA"/>
        </w:rPr>
        <w:t xml:space="preserve">лы </w:t>
      </w:r>
      <w:r w:rsidRPr="00DD39D0">
        <w:rPr>
          <w:rFonts w:ascii="Times New Roman" w:eastAsia="Times New Roman" w:hAnsi="Times New Roman"/>
          <w:sz w:val="28"/>
          <w:szCs w:val="28"/>
          <w:lang w:val="uk-UA" w:eastAsia="ar-SA"/>
        </w:rPr>
        <w:t>международной конференций челюстно-лицевых хирургов и стоматологов, 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3-5 июня 2015</w:t>
      </w:r>
      <w:r w:rsidRPr="00DD39D0">
        <w:rPr>
          <w:rFonts w:ascii="Times New Roman" w:eastAsia="Times New Roman" w:hAnsi="Times New Roman"/>
          <w:sz w:val="28"/>
          <w:szCs w:val="28"/>
          <w:lang w:val="uk-UA" w:eastAsia="ar-SA"/>
        </w:rPr>
        <w:t>.</w:t>
      </w:r>
      <w:r>
        <w:rPr>
          <w:rFonts w:ascii="Times New Roman" w:eastAsia="Times New Roman" w:hAnsi="Times New Roman"/>
          <w:sz w:val="28"/>
          <w:szCs w:val="28"/>
          <w:lang w:val="uk-UA" w:eastAsia="ar-SA"/>
        </w:rPr>
        <w:t xml:space="preserve"> – Санкт-Петербург, 2015. – С. 73</w:t>
      </w:r>
      <w:r w:rsidRPr="00DD39D0">
        <w:rPr>
          <w:rFonts w:ascii="Times New Roman" w:eastAsia="Times New Roman" w:hAnsi="Times New Roman"/>
          <w:sz w:val="28"/>
          <w:szCs w:val="28"/>
          <w:lang w:val="uk-UA" w:eastAsia="ar-SA"/>
        </w:rPr>
        <w:t>.</w:t>
      </w:r>
    </w:p>
    <w:p w14:paraId="4F3929D1"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Нуждаемость в ортодонтическом лечении детей, рожденных преждевременно / Л. С. Кривенко // Медицина третього тисячоліття: матеріали міжвузівської конференції молодих вчених та студентів, Харків, 19-21 січня 2015.</w:t>
      </w:r>
      <w:r w:rsidRPr="00DD39D0">
        <w:rPr>
          <w:rFonts w:ascii="Times New Roman" w:eastAsia="Times New Roman" w:hAnsi="Times New Roman"/>
          <w:sz w:val="28"/>
          <w:szCs w:val="28"/>
          <w:lang w:val="ru-RU" w:eastAsia="ar-SA"/>
        </w:rPr>
        <w:t xml:space="preserve"> – </w:t>
      </w:r>
      <w:r w:rsidRPr="00DD39D0">
        <w:rPr>
          <w:rFonts w:ascii="Times New Roman" w:eastAsia="Times New Roman" w:hAnsi="Times New Roman"/>
          <w:sz w:val="28"/>
          <w:szCs w:val="28"/>
          <w:lang w:val="uk-UA" w:eastAsia="ar-SA"/>
        </w:rPr>
        <w:t>Харків, 2015. - С. 452-453.</w:t>
      </w:r>
    </w:p>
    <w:p w14:paraId="5F060BAB"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Нуждаемость в ортодонтическом лечении детей с аллергическими заболеваниями в анамнезе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Новини та перспективи медичної науки: </w:t>
      </w:r>
      <w:r w:rsidRPr="00DD39D0">
        <w:rPr>
          <w:rFonts w:ascii="Times New Roman" w:eastAsia="Times New Roman" w:hAnsi="Times New Roman"/>
          <w:sz w:val="28"/>
          <w:szCs w:val="28"/>
          <w:lang w:val="uk-UA" w:eastAsia="ar-SA"/>
        </w:rPr>
        <w:t xml:space="preserve">матеріали </w:t>
      </w:r>
      <w:r w:rsidRPr="00DD39D0">
        <w:rPr>
          <w:rFonts w:ascii="Times New Roman" w:eastAsia="Times New Roman" w:hAnsi="Times New Roman"/>
          <w:sz w:val="28"/>
          <w:szCs w:val="28"/>
          <w:lang w:val="ru-RU" w:eastAsia="ar-SA"/>
        </w:rPr>
        <w:t>наукової медичної конференції студентів та молодих вчених, Дніпропетровськ</w:t>
      </w:r>
      <w:r>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ru-RU" w:eastAsia="ar-SA"/>
        </w:rPr>
        <w:t xml:space="preserve"> 14-15 квітня</w:t>
      </w:r>
      <w:r w:rsidRPr="00DD39D0">
        <w:rPr>
          <w:rFonts w:ascii="Times New Roman" w:eastAsia="Times New Roman" w:hAnsi="Times New Roman"/>
          <w:sz w:val="28"/>
          <w:szCs w:val="28"/>
          <w:lang w:val="uk-UA" w:eastAsia="ar-SA"/>
        </w:rPr>
        <w:t xml:space="preserve"> 2015</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Дніпропетровськ, 2015. -</w:t>
      </w:r>
      <w:r w:rsidRPr="00DD39D0">
        <w:rPr>
          <w:rFonts w:ascii="Times New Roman" w:eastAsia="Times New Roman" w:hAnsi="Times New Roman"/>
          <w:sz w:val="28"/>
          <w:szCs w:val="28"/>
          <w:lang w:val="ru-RU" w:eastAsia="ar-SA"/>
        </w:rPr>
        <w:t xml:space="preserve"> С.90</w:t>
      </w:r>
      <w:r>
        <w:rPr>
          <w:rFonts w:ascii="Times New Roman" w:eastAsia="Times New Roman" w:hAnsi="Times New Roman"/>
          <w:sz w:val="28"/>
          <w:szCs w:val="28"/>
          <w:lang w:val="ru-RU" w:eastAsia="ar-SA"/>
        </w:rPr>
        <w:t>-91</w:t>
      </w:r>
      <w:r w:rsidRPr="00DD39D0">
        <w:rPr>
          <w:rFonts w:ascii="Times New Roman" w:eastAsia="Times New Roman" w:hAnsi="Times New Roman"/>
          <w:sz w:val="28"/>
          <w:szCs w:val="28"/>
          <w:lang w:val="uk-UA" w:eastAsia="ar-SA"/>
        </w:rPr>
        <w:t>.</w:t>
      </w:r>
    </w:p>
    <w:p w14:paraId="05FA89AC"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Рівень інтенсивності карієсу зубів дітей 12-15 років, хворих на алергічні захворювання / Л. С. Кривенко // Здобутки теоретичної медицини – в практику охорони здоров'я – 2015: матеріали Всеукраїнської науково-практична конференції молодих вчених і студентів з міжнародною участю, Запоріжжя, 26-27 березня. – Запоріжжя, 2015. – С. 57.</w:t>
      </w:r>
    </w:p>
    <w:p w14:paraId="77804A3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eastAsia="ar-SA"/>
        </w:rPr>
        <w:t>Pathological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changes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mucosa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lips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 Л. С. Кривенко, Н. А. Олейник // Актуальні проблеми клінічної та фундаментальної медицини </w:t>
      </w:r>
      <w:r w:rsidRPr="00DD39D0">
        <w:rPr>
          <w:rFonts w:ascii="Times New Roman" w:eastAsia="Times New Roman" w:hAnsi="Times New Roman"/>
          <w:sz w:val="28"/>
          <w:szCs w:val="28"/>
          <w:lang w:val="ru-RU" w:eastAsia="ar-SA"/>
        </w:rPr>
        <w:t>ISIC</w:t>
      </w:r>
      <w:r w:rsidRPr="00DD39D0">
        <w:rPr>
          <w:rFonts w:ascii="Times New Roman" w:eastAsia="Times New Roman" w:hAnsi="Times New Roman"/>
          <w:sz w:val="28"/>
          <w:szCs w:val="28"/>
          <w:lang w:val="uk-UA" w:eastAsia="ar-SA"/>
        </w:rPr>
        <w:t xml:space="preserve">: матеріали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ІІ</w:t>
      </w:r>
      <w:r w:rsidRPr="00DD39D0">
        <w:rPr>
          <w:rFonts w:ascii="Times New Roman" w:eastAsia="Times New Roman" w:hAnsi="Times New Roman"/>
          <w:sz w:val="28"/>
          <w:szCs w:val="28"/>
          <w:lang w:eastAsia="ar-SA"/>
        </w:rPr>
        <w:t>I</w:t>
      </w:r>
      <w:r w:rsidRPr="00DD39D0">
        <w:rPr>
          <w:rFonts w:ascii="Times New Roman" w:eastAsia="Times New Roman" w:hAnsi="Times New Roman"/>
          <w:sz w:val="28"/>
          <w:szCs w:val="28"/>
          <w:lang w:val="uk-UA" w:eastAsia="ar-SA"/>
        </w:rPr>
        <w:t xml:space="preserve"> науково-практичної конференції з міжнародною участю, Харків, 14-15 травня 2015. – Харків, 2015. – С. 267.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14:paraId="0FAB61A5"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Вивчення поширеності некаріозних уражень твердих тканин зубів у дітей 5-18 років, хворих на алергічні захворювання / </w:t>
      </w:r>
      <w:r w:rsidRPr="00DD39D0">
        <w:rPr>
          <w:rFonts w:ascii="Times New Roman" w:eastAsia="Times New Roman" w:hAnsi="Times New Roman"/>
          <w:sz w:val="28"/>
          <w:szCs w:val="28"/>
          <w:lang w:val="uk-UA" w:eastAsia="ar-SA"/>
        </w:rPr>
        <w:br/>
        <w:t>Л. С. Кривенко // Інноваційні технології у сучасній стоматології: матеріали науково-практичної конференції, Івано-Франківськ, 20 березня 2015. – Івано-Франківськ, 2015. – С. 89-90.</w:t>
      </w:r>
    </w:p>
    <w:p w14:paraId="3CCDA59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Прояви патологічних змін у порожнині рота дітей, хворих на алергічні захворювання / Л. С. Кривенко // </w:t>
      </w:r>
      <w:r w:rsidRPr="0076154B">
        <w:rPr>
          <w:rFonts w:ascii="Times New Roman" w:eastAsia="Times New Roman" w:hAnsi="Times New Roman"/>
          <w:sz w:val="28"/>
          <w:szCs w:val="28"/>
          <w:lang w:val="uk-UA" w:eastAsia="ar-SA"/>
        </w:rPr>
        <w:t>Інноваційні технології в стоматології</w:t>
      </w:r>
      <w:r w:rsidRPr="00DD39D0">
        <w:rPr>
          <w:rFonts w:ascii="Times New Roman" w:eastAsia="Times New Roman" w:hAnsi="Times New Roman"/>
          <w:sz w:val="28"/>
          <w:szCs w:val="28"/>
          <w:lang w:val="uk-UA" w:eastAsia="ar-SA"/>
        </w:rPr>
        <w:t xml:space="preserve">: матеріали </w:t>
      </w:r>
      <w:r>
        <w:rPr>
          <w:rFonts w:ascii="Times New Roman" w:eastAsia="Times New Roman" w:hAnsi="Times New Roman"/>
          <w:sz w:val="28"/>
          <w:szCs w:val="28"/>
          <w:lang w:val="uk-UA" w:eastAsia="ar-SA"/>
        </w:rPr>
        <w:t>науково-практичної конференції, Тернопіль, 23 вересня 2016</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Тернопіль, 2016. – С.72-73</w:t>
      </w:r>
      <w:r w:rsidRPr="00DD39D0">
        <w:rPr>
          <w:rFonts w:ascii="Times New Roman" w:eastAsia="Times New Roman" w:hAnsi="Times New Roman"/>
          <w:sz w:val="28"/>
          <w:szCs w:val="28"/>
          <w:lang w:val="uk-UA" w:eastAsia="ar-SA"/>
        </w:rPr>
        <w:t>.</w:t>
      </w:r>
    </w:p>
    <w:p w14:paraId="3857A4D2"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Гігієнічний та пародонтальний статус дітей, хворих на бронхіальну астму / Л. С. Кривенко // Медицина третього тисячоліття: матеріали міжвузівської конференції молодих вчених та студентів, Харків, 20 січня 2016. – Харків, 2016. – С. 416-417.</w:t>
      </w:r>
    </w:p>
    <w:p w14:paraId="155AE0E3"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hygienic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asthma</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International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Student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Congress: abstract book</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Graz</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Austria</w:t>
      </w:r>
      <w:r w:rsidRPr="00DD39D0">
        <w:rPr>
          <w:rFonts w:ascii="Times New Roman" w:eastAsia="Times New Roman" w:hAnsi="Times New Roman"/>
          <w:sz w:val="28"/>
          <w:szCs w:val="28"/>
          <w:lang w:val="uk-UA" w:eastAsia="ar-SA"/>
        </w:rPr>
        <w:t xml:space="preserve">, 26-28 </w:t>
      </w:r>
      <w:r w:rsidRPr="00DD39D0">
        <w:rPr>
          <w:rFonts w:ascii="Times New Roman" w:eastAsia="Times New Roman" w:hAnsi="Times New Roman"/>
          <w:sz w:val="28"/>
          <w:szCs w:val="28"/>
          <w:lang w:eastAsia="ar-SA"/>
        </w:rPr>
        <w:t>May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 xml:space="preserve">2016. – Graz, 2016. </w:t>
      </w:r>
      <w:r>
        <w:rPr>
          <w:rFonts w:ascii="Times New Roman" w:eastAsia="Times New Roman" w:hAnsi="Times New Roman"/>
          <w:sz w:val="28"/>
          <w:szCs w:val="28"/>
          <w:lang w:val="uk-UA" w:eastAsia="ar-SA"/>
        </w:rPr>
        <w:t>– Р. 131</w:t>
      </w:r>
      <w:r w:rsidRPr="00DD39D0">
        <w:rPr>
          <w:rFonts w:ascii="Times New Roman" w:eastAsia="Times New Roman" w:hAnsi="Times New Roman"/>
          <w:sz w:val="28"/>
          <w:szCs w:val="28"/>
          <w:lang w:val="uk-UA" w:eastAsia="ar-SA"/>
        </w:rPr>
        <w:t>.</w:t>
      </w:r>
    </w:p>
    <w:p w14:paraId="5A721AB6"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Influence of allergic rhinitis on condition of oral cavity pathology in children / L. S. Kryvenko // International Student Congress: abstract book, Graz, Austria, 26-28 May 2016. – Graz, 2016. – P.74</w:t>
      </w:r>
      <w:r w:rsidRPr="00DD39D0">
        <w:rPr>
          <w:rFonts w:ascii="Times New Roman" w:eastAsia="Times New Roman" w:hAnsi="Times New Roman"/>
          <w:sz w:val="28"/>
          <w:szCs w:val="28"/>
          <w:lang w:val="uk-UA" w:eastAsia="ar-SA"/>
        </w:rPr>
        <w:t>.</w:t>
      </w:r>
    </w:p>
    <w:p w14:paraId="6677A56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Periodontal and oral hygiene problems in children with asthma / L. S. Kryvenko // FDI Annual World Dental Congress: </w:t>
      </w:r>
      <w:r>
        <w:rPr>
          <w:rFonts w:ascii="Times New Roman" w:eastAsia="Times New Roman" w:hAnsi="Times New Roman"/>
          <w:sz w:val="28"/>
          <w:szCs w:val="28"/>
          <w:lang w:eastAsia="ar-SA"/>
        </w:rPr>
        <w:t>International Dental Journal</w:t>
      </w:r>
      <w:r w:rsidRPr="00DD39D0">
        <w:rPr>
          <w:rFonts w:ascii="Times New Roman" w:eastAsia="Times New Roman" w:hAnsi="Times New Roman"/>
          <w:sz w:val="28"/>
          <w:szCs w:val="28"/>
          <w:lang w:eastAsia="ar-SA"/>
        </w:rPr>
        <w:t xml:space="preserve">, Poznan, Poland, 7-10 September 2016. – Poznan, 2016. </w:t>
      </w:r>
      <w:r>
        <w:rPr>
          <w:rFonts w:ascii="Times New Roman" w:eastAsia="Times New Roman" w:hAnsi="Times New Roman"/>
          <w:sz w:val="28"/>
          <w:szCs w:val="28"/>
          <w:lang w:val="uk-UA" w:eastAsia="ar-SA"/>
        </w:rPr>
        <w:t>– Р. 1</w:t>
      </w:r>
      <w:r>
        <w:rPr>
          <w:rFonts w:ascii="Times New Roman" w:eastAsia="Times New Roman" w:hAnsi="Times New Roman"/>
          <w:sz w:val="28"/>
          <w:szCs w:val="28"/>
          <w:lang w:eastAsia="ar-SA"/>
        </w:rPr>
        <w:t>47</w:t>
      </w:r>
      <w:r w:rsidRPr="00DD39D0">
        <w:rPr>
          <w:rFonts w:ascii="Times New Roman" w:eastAsia="Times New Roman" w:hAnsi="Times New Roman"/>
          <w:sz w:val="28"/>
          <w:szCs w:val="28"/>
          <w:lang w:val="uk-UA" w:eastAsia="ar-SA"/>
        </w:rPr>
        <w:t>.</w:t>
      </w:r>
    </w:p>
    <w:p w14:paraId="1712940E"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Comparative characteristic of periodontal and oral hygiene status in children with allergic diseases / L. S. Kryvenko // Actual problems of clinical and theoretical medicine: IXth International Interdisciplinary Scientific Conference of Young Scientists and M</w:t>
      </w:r>
      <w:r>
        <w:rPr>
          <w:rFonts w:ascii="Times New Roman" w:eastAsia="Times New Roman" w:hAnsi="Times New Roman"/>
          <w:sz w:val="28"/>
          <w:szCs w:val="28"/>
          <w:lang w:eastAsia="ar-SA"/>
        </w:rPr>
        <w:t xml:space="preserve">edical Students, </w:t>
      </w:r>
      <w:r w:rsidRPr="00DD39D0">
        <w:rPr>
          <w:rFonts w:ascii="Times New Roman" w:eastAsia="Times New Roman" w:hAnsi="Times New Roman"/>
          <w:sz w:val="28"/>
          <w:szCs w:val="28"/>
          <w:lang w:eastAsia="ar-SA"/>
        </w:rPr>
        <w:t>Kharkiv</w:t>
      </w:r>
      <w:r>
        <w:rPr>
          <w:rFonts w:ascii="Times New Roman" w:eastAsia="Times New Roman" w:hAnsi="Times New Roman"/>
          <w:sz w:val="28"/>
          <w:szCs w:val="28"/>
          <w:lang w:val="uk-UA" w:eastAsia="ar-SA"/>
        </w:rPr>
        <w:t>,</w:t>
      </w:r>
      <w:r>
        <w:rPr>
          <w:rFonts w:ascii="Times New Roman" w:eastAsia="Times New Roman" w:hAnsi="Times New Roman"/>
          <w:sz w:val="28"/>
          <w:szCs w:val="28"/>
          <w:lang w:eastAsia="ar-SA"/>
        </w:rPr>
        <w:t xml:space="preserve"> 22-23 May 2016</w:t>
      </w:r>
      <w:r w:rsidRPr="00DD39D0">
        <w:rPr>
          <w:rFonts w:ascii="Times New Roman" w:eastAsia="Times New Roman" w:hAnsi="Times New Roman"/>
          <w:sz w:val="28"/>
          <w:szCs w:val="28"/>
          <w:lang w:eastAsia="ar-SA"/>
        </w:rPr>
        <w:t>. – Kharkiv, 2016. – P.</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85</w:t>
      </w:r>
      <w:r w:rsidRPr="00DD39D0">
        <w:rPr>
          <w:rFonts w:ascii="Times New Roman" w:eastAsia="Times New Roman" w:hAnsi="Times New Roman"/>
          <w:sz w:val="28"/>
          <w:szCs w:val="28"/>
          <w:lang w:val="uk-UA" w:eastAsia="ar-SA"/>
        </w:rPr>
        <w:t>.</w:t>
      </w:r>
    </w:p>
    <w:p w14:paraId="3EC692CF"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Modulation of the immune response in the oral cavity in atopic disease / L. Kryvenko, A. S. Tarawneh, R. Nazaryan, V. Gargin // Graz</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Austria</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 xml:space="preserve">May 25th – May 27th, 2017. </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Graz</w:t>
      </w:r>
      <w:r w:rsidRPr="00966525">
        <w:rPr>
          <w:rFonts w:ascii="Times New Roman" w:eastAsia="Times New Roman" w:hAnsi="Times New Roman"/>
          <w:sz w:val="28"/>
          <w:szCs w:val="28"/>
          <w:lang w:eastAsia="ar-SA"/>
        </w:rPr>
        <w:t xml:space="preserve">, 2017. – </w:t>
      </w:r>
      <w:r w:rsidRPr="00DD39D0">
        <w:rPr>
          <w:rFonts w:ascii="Times New Roman" w:eastAsia="Times New Roman" w:hAnsi="Times New Roman"/>
          <w:sz w:val="28"/>
          <w:szCs w:val="28"/>
          <w:lang w:eastAsia="ar-SA"/>
        </w:rPr>
        <w:t>P</w:t>
      </w:r>
      <w:r w:rsidRPr="00966525">
        <w:rPr>
          <w:rFonts w:ascii="Times New Roman" w:eastAsia="Times New Roman" w:hAnsi="Times New Roman"/>
          <w:sz w:val="28"/>
          <w:szCs w:val="28"/>
          <w:lang w:eastAsia="ar-SA"/>
        </w:rPr>
        <w:t>. 134.</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14:paraId="62FAF21A" w14:textId="77777777" w:rsidR="00713CF7" w:rsidRPr="00DD39D0"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Морфофункциональные особенности состояния ротовой </w:t>
      </w: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Состояние мягких тканей ротовой полости при моделировании атопической патологии / Л. </w:t>
      </w:r>
      <w:r w:rsidRPr="00DD39D0">
        <w:rPr>
          <w:rFonts w:ascii="Times New Roman" w:eastAsia="Times New Roman" w:hAnsi="Times New Roman"/>
          <w:sz w:val="28"/>
          <w:szCs w:val="28"/>
          <w:lang w:val="uk-UA" w:eastAsia="ar-SA"/>
        </w:rPr>
        <w:t xml:space="preserve">С. Кривенко, В. В. </w:t>
      </w:r>
      <w:r w:rsidRPr="00DD39D0">
        <w:rPr>
          <w:rFonts w:ascii="Times New Roman" w:eastAsia="Times New Roman" w:hAnsi="Times New Roman"/>
          <w:sz w:val="28"/>
          <w:szCs w:val="28"/>
          <w:lang w:val="ru-RU" w:eastAsia="ar-SA"/>
        </w:rPr>
        <w:t xml:space="preserve">Гаргін, </w:t>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Назарян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Актуальні проблеми сучасної патологічної анатомії: матеріали науково-практичної конференції, Київ</w:t>
      </w:r>
      <w:r>
        <w:rPr>
          <w:rFonts w:ascii="Times New Roman" w:eastAsia="Times New Roman" w:hAnsi="Times New Roman"/>
          <w:sz w:val="28"/>
          <w:szCs w:val="28"/>
          <w:lang w:val="ru-RU" w:eastAsia="ar-SA"/>
        </w:rPr>
        <w:t>,</w:t>
      </w:r>
      <w:r>
        <w:rPr>
          <w:rFonts w:ascii="Times New Roman" w:eastAsia="Times New Roman" w:hAnsi="Times New Roman"/>
          <w:sz w:val="28"/>
          <w:szCs w:val="28"/>
          <w:lang w:val="uk-UA" w:eastAsia="ar-SA"/>
        </w:rPr>
        <w:t xml:space="preserve"> 26-27 квітня</w:t>
      </w:r>
      <w:r w:rsidRPr="00DD39D0">
        <w:rPr>
          <w:rFonts w:ascii="Times New Roman" w:eastAsia="Times New Roman" w:hAnsi="Times New Roman"/>
          <w:sz w:val="28"/>
          <w:szCs w:val="28"/>
          <w:lang w:val="ru-RU" w:eastAsia="ar-SA"/>
        </w:rPr>
        <w:t xml:space="preserve"> 2017.</w:t>
      </w:r>
      <w:r>
        <w:rPr>
          <w:rFonts w:ascii="Times New Roman" w:eastAsia="Times New Roman" w:hAnsi="Times New Roman"/>
          <w:sz w:val="28"/>
          <w:szCs w:val="28"/>
          <w:lang w:val="uk-UA" w:eastAsia="ar-SA"/>
        </w:rPr>
        <w:t xml:space="preserve"> – Київ, 2017. – С.26-28</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14:paraId="5026C6A8"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Л.С. </w:t>
      </w:r>
      <w:r w:rsidRPr="00DD39D0">
        <w:rPr>
          <w:rFonts w:ascii="Times New Roman" w:eastAsia="Times New Roman" w:hAnsi="Times New Roman"/>
          <w:sz w:val="28"/>
          <w:szCs w:val="28"/>
          <w:lang w:val="ru-RU" w:eastAsia="ar-SA"/>
        </w:rPr>
        <w:t xml:space="preserve">Морфофункциональные особенности состояния ротовой полости при моделировании атопической патологии / В.В. Гаргин, Л.С. Кривенко, Р.С. Назарян // </w:t>
      </w:r>
      <w:r w:rsidRPr="00DD39D0">
        <w:rPr>
          <w:rFonts w:ascii="Times New Roman" w:eastAsia="Times New Roman" w:hAnsi="Times New Roman"/>
          <w:sz w:val="28"/>
          <w:szCs w:val="28"/>
          <w:lang w:val="uk-UA" w:eastAsia="ar-SA"/>
        </w:rPr>
        <w:t>Щорічні терапевтичні читання: медикаментозна та немедикаментозна профілактика неінфекційних захворювань: погляд в майбутнє: матеріали науково-практичної конференції з міжнародною участю</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Харків</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20 кв</w:t>
      </w:r>
      <w:r>
        <w:rPr>
          <w:rFonts w:ascii="Times New Roman" w:eastAsia="Times New Roman" w:hAnsi="Times New Roman"/>
          <w:sz w:val="28"/>
          <w:szCs w:val="28"/>
          <w:lang w:val="uk-UA" w:eastAsia="ar-SA"/>
        </w:rPr>
        <w:t>ітня 2017</w:t>
      </w:r>
      <w:r w:rsidRPr="00DD39D0">
        <w:rPr>
          <w:rFonts w:ascii="Times New Roman" w:eastAsia="Times New Roman" w:hAnsi="Times New Roman"/>
          <w:sz w:val="28"/>
          <w:szCs w:val="28"/>
          <w:lang w:val="uk-UA" w:eastAsia="ar-SA"/>
        </w:rPr>
        <w:t>. – Харків, 2017. – С. 54.</w:t>
      </w:r>
    </w:p>
    <w:p w14:paraId="7A9FF47E"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stress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markers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chronic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gingivitis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asthma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rhinitis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dermatitis</w:t>
      </w:r>
      <w:r w:rsidRPr="00DD39D0">
        <w:rPr>
          <w:rFonts w:ascii="Times New Roman" w:eastAsia="Times New Roman" w:hAnsi="Times New Roman"/>
          <w:sz w:val="28"/>
          <w:szCs w:val="28"/>
          <w:lang w:val="uk-UA" w:eastAsia="ar-SA"/>
        </w:rPr>
        <w:t xml:space="preserve"> / 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Наука и медицина: современный взгляд молодежи: материалы </w:t>
      </w:r>
      <w:r w:rsidRPr="00DD39D0">
        <w:rPr>
          <w:rFonts w:ascii="Times New Roman" w:eastAsia="Times New Roman" w:hAnsi="Times New Roman"/>
          <w:sz w:val="28"/>
          <w:szCs w:val="28"/>
          <w:lang w:val="ru-RU" w:eastAsia="ar-SA"/>
        </w:rPr>
        <w:t>IV</w:t>
      </w:r>
      <w:r w:rsidRPr="00DD39D0">
        <w:rPr>
          <w:rFonts w:ascii="Times New Roman" w:eastAsia="Times New Roman" w:hAnsi="Times New Roman"/>
          <w:sz w:val="28"/>
          <w:szCs w:val="28"/>
          <w:lang w:val="uk-UA" w:eastAsia="ar-SA"/>
        </w:rPr>
        <w:t xml:space="preserve"> международной научно-практической к</w:t>
      </w:r>
      <w:r>
        <w:rPr>
          <w:rFonts w:ascii="Times New Roman" w:eastAsia="Times New Roman" w:hAnsi="Times New Roman"/>
          <w:sz w:val="28"/>
          <w:szCs w:val="28"/>
          <w:lang w:val="uk-UA" w:eastAsia="ar-SA"/>
        </w:rPr>
        <w:t xml:space="preserve">онференции, </w:t>
      </w:r>
      <w:r w:rsidRPr="00DD39D0">
        <w:rPr>
          <w:rFonts w:ascii="Times New Roman" w:eastAsia="Times New Roman" w:hAnsi="Times New Roman"/>
          <w:sz w:val="28"/>
          <w:szCs w:val="28"/>
          <w:lang w:val="uk-UA" w:eastAsia="ar-SA"/>
        </w:rPr>
        <w:t>Алматы</w:t>
      </w:r>
      <w:r>
        <w:rPr>
          <w:rFonts w:ascii="Times New Roman" w:eastAsia="Times New Roman" w:hAnsi="Times New Roman"/>
          <w:sz w:val="28"/>
          <w:szCs w:val="28"/>
          <w:lang w:val="uk-UA" w:eastAsia="ar-SA"/>
        </w:rPr>
        <w:t>, 20-21 апреля 2017. – Алматы, 2017. – С.316-317</w:t>
      </w:r>
      <w:r w:rsidRPr="00DD39D0">
        <w:rPr>
          <w:rFonts w:ascii="Times New Roman" w:eastAsia="Times New Roman" w:hAnsi="Times New Roman"/>
          <w:sz w:val="28"/>
          <w:szCs w:val="28"/>
          <w:lang w:val="uk-UA" w:eastAsia="ar-SA"/>
        </w:rPr>
        <w:t>.</w:t>
      </w:r>
    </w:p>
    <w:p w14:paraId="65738154" w14:textId="77777777" w:rsidR="00713CF7" w:rsidRDefault="00713CF7" w:rsidP="00713CF7">
      <w:pPr>
        <w:widowControl w:val="0"/>
        <w:numPr>
          <w:ilvl w:val="0"/>
          <w:numId w:val="17"/>
        </w:numPr>
        <w:suppressAutoHyphens/>
        <w:autoSpaceDE w:val="0"/>
        <w:spacing w:after="0" w:line="360" w:lineRule="auto"/>
        <w:jc w:val="both"/>
        <w:rPr>
          <w:rFonts w:ascii="Times New Roman" w:eastAsia="Times New Roman" w:hAnsi="Times New Roman"/>
          <w:sz w:val="28"/>
          <w:szCs w:val="28"/>
          <w:lang w:val="uk-UA" w:eastAsia="ar-SA"/>
        </w:rPr>
      </w:pPr>
      <w:r w:rsidRPr="00713CF7">
        <w:rPr>
          <w:rFonts w:ascii="Times New Roman" w:eastAsia="Times New Roman" w:hAnsi="Times New Roman"/>
          <w:sz w:val="28"/>
          <w:szCs w:val="28"/>
          <w:lang w:val="uk-UA" w:eastAsia="ar-SA"/>
        </w:rPr>
        <w:t xml:space="preserve">Кривенко Л.С. Досвід оптимізації лікування хронічного гінгівіту у дітей з атопічними захворюваннями / Л.С. Кривенко // Актуальні питання науково-практичної стоматології: матеріали </w:t>
      </w:r>
      <w:r w:rsidRPr="00713CF7">
        <w:rPr>
          <w:rFonts w:ascii="Times New Roman" w:eastAsia="Times New Roman" w:hAnsi="Times New Roman"/>
          <w:sz w:val="28"/>
          <w:szCs w:val="28"/>
          <w:lang w:eastAsia="ar-SA"/>
        </w:rPr>
        <w:t>VI</w:t>
      </w:r>
      <w:r w:rsidRPr="00713CF7">
        <w:rPr>
          <w:rFonts w:ascii="Times New Roman" w:eastAsia="Times New Roman" w:hAnsi="Times New Roman"/>
          <w:sz w:val="28"/>
          <w:szCs w:val="28"/>
          <w:lang w:val="uk-UA" w:eastAsia="ar-SA"/>
        </w:rPr>
        <w:t xml:space="preserve"> міжнародної стоматологічної конференції студентів та молодих вчених, Харків, 20-22 квітня 2017. – Харків, 2017. – С. 112-113.</w:t>
      </w:r>
    </w:p>
    <w:p w14:paraId="03246D21" w14:textId="77777777" w:rsidR="00713CF7" w:rsidRDefault="00713CF7" w:rsidP="005B5BB4">
      <w:pPr>
        <w:rPr>
          <w:rFonts w:ascii="Times New Roman" w:hAnsi="Times New Roman" w:cs="Times New Roman"/>
          <w:sz w:val="28"/>
          <w:szCs w:val="28"/>
          <w:lang w:val="uk-UA"/>
        </w:rPr>
      </w:pPr>
    </w:p>
    <w:p w14:paraId="3E9C5175" w14:textId="58F326CD" w:rsidR="005B5BB4" w:rsidRDefault="00713CF7" w:rsidP="00DA787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Апробація результатів дисертації:</w:t>
      </w:r>
    </w:p>
    <w:p w14:paraId="4DBA6924" w14:textId="79C6F144"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FD</w:t>
      </w:r>
      <w:r>
        <w:rPr>
          <w:rFonts w:ascii="Times New Roman" w:hAnsi="Times New Roman" w:cs="Times New Roman"/>
          <w:sz w:val="28"/>
          <w:szCs w:val="28"/>
          <w:lang w:val="uk-UA"/>
        </w:rPr>
        <w:t xml:space="preserve">I Annual World Dental Congress, </w:t>
      </w:r>
      <w:r w:rsidRPr="00DA7874">
        <w:rPr>
          <w:rFonts w:ascii="Times New Roman" w:hAnsi="Times New Roman" w:cs="Times New Roman"/>
          <w:sz w:val="28"/>
          <w:szCs w:val="28"/>
          <w:lang w:val="uk-UA"/>
        </w:rPr>
        <w:t>м.Познань, 7-10 ве</w:t>
      </w:r>
      <w:r>
        <w:rPr>
          <w:rFonts w:ascii="Times New Roman" w:hAnsi="Times New Roman" w:cs="Times New Roman"/>
          <w:sz w:val="28"/>
          <w:szCs w:val="28"/>
          <w:lang w:val="uk-UA"/>
        </w:rPr>
        <w:t>ресня 2016</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доповідь, публікація тез.</w:t>
      </w:r>
    </w:p>
    <w:p w14:paraId="599AC630" w14:textId="6A5EA52C"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"Актуальні проблеми с</w:t>
      </w:r>
      <w:r>
        <w:rPr>
          <w:rFonts w:ascii="Times New Roman" w:hAnsi="Times New Roman" w:cs="Times New Roman"/>
          <w:sz w:val="28"/>
          <w:szCs w:val="28"/>
          <w:lang w:val="uk-UA"/>
        </w:rPr>
        <w:t>учасної патологічної анатомії", м. Київ, 21 квітня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w:t>
      </w:r>
    </w:p>
    <w:p w14:paraId="7BDD09CA" w14:textId="4BF36A77"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4th International Scientific-Practical Conference Problems of Infocommunic</w:t>
      </w:r>
      <w:r>
        <w:rPr>
          <w:rFonts w:ascii="Times New Roman" w:hAnsi="Times New Roman" w:cs="Times New Roman"/>
          <w:sz w:val="28"/>
          <w:szCs w:val="28"/>
          <w:lang w:val="uk-UA"/>
        </w:rPr>
        <w:t>ations. Science and Technology, м. Харків, 11-13 жовтня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стендова доповідь, публікація статті.</w:t>
      </w:r>
    </w:p>
    <w:p w14:paraId="29BED8AB" w14:textId="5B5637FE"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з міжнародною участю "Щорічні терапевтичні читання: Медикаментозна ти немедикаментозна профілактика неінфекційних з</w:t>
      </w:r>
      <w:r>
        <w:rPr>
          <w:rFonts w:ascii="Times New Roman" w:hAnsi="Times New Roman" w:cs="Times New Roman"/>
          <w:sz w:val="28"/>
          <w:szCs w:val="28"/>
          <w:lang w:val="uk-UA"/>
        </w:rPr>
        <w:t>ахворювань: погляд у майбутнє", м. Харків, 20 квітня 2017</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w:t>
      </w:r>
      <w:r w:rsidR="00212C58">
        <w:rPr>
          <w:rFonts w:ascii="Times New Roman" w:hAnsi="Times New Roman" w:cs="Times New Roman"/>
          <w:sz w:val="28"/>
          <w:szCs w:val="28"/>
          <w:lang w:val="uk-UA"/>
        </w:rPr>
        <w:t>, публікація тез.</w:t>
      </w:r>
    </w:p>
    <w:p w14:paraId="685DD993" w14:textId="725E1C63"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4th I</w:t>
      </w:r>
      <w:r>
        <w:rPr>
          <w:rFonts w:ascii="Times New Roman" w:hAnsi="Times New Roman" w:cs="Times New Roman"/>
          <w:sz w:val="28"/>
          <w:szCs w:val="28"/>
          <w:lang w:val="uk-UA"/>
        </w:rPr>
        <w:t>nternational Student Congress, м. Грац, 26-28 травня 2016</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публікація тез.</w:t>
      </w:r>
    </w:p>
    <w:p w14:paraId="0B548F9F" w14:textId="3EC0B1BF"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43 науково-методична конференція з інтернатури «Сучасний стан та перспективи підготовки лікарів-інтернів у Харківському національному медичному університ</w:t>
      </w:r>
      <w:r>
        <w:rPr>
          <w:rFonts w:ascii="Times New Roman" w:hAnsi="Times New Roman" w:cs="Times New Roman"/>
          <w:sz w:val="28"/>
          <w:szCs w:val="28"/>
          <w:lang w:val="uk-UA"/>
        </w:rPr>
        <w:t>еті», м. Харків, 11 квітня 2017</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доповідь.</w:t>
      </w:r>
    </w:p>
    <w:p w14:paraId="09415C97" w14:textId="77777777"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IV Международная научно-практическая конференция «Наука и медицина</w:t>
      </w:r>
      <w:r>
        <w:rPr>
          <w:rFonts w:ascii="Times New Roman" w:hAnsi="Times New Roman" w:cs="Times New Roman"/>
          <w:sz w:val="28"/>
          <w:szCs w:val="28"/>
          <w:lang w:val="uk-UA"/>
        </w:rPr>
        <w:t xml:space="preserve">: современный взгляд молодежи», </w:t>
      </w:r>
      <w:r w:rsidRPr="00DA7874">
        <w:rPr>
          <w:rFonts w:ascii="Times New Roman" w:hAnsi="Times New Roman" w:cs="Times New Roman"/>
          <w:sz w:val="28"/>
          <w:szCs w:val="28"/>
          <w:lang w:val="uk-UA"/>
        </w:rPr>
        <w:t>м. Ал</w:t>
      </w:r>
      <w:r>
        <w:rPr>
          <w:rFonts w:ascii="Times New Roman" w:hAnsi="Times New Roman" w:cs="Times New Roman"/>
          <w:sz w:val="28"/>
          <w:szCs w:val="28"/>
          <w:lang w:val="uk-UA"/>
        </w:rPr>
        <w:t>мати, Казахстан, 20-21 квітня 2017</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публікація тез</w:t>
      </w:r>
    </w:p>
    <w:p w14:paraId="00486CFD" w14:textId="77777777"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 xml:space="preserve">6th Mediterranean Conference </w:t>
      </w:r>
      <w:r>
        <w:rPr>
          <w:rFonts w:ascii="Times New Roman" w:hAnsi="Times New Roman" w:cs="Times New Roman"/>
          <w:sz w:val="28"/>
          <w:szCs w:val="28"/>
          <w:lang w:val="uk-UA"/>
        </w:rPr>
        <w:t xml:space="preserve">on Embedded Computing MECO’2017, </w:t>
      </w:r>
      <w:r w:rsidRPr="00DA7874">
        <w:rPr>
          <w:rFonts w:ascii="Times New Roman" w:hAnsi="Times New Roman" w:cs="Times New Roman"/>
          <w:sz w:val="28"/>
          <w:szCs w:val="28"/>
          <w:lang w:val="uk-UA"/>
        </w:rPr>
        <w:t>м. Бар,</w:t>
      </w:r>
      <w:r>
        <w:rPr>
          <w:rFonts w:ascii="Times New Roman" w:hAnsi="Times New Roman" w:cs="Times New Roman"/>
          <w:sz w:val="28"/>
          <w:szCs w:val="28"/>
          <w:lang w:val="uk-UA"/>
        </w:rPr>
        <w:t xml:space="preserve"> Чорногорія, 11-15 червня 2017, стендова доповідь, публікація статті.</w:t>
      </w:r>
    </w:p>
    <w:p w14:paraId="16FE529A" w14:textId="43A6CBF0"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Міжвузівська конференція молодих вчених та студентів «</w:t>
      </w:r>
      <w:r>
        <w:rPr>
          <w:rFonts w:ascii="Times New Roman" w:hAnsi="Times New Roman" w:cs="Times New Roman"/>
          <w:sz w:val="28"/>
          <w:szCs w:val="28"/>
          <w:lang w:val="uk-UA"/>
        </w:rPr>
        <w:t>Медицина третього тисячоліття», м.Харків, 20 січня 2016 р., публікація тез.</w:t>
      </w:r>
      <w:r w:rsidRPr="00DA7874">
        <w:rPr>
          <w:rFonts w:ascii="Times New Roman" w:hAnsi="Times New Roman" w:cs="Times New Roman"/>
          <w:sz w:val="28"/>
          <w:szCs w:val="28"/>
          <w:lang w:val="uk-UA"/>
        </w:rPr>
        <w:t xml:space="preserve"> </w:t>
      </w:r>
    </w:p>
    <w:p w14:paraId="24DACA4E" w14:textId="43EBF91D" w:rsidR="00212C58" w:rsidRDefault="00212C58" w:rsidP="00DA7874">
      <w:pPr>
        <w:pStyle w:val="ListParagraph"/>
        <w:numPr>
          <w:ilvl w:val="0"/>
          <w:numId w:val="18"/>
        </w:num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val="uk-UA" w:eastAsia="ar-SA"/>
        </w:rPr>
        <w:t>Міжнародна конференція щелепно-лицевих хірургів та стоматологів</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Новые те</w:t>
      </w:r>
      <w:r>
        <w:rPr>
          <w:rFonts w:ascii="Times New Roman" w:eastAsia="Times New Roman" w:hAnsi="Times New Roman"/>
          <w:sz w:val="28"/>
          <w:szCs w:val="28"/>
          <w:lang w:val="uk-UA" w:eastAsia="ar-SA"/>
        </w:rPr>
        <w:t>хнологии в стоматологии»,</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м.</w:t>
      </w:r>
      <w:r w:rsidRPr="00DD39D0">
        <w:rPr>
          <w:rFonts w:ascii="Times New Roman" w:eastAsia="Times New Roman" w:hAnsi="Times New Roman"/>
          <w:sz w:val="28"/>
          <w:szCs w:val="28"/>
          <w:lang w:val="uk-UA" w:eastAsia="ar-SA"/>
        </w:rPr>
        <w:t>Санкт-Петербург</w:t>
      </w:r>
      <w:r>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 xml:space="preserve">3-5 червня 2015, </w:t>
      </w:r>
      <w:r>
        <w:rPr>
          <w:rFonts w:ascii="Times New Roman" w:hAnsi="Times New Roman" w:cs="Times New Roman"/>
          <w:sz w:val="28"/>
          <w:szCs w:val="28"/>
          <w:lang w:val="uk-UA"/>
        </w:rPr>
        <w:t>заочна форма участі, публікація тез.</w:t>
      </w:r>
    </w:p>
    <w:p w14:paraId="727604C5" w14:textId="589F90A4"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Second Scientific-Practical Conference “Problems of Infocommunication. Science and Technology</w:t>
      </w:r>
      <w:r>
        <w:rPr>
          <w:rFonts w:ascii="Times New Roman" w:hAnsi="Times New Roman" w:cs="Times New Roman"/>
          <w:sz w:val="28"/>
          <w:szCs w:val="28"/>
          <w:lang w:val="uk-UA"/>
        </w:rPr>
        <w:t>”, м.Харків, 13-15 жовтня 2015р., стендова доповідь, публікація статті.</w:t>
      </w:r>
    </w:p>
    <w:p w14:paraId="240D3A6E" w14:textId="6779A971"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 xml:space="preserve"> XIX Міжнародний медичний конг</w:t>
      </w:r>
      <w:r>
        <w:rPr>
          <w:rFonts w:ascii="Times New Roman" w:hAnsi="Times New Roman" w:cs="Times New Roman"/>
          <w:sz w:val="28"/>
          <w:szCs w:val="28"/>
          <w:lang w:val="uk-UA"/>
        </w:rPr>
        <w:t>рес студентів і молодих вчених, м.Тернопіль. 27-29 квітня 2015</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r w:rsidR="00212C58">
        <w:rPr>
          <w:rFonts w:ascii="Times New Roman" w:hAnsi="Times New Roman" w:cs="Times New Roman"/>
          <w:sz w:val="28"/>
          <w:szCs w:val="28"/>
          <w:lang w:val="uk-UA"/>
        </w:rPr>
        <w:t>.</w:t>
      </w:r>
    </w:p>
    <w:p w14:paraId="64E605CE" w14:textId="6B6411B7" w:rsidR="00212C58" w:rsidRDefault="00212C58" w:rsidP="00DA7874">
      <w:pPr>
        <w:pStyle w:val="ListParagraph"/>
        <w:numPr>
          <w:ilvl w:val="0"/>
          <w:numId w:val="18"/>
        </w:numPr>
        <w:spacing w:line="360" w:lineRule="auto"/>
        <w:jc w:val="both"/>
        <w:rPr>
          <w:rFonts w:ascii="Times New Roman" w:hAnsi="Times New Roman" w:cs="Times New Roman"/>
          <w:sz w:val="28"/>
          <w:szCs w:val="28"/>
          <w:lang w:val="uk-UA"/>
        </w:rPr>
      </w:pPr>
      <w:r>
        <w:rPr>
          <w:rFonts w:ascii="Times New Roman" w:eastAsia="Times New Roman" w:hAnsi="Times New Roman"/>
          <w:sz w:val="28"/>
          <w:szCs w:val="28"/>
          <w:lang w:val="uk-UA" w:eastAsia="ar-SA"/>
        </w:rPr>
        <w:t>НПК «</w:t>
      </w:r>
      <w:r w:rsidRPr="00212C58">
        <w:rPr>
          <w:rFonts w:ascii="Times New Roman" w:eastAsia="Times New Roman" w:hAnsi="Times New Roman"/>
          <w:sz w:val="28"/>
          <w:szCs w:val="28"/>
          <w:lang w:val="uk-UA" w:eastAsia="ar-SA"/>
        </w:rPr>
        <w:t>Новин</w:t>
      </w:r>
      <w:r>
        <w:rPr>
          <w:rFonts w:ascii="Times New Roman" w:eastAsia="Times New Roman" w:hAnsi="Times New Roman"/>
          <w:sz w:val="28"/>
          <w:szCs w:val="28"/>
          <w:lang w:val="uk-UA" w:eastAsia="ar-SA"/>
        </w:rPr>
        <w:t>и та перспективи медичної науки»</w:t>
      </w:r>
      <w:r w:rsidRPr="00212C58">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val="uk-UA" w:eastAsia="ar-SA"/>
        </w:rPr>
        <w:t>м.</w:t>
      </w:r>
      <w:r w:rsidRPr="00212C58">
        <w:rPr>
          <w:rFonts w:ascii="Times New Roman" w:eastAsia="Times New Roman" w:hAnsi="Times New Roman"/>
          <w:sz w:val="28"/>
          <w:szCs w:val="28"/>
          <w:lang w:val="uk-UA" w:eastAsia="ar-SA"/>
        </w:rPr>
        <w:t>Дніпропетровськ, 14-15 квітня</w:t>
      </w:r>
      <w:r w:rsidRPr="00DD39D0">
        <w:rPr>
          <w:rFonts w:ascii="Times New Roman" w:eastAsia="Times New Roman" w:hAnsi="Times New Roman"/>
          <w:sz w:val="28"/>
          <w:szCs w:val="28"/>
          <w:lang w:val="uk-UA" w:eastAsia="ar-SA"/>
        </w:rPr>
        <w:t xml:space="preserve"> 2015</w:t>
      </w:r>
      <w:r w:rsidRPr="00212C58">
        <w:rPr>
          <w:rFonts w:ascii="Times New Roman" w:eastAsia="Times New Roman" w:hAnsi="Times New Roman"/>
          <w:sz w:val="28"/>
          <w:szCs w:val="28"/>
          <w:lang w:val="uk-UA" w:eastAsia="ar-SA"/>
        </w:rPr>
        <w:t xml:space="preserve">, </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p>
    <w:p w14:paraId="2CED158A" w14:textId="77777777"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"Інноваційні технології у сучасній стоматології", (м.Ів</w:t>
      </w:r>
      <w:r>
        <w:rPr>
          <w:rFonts w:ascii="Times New Roman" w:hAnsi="Times New Roman" w:cs="Times New Roman"/>
          <w:sz w:val="28"/>
          <w:szCs w:val="28"/>
          <w:lang w:val="uk-UA"/>
        </w:rPr>
        <w:t>ано-Франківськ, 20 березня 2015</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 публікація тез</w:t>
      </w:r>
      <w:r w:rsidRPr="00DA7874">
        <w:rPr>
          <w:rFonts w:ascii="Times New Roman" w:hAnsi="Times New Roman" w:cs="Times New Roman"/>
          <w:sz w:val="28"/>
          <w:szCs w:val="28"/>
          <w:lang w:val="uk-UA"/>
        </w:rPr>
        <w:t xml:space="preserve"> </w:t>
      </w:r>
    </w:p>
    <w:p w14:paraId="4023BAAC" w14:textId="3F658351"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VІІI Науково-практична конференція з міжнародною участю «Актуальні проблеми клінічної та фундаментальної медицини ISI</w:t>
      </w:r>
      <w:r>
        <w:rPr>
          <w:rFonts w:ascii="Times New Roman" w:hAnsi="Times New Roman" w:cs="Times New Roman"/>
          <w:sz w:val="28"/>
          <w:szCs w:val="28"/>
          <w:lang w:val="uk-UA"/>
        </w:rPr>
        <w:t>C», м.Харків, 14-15 травня 2015</w:t>
      </w:r>
      <w:r w:rsidRPr="00DA7874">
        <w:rPr>
          <w:rFonts w:ascii="Times New Roman" w:hAnsi="Times New Roman" w:cs="Times New Roman"/>
          <w:sz w:val="28"/>
          <w:szCs w:val="28"/>
          <w:lang w:val="uk-UA"/>
        </w:rPr>
        <w:t xml:space="preserve">, </w:t>
      </w:r>
      <w:r>
        <w:rPr>
          <w:rFonts w:ascii="Times New Roman" w:hAnsi="Times New Roman" w:cs="Times New Roman"/>
          <w:sz w:val="28"/>
          <w:szCs w:val="28"/>
          <w:lang w:val="uk-UA"/>
        </w:rPr>
        <w:t>заочна форма участі, публікація тез.</w:t>
      </w:r>
    </w:p>
    <w:p w14:paraId="066E8637" w14:textId="77777777" w:rsid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Всеукраїнська науково-практична конференція молодих вчених і студентів з міжнародною участю «Здобутки теоретичної медицини – в пра</w:t>
      </w:r>
      <w:r>
        <w:rPr>
          <w:rFonts w:ascii="Times New Roman" w:hAnsi="Times New Roman" w:cs="Times New Roman"/>
          <w:sz w:val="28"/>
          <w:szCs w:val="28"/>
          <w:lang w:val="uk-UA"/>
        </w:rPr>
        <w:t xml:space="preserve">ктику охорони здоров'я – 2015», </w:t>
      </w:r>
      <w:r w:rsidRPr="00DA7874">
        <w:rPr>
          <w:rFonts w:ascii="Times New Roman" w:hAnsi="Times New Roman" w:cs="Times New Roman"/>
          <w:sz w:val="28"/>
          <w:szCs w:val="28"/>
          <w:lang w:val="uk-UA"/>
        </w:rPr>
        <w:t>м.З</w:t>
      </w:r>
      <w:r>
        <w:rPr>
          <w:rFonts w:ascii="Times New Roman" w:hAnsi="Times New Roman" w:cs="Times New Roman"/>
          <w:sz w:val="28"/>
          <w:szCs w:val="28"/>
          <w:lang w:val="uk-UA"/>
        </w:rPr>
        <w:t>апоріжжя, 26-27 березня 2015 р.</w:t>
      </w:r>
      <w:r w:rsidRPr="00DA7874">
        <w:rPr>
          <w:rFonts w:ascii="Times New Roman" w:hAnsi="Times New Roman" w:cs="Times New Roman"/>
          <w:sz w:val="28"/>
          <w:szCs w:val="28"/>
          <w:lang w:val="uk-UA"/>
        </w:rPr>
        <w:t>,</w:t>
      </w:r>
      <w:r>
        <w:rPr>
          <w:rFonts w:ascii="Times New Roman" w:hAnsi="Times New Roman" w:cs="Times New Roman"/>
          <w:sz w:val="28"/>
          <w:szCs w:val="28"/>
          <w:lang w:val="uk-UA"/>
        </w:rPr>
        <w:t xml:space="preserve"> заочна форма участі, публікація тез.</w:t>
      </w:r>
    </w:p>
    <w:p w14:paraId="277B389F" w14:textId="76C54FD4" w:rsidR="00713CF7" w:rsidRPr="00DA7874" w:rsidRDefault="00DA7874" w:rsidP="00DA7874">
      <w:pPr>
        <w:pStyle w:val="ListParagraph"/>
        <w:numPr>
          <w:ilvl w:val="0"/>
          <w:numId w:val="18"/>
        </w:numPr>
        <w:spacing w:line="360" w:lineRule="auto"/>
        <w:jc w:val="both"/>
        <w:rPr>
          <w:rFonts w:ascii="Times New Roman" w:hAnsi="Times New Roman" w:cs="Times New Roman"/>
          <w:sz w:val="28"/>
          <w:szCs w:val="28"/>
          <w:lang w:val="uk-UA"/>
        </w:rPr>
      </w:pPr>
      <w:r w:rsidRPr="00DA7874">
        <w:rPr>
          <w:rFonts w:ascii="Times New Roman" w:hAnsi="Times New Roman" w:cs="Times New Roman"/>
          <w:sz w:val="28"/>
          <w:szCs w:val="28"/>
          <w:lang w:val="uk-UA"/>
        </w:rPr>
        <w:t>НПК «Нове та традиційне у дослідженнях сучасних</w:t>
      </w:r>
      <w:r>
        <w:rPr>
          <w:rFonts w:ascii="Times New Roman" w:hAnsi="Times New Roman" w:cs="Times New Roman"/>
          <w:sz w:val="28"/>
          <w:szCs w:val="28"/>
          <w:lang w:val="uk-UA"/>
        </w:rPr>
        <w:t xml:space="preserve"> представників медичної науки», м. Львів, 27-28 лютого 2015 р., заочна форма участі, публікація тез.</w:t>
      </w:r>
    </w:p>
    <w:sectPr w:rsidR="00713CF7" w:rsidRPr="00DA7874" w:rsidSect="00E8391D">
      <w:pgSz w:w="12240" w:h="15840"/>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D4FF5" w14:textId="77777777" w:rsidR="000F56B7" w:rsidRDefault="000F56B7" w:rsidP="00E96E97">
      <w:pPr>
        <w:spacing w:after="0" w:line="240" w:lineRule="auto"/>
      </w:pPr>
      <w:r>
        <w:separator/>
      </w:r>
    </w:p>
  </w:endnote>
  <w:endnote w:type="continuationSeparator" w:id="0">
    <w:p w14:paraId="67A23433" w14:textId="77777777" w:rsidR="000F56B7" w:rsidRDefault="000F56B7" w:rsidP="00E96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6FF" w:usb1="400004FF" w:usb2="00000000" w:usb3="00000000" w:csb0="0000019F" w:csb1="00000000"/>
  </w:font>
  <w:font w:name="Times New Roman CYR">
    <w:altName w:val="Times New Roman"/>
    <w:panose1 w:val="02020603050405020304"/>
    <w:charset w:val="CC"/>
    <w:family w:val="roman"/>
    <w:pitch w:val="variable"/>
    <w:sig w:usb0="E0002EFF" w:usb1="C000785B" w:usb2="00000009" w:usb3="00000000" w:csb0="000001FF" w:csb1="00000000"/>
  </w:font>
  <w:font w:name="Arial CYR">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85BA04" w14:textId="77777777" w:rsidR="000F56B7" w:rsidRDefault="000F56B7" w:rsidP="00E96E97">
      <w:pPr>
        <w:spacing w:after="0" w:line="240" w:lineRule="auto"/>
      </w:pPr>
      <w:r>
        <w:separator/>
      </w:r>
    </w:p>
  </w:footnote>
  <w:footnote w:type="continuationSeparator" w:id="0">
    <w:p w14:paraId="383D67DE" w14:textId="77777777" w:rsidR="000F56B7" w:rsidRDefault="000F56B7" w:rsidP="00E96E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6293181"/>
      <w:docPartObj>
        <w:docPartGallery w:val="Page Numbers (Top of Page)"/>
        <w:docPartUnique/>
      </w:docPartObj>
    </w:sdtPr>
    <w:sdtEndPr>
      <w:rPr>
        <w:noProof/>
      </w:rPr>
    </w:sdtEndPr>
    <w:sdtContent>
      <w:p w14:paraId="6B0506F6" w14:textId="3771E30E" w:rsidR="00607F83" w:rsidRDefault="00607F83">
        <w:pPr>
          <w:pStyle w:val="Header"/>
          <w:jc w:val="right"/>
        </w:pPr>
        <w:r>
          <w:fldChar w:fldCharType="begin"/>
        </w:r>
        <w:r>
          <w:instrText xml:space="preserve"> PAGE   \* MERGEFORMAT </w:instrText>
        </w:r>
        <w:r>
          <w:fldChar w:fldCharType="separate"/>
        </w:r>
        <w:r w:rsidR="00852E54">
          <w:rPr>
            <w:noProof/>
          </w:rPr>
          <w:t>32</w:t>
        </w:r>
        <w:r>
          <w:rPr>
            <w:noProof/>
          </w:rPr>
          <w:fldChar w:fldCharType="end"/>
        </w:r>
      </w:p>
    </w:sdtContent>
  </w:sdt>
  <w:p w14:paraId="1AFE4106" w14:textId="77777777" w:rsidR="00607F83" w:rsidRDefault="00607F8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 w15:restartNumberingAfterBreak="0">
    <w:nsid w:val="00000003"/>
    <w:multiLevelType w:val="multilevel"/>
    <w:tmpl w:val="00000003"/>
    <w:name w:val="WW8Num3"/>
    <w:lvl w:ilvl="0">
      <w:start w:val="1"/>
      <w:numFmt w:val="decimal"/>
      <w:lvlText w:val="%1."/>
      <w:lvlJc w:val="left"/>
      <w:pPr>
        <w:tabs>
          <w:tab w:val="num" w:pos="960"/>
        </w:tabs>
        <w:ind w:left="960" w:hanging="960"/>
      </w:pPr>
      <w:rPr>
        <w:b w:val="0"/>
      </w:rPr>
    </w:lvl>
    <w:lvl w:ilvl="1">
      <w:start w:val="1"/>
      <w:numFmt w:val="decimal"/>
      <w:lvlText w:val="%1.%2."/>
      <w:lvlJc w:val="left"/>
      <w:pPr>
        <w:tabs>
          <w:tab w:val="num" w:pos="1440"/>
        </w:tabs>
        <w:ind w:left="1440" w:hanging="960"/>
      </w:pPr>
      <w:rPr>
        <w:b w:val="0"/>
      </w:rPr>
    </w:lvl>
    <w:lvl w:ilvl="2">
      <w:start w:val="1"/>
      <w:numFmt w:val="decimal"/>
      <w:lvlText w:val="%1.%2.%3."/>
      <w:lvlJc w:val="left"/>
      <w:pPr>
        <w:tabs>
          <w:tab w:val="num" w:pos="1920"/>
        </w:tabs>
        <w:ind w:left="1920" w:hanging="960"/>
      </w:pPr>
      <w:rPr>
        <w:b w:val="0"/>
      </w:rPr>
    </w:lvl>
    <w:lvl w:ilvl="3">
      <w:start w:val="1"/>
      <w:numFmt w:val="decimal"/>
      <w:lvlText w:val="%1.%2.%3.%4."/>
      <w:lvlJc w:val="left"/>
      <w:pPr>
        <w:tabs>
          <w:tab w:val="num" w:pos="2400"/>
        </w:tabs>
        <w:ind w:left="2400" w:hanging="960"/>
      </w:pPr>
      <w:rPr>
        <w:b w:val="0"/>
      </w:rPr>
    </w:lvl>
    <w:lvl w:ilvl="4">
      <w:start w:val="1"/>
      <w:numFmt w:val="decimal"/>
      <w:lvlText w:val="%1.%2.%3.%4.%5."/>
      <w:lvlJc w:val="left"/>
      <w:pPr>
        <w:tabs>
          <w:tab w:val="num" w:pos="3000"/>
        </w:tabs>
        <w:ind w:left="3000" w:hanging="1080"/>
      </w:pPr>
      <w:rPr>
        <w:b w:val="0"/>
      </w:rPr>
    </w:lvl>
    <w:lvl w:ilvl="5">
      <w:start w:val="1"/>
      <w:numFmt w:val="decimal"/>
      <w:lvlText w:val="%1.%2.%3.%4.%5.%6."/>
      <w:lvlJc w:val="left"/>
      <w:pPr>
        <w:tabs>
          <w:tab w:val="num" w:pos="3480"/>
        </w:tabs>
        <w:ind w:left="3480" w:hanging="1080"/>
      </w:pPr>
      <w:rPr>
        <w:b w:val="0"/>
      </w:rPr>
    </w:lvl>
    <w:lvl w:ilvl="6">
      <w:start w:val="1"/>
      <w:numFmt w:val="decimal"/>
      <w:lvlText w:val="%1.%2.%3.%4.%5.%6.%7."/>
      <w:lvlJc w:val="left"/>
      <w:pPr>
        <w:tabs>
          <w:tab w:val="num" w:pos="4320"/>
        </w:tabs>
        <w:ind w:left="4320" w:hanging="1440"/>
      </w:pPr>
      <w:rPr>
        <w:b w:val="0"/>
      </w:rPr>
    </w:lvl>
    <w:lvl w:ilvl="7">
      <w:start w:val="1"/>
      <w:numFmt w:val="decimal"/>
      <w:lvlText w:val="%1.%2.%3.%4.%5.%6.%7.%8."/>
      <w:lvlJc w:val="left"/>
      <w:pPr>
        <w:tabs>
          <w:tab w:val="num" w:pos="4800"/>
        </w:tabs>
        <w:ind w:left="4800" w:hanging="1440"/>
      </w:pPr>
      <w:rPr>
        <w:b w:val="0"/>
      </w:rPr>
    </w:lvl>
    <w:lvl w:ilvl="8">
      <w:start w:val="1"/>
      <w:numFmt w:val="decimal"/>
      <w:lvlText w:val="%1.%2.%3.%4.%5.%6.%7.%8.%9."/>
      <w:lvlJc w:val="left"/>
      <w:pPr>
        <w:tabs>
          <w:tab w:val="num" w:pos="5640"/>
        </w:tabs>
        <w:ind w:left="5640" w:hanging="1800"/>
      </w:pPr>
      <w:rPr>
        <w:b w:val="0"/>
      </w:rPr>
    </w:lvl>
  </w:abstractNum>
  <w:abstractNum w:abstractNumId="2" w15:restartNumberingAfterBreak="0">
    <w:nsid w:val="00000004"/>
    <w:multiLevelType w:val="singleLevel"/>
    <w:tmpl w:val="ACD2A270"/>
    <w:name w:val="WW8Num4"/>
    <w:lvl w:ilvl="0">
      <w:start w:val="1"/>
      <w:numFmt w:val="decimal"/>
      <w:lvlText w:val="%1."/>
      <w:lvlJc w:val="left"/>
      <w:pPr>
        <w:tabs>
          <w:tab w:val="num" w:pos="1211"/>
        </w:tabs>
        <w:ind w:left="1211" w:hanging="360"/>
      </w:pPr>
      <w:rPr>
        <w:rFonts w:cs="Times New Roman"/>
        <w:i w:val="0"/>
      </w:rPr>
    </w:lvl>
  </w:abstractNum>
  <w:abstractNum w:abstractNumId="3" w15:restartNumberingAfterBreak="0">
    <w:nsid w:val="0000000B"/>
    <w:multiLevelType w:val="singleLevel"/>
    <w:tmpl w:val="0000000B"/>
    <w:name w:val="WW8Num11"/>
    <w:lvl w:ilvl="0">
      <w:start w:val="1"/>
      <w:numFmt w:val="bullet"/>
      <w:lvlText w:val="-"/>
      <w:lvlJc w:val="left"/>
      <w:pPr>
        <w:tabs>
          <w:tab w:val="num" w:pos="0"/>
        </w:tabs>
        <w:ind w:left="705" w:hanging="360"/>
      </w:pPr>
      <w:rPr>
        <w:rFonts w:ascii="Times New Roman" w:hAnsi="Times New Roman"/>
        <w:b w:val="0"/>
      </w:rPr>
    </w:lvl>
  </w:abstractNum>
  <w:abstractNum w:abstractNumId="4" w15:restartNumberingAfterBreak="0">
    <w:nsid w:val="048E6DC8"/>
    <w:multiLevelType w:val="hybridMultilevel"/>
    <w:tmpl w:val="E570971A"/>
    <w:lvl w:ilvl="0" w:tplc="ADDA0D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05530202"/>
    <w:multiLevelType w:val="hybridMultilevel"/>
    <w:tmpl w:val="674AF19C"/>
    <w:lvl w:ilvl="0" w:tplc="04190001">
      <w:start w:val="1"/>
      <w:numFmt w:val="bullet"/>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1080"/>
        </w:tabs>
        <w:ind w:left="1080" w:hanging="360"/>
      </w:pPr>
      <w:rPr>
        <w:rFonts w:hint="default"/>
      </w:rPr>
    </w:lvl>
    <w:lvl w:ilvl="2" w:tplc="04190005">
      <w:start w:val="1"/>
      <w:numFmt w:val="bullet"/>
      <w:lvlText w:val=""/>
      <w:lvlJc w:val="left"/>
      <w:pPr>
        <w:tabs>
          <w:tab w:val="num" w:pos="1800"/>
        </w:tabs>
        <w:ind w:left="1800" w:hanging="360"/>
      </w:pPr>
      <w:rPr>
        <w:rFonts w:ascii="Wingdings" w:hAnsi="Wingdings" w:hint="default"/>
      </w:rPr>
    </w:lvl>
    <w:lvl w:ilvl="3" w:tplc="326A5278">
      <w:start w:val="1"/>
      <w:numFmt w:val="upperLetter"/>
      <w:lvlText w:val="%4."/>
      <w:lvlJc w:val="left"/>
      <w:pPr>
        <w:tabs>
          <w:tab w:val="num" w:pos="2520"/>
        </w:tabs>
        <w:ind w:left="2520" w:hanging="360"/>
      </w:pPr>
      <w:rPr>
        <w:rFonts w:hint="default"/>
      </w:rPr>
    </w:lvl>
    <w:lvl w:ilvl="4" w:tplc="0B5C23C6">
      <w:start w:val="4"/>
      <w:numFmt w:val="lowerLetter"/>
      <w:lvlText w:val="%5."/>
      <w:lvlJc w:val="left"/>
      <w:pPr>
        <w:tabs>
          <w:tab w:val="num" w:pos="3240"/>
        </w:tabs>
        <w:ind w:left="3240" w:hanging="360"/>
      </w:pPr>
      <w:rPr>
        <w:rFonts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5B4062B"/>
    <w:multiLevelType w:val="hybridMultilevel"/>
    <w:tmpl w:val="6324EB12"/>
    <w:lvl w:ilvl="0" w:tplc="93C0C39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0C1120B2"/>
    <w:multiLevelType w:val="hybridMultilevel"/>
    <w:tmpl w:val="FCCA9A10"/>
    <w:lvl w:ilvl="0" w:tplc="32F087F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1B3569EC"/>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1B6235B1"/>
    <w:multiLevelType w:val="hybridMultilevel"/>
    <w:tmpl w:val="C5B8B87C"/>
    <w:lvl w:ilvl="0" w:tplc="83746CE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20423FBE"/>
    <w:multiLevelType w:val="hybridMultilevel"/>
    <w:tmpl w:val="76AACBCA"/>
    <w:lvl w:ilvl="0" w:tplc="DA849D84">
      <w:start w:val="1"/>
      <w:numFmt w:val="decimal"/>
      <w:lvlText w:val="%1."/>
      <w:lvlJc w:val="left"/>
      <w:pPr>
        <w:ind w:left="1069"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22606801"/>
    <w:multiLevelType w:val="hybridMultilevel"/>
    <w:tmpl w:val="77C68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A42401"/>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BD5289B"/>
    <w:multiLevelType w:val="hybridMultilevel"/>
    <w:tmpl w:val="FE28F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D420F"/>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466E1C63"/>
    <w:multiLevelType w:val="hybridMultilevel"/>
    <w:tmpl w:val="4BB0281E"/>
    <w:lvl w:ilvl="0" w:tplc="090A0D9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4B123C70"/>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4E36366C"/>
    <w:multiLevelType w:val="hybridMultilevel"/>
    <w:tmpl w:val="E8746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B85276"/>
    <w:multiLevelType w:val="hybridMultilevel"/>
    <w:tmpl w:val="694E5B76"/>
    <w:lvl w:ilvl="0" w:tplc="F09643B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5D7654E6"/>
    <w:multiLevelType w:val="hybridMultilevel"/>
    <w:tmpl w:val="60807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3E38A7"/>
    <w:multiLevelType w:val="hybridMultilevel"/>
    <w:tmpl w:val="E1784482"/>
    <w:lvl w:ilvl="0" w:tplc="4396447E">
      <w:start w:val="1"/>
      <w:numFmt w:val="decimal"/>
      <w:lvlText w:val="%1."/>
      <w:lvlJc w:val="left"/>
      <w:pPr>
        <w:ind w:left="1069" w:hanging="360"/>
      </w:pPr>
      <w:rPr>
        <w:rFonts w:eastAsia="Times New Roman" w:cstheme="minorBid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15:restartNumberingAfterBreak="0">
    <w:nsid w:val="7A5C6517"/>
    <w:multiLevelType w:val="hybridMultilevel"/>
    <w:tmpl w:val="1FD4552A"/>
    <w:lvl w:ilvl="0" w:tplc="2DD842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5"/>
  </w:num>
  <w:num w:numId="2">
    <w:abstractNumId w:val="18"/>
  </w:num>
  <w:num w:numId="3">
    <w:abstractNumId w:val="19"/>
  </w:num>
  <w:num w:numId="4">
    <w:abstractNumId w:val="13"/>
  </w:num>
  <w:num w:numId="5">
    <w:abstractNumId w:val="16"/>
  </w:num>
  <w:num w:numId="6">
    <w:abstractNumId w:val="12"/>
  </w:num>
  <w:num w:numId="7">
    <w:abstractNumId w:val="14"/>
  </w:num>
  <w:num w:numId="8">
    <w:abstractNumId w:val="9"/>
  </w:num>
  <w:num w:numId="9">
    <w:abstractNumId w:val="11"/>
  </w:num>
  <w:num w:numId="10">
    <w:abstractNumId w:val="20"/>
  </w:num>
  <w:num w:numId="11">
    <w:abstractNumId w:val="6"/>
  </w:num>
  <w:num w:numId="12">
    <w:abstractNumId w:val="10"/>
  </w:num>
  <w:num w:numId="13">
    <w:abstractNumId w:val="21"/>
  </w:num>
  <w:num w:numId="14">
    <w:abstractNumId w:val="4"/>
  </w:num>
  <w:num w:numId="15">
    <w:abstractNumId w:val="7"/>
  </w:num>
  <w:num w:numId="16">
    <w:abstractNumId w:val="15"/>
  </w:num>
  <w:num w:numId="17">
    <w:abstractNumId w:val="8"/>
  </w:num>
  <w:num w:numId="18">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cumentProtection w:edit="forms" w:enforcement="1" w:cryptProviderType="rsaAES" w:cryptAlgorithmClass="hash" w:cryptAlgorithmType="typeAny" w:cryptAlgorithmSid="14" w:cryptSpinCount="100000" w:hash="bUdXs5GbnzstazFPFwOmPJ6qT1ExYMtD862GpWnz0EQT3kd68Z6SH8yZr+h5XSJeMTeMdTyGi1JBbwnehf7L9Q==" w:salt="NdfirScl11Hp5RnpLtn3w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F63"/>
    <w:rsid w:val="00002170"/>
    <w:rsid w:val="0000380A"/>
    <w:rsid w:val="00012084"/>
    <w:rsid w:val="000128C7"/>
    <w:rsid w:val="00012C5F"/>
    <w:rsid w:val="00012FF2"/>
    <w:rsid w:val="00014A22"/>
    <w:rsid w:val="00014C5E"/>
    <w:rsid w:val="00017DF8"/>
    <w:rsid w:val="00020731"/>
    <w:rsid w:val="00021D21"/>
    <w:rsid w:val="000228C4"/>
    <w:rsid w:val="00022B2F"/>
    <w:rsid w:val="00024094"/>
    <w:rsid w:val="00027715"/>
    <w:rsid w:val="00030031"/>
    <w:rsid w:val="000342D8"/>
    <w:rsid w:val="000358C9"/>
    <w:rsid w:val="00037244"/>
    <w:rsid w:val="00040AD0"/>
    <w:rsid w:val="000410B7"/>
    <w:rsid w:val="00043875"/>
    <w:rsid w:val="0004513B"/>
    <w:rsid w:val="00046BFD"/>
    <w:rsid w:val="0004727D"/>
    <w:rsid w:val="00051229"/>
    <w:rsid w:val="00051EB9"/>
    <w:rsid w:val="000529D4"/>
    <w:rsid w:val="00060AC6"/>
    <w:rsid w:val="00063103"/>
    <w:rsid w:val="00063D13"/>
    <w:rsid w:val="00063FB0"/>
    <w:rsid w:val="0006458A"/>
    <w:rsid w:val="000671EB"/>
    <w:rsid w:val="00070706"/>
    <w:rsid w:val="000728CB"/>
    <w:rsid w:val="0007335E"/>
    <w:rsid w:val="00074001"/>
    <w:rsid w:val="000745EF"/>
    <w:rsid w:val="00076E34"/>
    <w:rsid w:val="00080D6F"/>
    <w:rsid w:val="00086DC7"/>
    <w:rsid w:val="00091191"/>
    <w:rsid w:val="00093571"/>
    <w:rsid w:val="000953B6"/>
    <w:rsid w:val="000964CE"/>
    <w:rsid w:val="000A157E"/>
    <w:rsid w:val="000A4391"/>
    <w:rsid w:val="000B2BF1"/>
    <w:rsid w:val="000B5BA9"/>
    <w:rsid w:val="000B5EE6"/>
    <w:rsid w:val="000C2E2B"/>
    <w:rsid w:val="000C5476"/>
    <w:rsid w:val="000C6322"/>
    <w:rsid w:val="000D043C"/>
    <w:rsid w:val="000D1888"/>
    <w:rsid w:val="000D1D51"/>
    <w:rsid w:val="000E4CA8"/>
    <w:rsid w:val="000E5A0B"/>
    <w:rsid w:val="000E712C"/>
    <w:rsid w:val="000F165F"/>
    <w:rsid w:val="000F2AFF"/>
    <w:rsid w:val="000F485D"/>
    <w:rsid w:val="000F5208"/>
    <w:rsid w:val="000F56B7"/>
    <w:rsid w:val="000F6128"/>
    <w:rsid w:val="000F6B89"/>
    <w:rsid w:val="00101BE4"/>
    <w:rsid w:val="00106305"/>
    <w:rsid w:val="0011000C"/>
    <w:rsid w:val="00110751"/>
    <w:rsid w:val="00112933"/>
    <w:rsid w:val="00114791"/>
    <w:rsid w:val="00120475"/>
    <w:rsid w:val="00125FC7"/>
    <w:rsid w:val="00130435"/>
    <w:rsid w:val="00134039"/>
    <w:rsid w:val="00135E6A"/>
    <w:rsid w:val="001404B5"/>
    <w:rsid w:val="00143337"/>
    <w:rsid w:val="00143EB6"/>
    <w:rsid w:val="00145EDC"/>
    <w:rsid w:val="00145F83"/>
    <w:rsid w:val="001471D6"/>
    <w:rsid w:val="0014728C"/>
    <w:rsid w:val="00147416"/>
    <w:rsid w:val="00152A10"/>
    <w:rsid w:val="00155122"/>
    <w:rsid w:val="00156A4E"/>
    <w:rsid w:val="0016031F"/>
    <w:rsid w:val="001624CF"/>
    <w:rsid w:val="001645FD"/>
    <w:rsid w:val="00166C6D"/>
    <w:rsid w:val="001732B7"/>
    <w:rsid w:val="00174E13"/>
    <w:rsid w:val="00175D2F"/>
    <w:rsid w:val="001769AF"/>
    <w:rsid w:val="001915DF"/>
    <w:rsid w:val="001929C6"/>
    <w:rsid w:val="001A43BC"/>
    <w:rsid w:val="001A650F"/>
    <w:rsid w:val="001A6893"/>
    <w:rsid w:val="001A76B7"/>
    <w:rsid w:val="001A7AC0"/>
    <w:rsid w:val="001A7F14"/>
    <w:rsid w:val="001B46B9"/>
    <w:rsid w:val="001B506D"/>
    <w:rsid w:val="001B69E4"/>
    <w:rsid w:val="001C0F33"/>
    <w:rsid w:val="001C0F68"/>
    <w:rsid w:val="001C337A"/>
    <w:rsid w:val="001C4CF0"/>
    <w:rsid w:val="001C6181"/>
    <w:rsid w:val="001C63C0"/>
    <w:rsid w:val="001D0630"/>
    <w:rsid w:val="001D2C30"/>
    <w:rsid w:val="001D3B85"/>
    <w:rsid w:val="001D4381"/>
    <w:rsid w:val="001D6E43"/>
    <w:rsid w:val="001D7D2F"/>
    <w:rsid w:val="001E0004"/>
    <w:rsid w:val="001E0423"/>
    <w:rsid w:val="001E1BED"/>
    <w:rsid w:val="001E441F"/>
    <w:rsid w:val="001F257B"/>
    <w:rsid w:val="001F6B82"/>
    <w:rsid w:val="00202F74"/>
    <w:rsid w:val="00210610"/>
    <w:rsid w:val="00211C03"/>
    <w:rsid w:val="00212A18"/>
    <w:rsid w:val="00212C58"/>
    <w:rsid w:val="00213857"/>
    <w:rsid w:val="00214B24"/>
    <w:rsid w:val="00215F4D"/>
    <w:rsid w:val="0021723A"/>
    <w:rsid w:val="00217982"/>
    <w:rsid w:val="00217D8A"/>
    <w:rsid w:val="00217E81"/>
    <w:rsid w:val="00220D5D"/>
    <w:rsid w:val="00222928"/>
    <w:rsid w:val="002249A5"/>
    <w:rsid w:val="0022561F"/>
    <w:rsid w:val="00234BE4"/>
    <w:rsid w:val="0024066B"/>
    <w:rsid w:val="00242BF1"/>
    <w:rsid w:val="00242C11"/>
    <w:rsid w:val="0024434B"/>
    <w:rsid w:val="00245372"/>
    <w:rsid w:val="0024764B"/>
    <w:rsid w:val="0025169B"/>
    <w:rsid w:val="0025200C"/>
    <w:rsid w:val="00252474"/>
    <w:rsid w:val="00254BBF"/>
    <w:rsid w:val="00255958"/>
    <w:rsid w:val="00262A1C"/>
    <w:rsid w:val="00263779"/>
    <w:rsid w:val="00272D39"/>
    <w:rsid w:val="002767DC"/>
    <w:rsid w:val="002816C1"/>
    <w:rsid w:val="00281A7C"/>
    <w:rsid w:val="00283C77"/>
    <w:rsid w:val="00284E48"/>
    <w:rsid w:val="00287E52"/>
    <w:rsid w:val="00292C37"/>
    <w:rsid w:val="00297E3B"/>
    <w:rsid w:val="002A01E2"/>
    <w:rsid w:val="002A243C"/>
    <w:rsid w:val="002A2AD6"/>
    <w:rsid w:val="002A2F07"/>
    <w:rsid w:val="002B0746"/>
    <w:rsid w:val="002B0FBC"/>
    <w:rsid w:val="002B332A"/>
    <w:rsid w:val="002B613E"/>
    <w:rsid w:val="002B7BD5"/>
    <w:rsid w:val="002C1BA9"/>
    <w:rsid w:val="002C2D85"/>
    <w:rsid w:val="002C3D20"/>
    <w:rsid w:val="002C3FE4"/>
    <w:rsid w:val="002C4F1F"/>
    <w:rsid w:val="002C4FF6"/>
    <w:rsid w:val="002D2D98"/>
    <w:rsid w:val="002D45F5"/>
    <w:rsid w:val="002D46F9"/>
    <w:rsid w:val="002D6686"/>
    <w:rsid w:val="002E081A"/>
    <w:rsid w:val="002E1F26"/>
    <w:rsid w:val="002E62A7"/>
    <w:rsid w:val="002F00A8"/>
    <w:rsid w:val="002F05B4"/>
    <w:rsid w:val="002F420B"/>
    <w:rsid w:val="002F4783"/>
    <w:rsid w:val="002F4C11"/>
    <w:rsid w:val="002F4FEB"/>
    <w:rsid w:val="00301E01"/>
    <w:rsid w:val="00303EA7"/>
    <w:rsid w:val="00307B1F"/>
    <w:rsid w:val="00307C1B"/>
    <w:rsid w:val="00307CC4"/>
    <w:rsid w:val="00310DD3"/>
    <w:rsid w:val="00311667"/>
    <w:rsid w:val="00312EF6"/>
    <w:rsid w:val="003132E8"/>
    <w:rsid w:val="00314E80"/>
    <w:rsid w:val="0031611E"/>
    <w:rsid w:val="00320413"/>
    <w:rsid w:val="00321F33"/>
    <w:rsid w:val="00323E9B"/>
    <w:rsid w:val="00324708"/>
    <w:rsid w:val="00326822"/>
    <w:rsid w:val="003310AA"/>
    <w:rsid w:val="00331A41"/>
    <w:rsid w:val="00333286"/>
    <w:rsid w:val="00337614"/>
    <w:rsid w:val="00337D0E"/>
    <w:rsid w:val="00340339"/>
    <w:rsid w:val="00342BE1"/>
    <w:rsid w:val="00344D21"/>
    <w:rsid w:val="00346B70"/>
    <w:rsid w:val="00352AD1"/>
    <w:rsid w:val="00352C0B"/>
    <w:rsid w:val="0035470D"/>
    <w:rsid w:val="00354D2E"/>
    <w:rsid w:val="003607D3"/>
    <w:rsid w:val="003609DE"/>
    <w:rsid w:val="00361895"/>
    <w:rsid w:val="00361DCC"/>
    <w:rsid w:val="00362988"/>
    <w:rsid w:val="00364EDD"/>
    <w:rsid w:val="003655BA"/>
    <w:rsid w:val="00366B26"/>
    <w:rsid w:val="00367D9A"/>
    <w:rsid w:val="00370858"/>
    <w:rsid w:val="00370AAC"/>
    <w:rsid w:val="00370EC6"/>
    <w:rsid w:val="00373F3F"/>
    <w:rsid w:val="00375C1C"/>
    <w:rsid w:val="00376DF7"/>
    <w:rsid w:val="00381A51"/>
    <w:rsid w:val="003867F7"/>
    <w:rsid w:val="00391038"/>
    <w:rsid w:val="003915D4"/>
    <w:rsid w:val="003928EE"/>
    <w:rsid w:val="003A14DC"/>
    <w:rsid w:val="003A3E83"/>
    <w:rsid w:val="003A4C82"/>
    <w:rsid w:val="003B4ECB"/>
    <w:rsid w:val="003B5213"/>
    <w:rsid w:val="003C06E2"/>
    <w:rsid w:val="003C0DE8"/>
    <w:rsid w:val="003C2587"/>
    <w:rsid w:val="003C3F92"/>
    <w:rsid w:val="003C4C5C"/>
    <w:rsid w:val="003C53FB"/>
    <w:rsid w:val="003C6496"/>
    <w:rsid w:val="003C7C44"/>
    <w:rsid w:val="003D088C"/>
    <w:rsid w:val="003D18A2"/>
    <w:rsid w:val="003D1E00"/>
    <w:rsid w:val="003D7714"/>
    <w:rsid w:val="003D79D1"/>
    <w:rsid w:val="003E11B0"/>
    <w:rsid w:val="003E41BA"/>
    <w:rsid w:val="003E60CC"/>
    <w:rsid w:val="003F04BD"/>
    <w:rsid w:val="003F1662"/>
    <w:rsid w:val="003F1848"/>
    <w:rsid w:val="003F1A45"/>
    <w:rsid w:val="003F25A3"/>
    <w:rsid w:val="003F2DC3"/>
    <w:rsid w:val="003F7AB2"/>
    <w:rsid w:val="00402241"/>
    <w:rsid w:val="00402F77"/>
    <w:rsid w:val="004056DA"/>
    <w:rsid w:val="004058A8"/>
    <w:rsid w:val="00407C88"/>
    <w:rsid w:val="004125DA"/>
    <w:rsid w:val="00415523"/>
    <w:rsid w:val="00417802"/>
    <w:rsid w:val="00420CC8"/>
    <w:rsid w:val="00421115"/>
    <w:rsid w:val="00423653"/>
    <w:rsid w:val="00424899"/>
    <w:rsid w:val="004271DE"/>
    <w:rsid w:val="004315AB"/>
    <w:rsid w:val="00435036"/>
    <w:rsid w:val="00436A44"/>
    <w:rsid w:val="00436EF9"/>
    <w:rsid w:val="00437A27"/>
    <w:rsid w:val="00440411"/>
    <w:rsid w:val="0044210C"/>
    <w:rsid w:val="00451BC5"/>
    <w:rsid w:val="004542A9"/>
    <w:rsid w:val="00456CEC"/>
    <w:rsid w:val="00460F63"/>
    <w:rsid w:val="004610FB"/>
    <w:rsid w:val="00462B23"/>
    <w:rsid w:val="004669B2"/>
    <w:rsid w:val="00466AA9"/>
    <w:rsid w:val="0046708A"/>
    <w:rsid w:val="00467AAB"/>
    <w:rsid w:val="004708D3"/>
    <w:rsid w:val="004720A4"/>
    <w:rsid w:val="0047407D"/>
    <w:rsid w:val="00475A8A"/>
    <w:rsid w:val="00475F9A"/>
    <w:rsid w:val="00476AD5"/>
    <w:rsid w:val="00476D71"/>
    <w:rsid w:val="0048045B"/>
    <w:rsid w:val="004809C3"/>
    <w:rsid w:val="00481D77"/>
    <w:rsid w:val="00482C23"/>
    <w:rsid w:val="00485E67"/>
    <w:rsid w:val="00486023"/>
    <w:rsid w:val="004864CB"/>
    <w:rsid w:val="0049043E"/>
    <w:rsid w:val="00495E0B"/>
    <w:rsid w:val="00496A38"/>
    <w:rsid w:val="004A03BD"/>
    <w:rsid w:val="004A1324"/>
    <w:rsid w:val="004A1758"/>
    <w:rsid w:val="004A1812"/>
    <w:rsid w:val="004B6EDA"/>
    <w:rsid w:val="004B75FC"/>
    <w:rsid w:val="004C1D78"/>
    <w:rsid w:val="004C3E09"/>
    <w:rsid w:val="004C468B"/>
    <w:rsid w:val="004C5C26"/>
    <w:rsid w:val="004C7109"/>
    <w:rsid w:val="004D1690"/>
    <w:rsid w:val="004D179B"/>
    <w:rsid w:val="004E0D26"/>
    <w:rsid w:val="004E17B2"/>
    <w:rsid w:val="004E37F0"/>
    <w:rsid w:val="004E3E8D"/>
    <w:rsid w:val="004F0977"/>
    <w:rsid w:val="004F3DF0"/>
    <w:rsid w:val="004F4C35"/>
    <w:rsid w:val="004F5F27"/>
    <w:rsid w:val="005021D4"/>
    <w:rsid w:val="005025E5"/>
    <w:rsid w:val="005073D8"/>
    <w:rsid w:val="00510993"/>
    <w:rsid w:val="00512BFE"/>
    <w:rsid w:val="00514C0E"/>
    <w:rsid w:val="005160BE"/>
    <w:rsid w:val="0051664A"/>
    <w:rsid w:val="005166D2"/>
    <w:rsid w:val="005176F9"/>
    <w:rsid w:val="00523140"/>
    <w:rsid w:val="00525BE7"/>
    <w:rsid w:val="005263C3"/>
    <w:rsid w:val="00530249"/>
    <w:rsid w:val="0053351E"/>
    <w:rsid w:val="00534F67"/>
    <w:rsid w:val="005368C5"/>
    <w:rsid w:val="00536C0E"/>
    <w:rsid w:val="00543849"/>
    <w:rsid w:val="00543937"/>
    <w:rsid w:val="00543A9D"/>
    <w:rsid w:val="00544810"/>
    <w:rsid w:val="005458F6"/>
    <w:rsid w:val="005478C2"/>
    <w:rsid w:val="005511AE"/>
    <w:rsid w:val="00552957"/>
    <w:rsid w:val="00557B68"/>
    <w:rsid w:val="0056094B"/>
    <w:rsid w:val="00560D27"/>
    <w:rsid w:val="0056180A"/>
    <w:rsid w:val="00566946"/>
    <w:rsid w:val="0056742E"/>
    <w:rsid w:val="00572B68"/>
    <w:rsid w:val="00573865"/>
    <w:rsid w:val="00575745"/>
    <w:rsid w:val="00577428"/>
    <w:rsid w:val="005815D2"/>
    <w:rsid w:val="00581BE7"/>
    <w:rsid w:val="00585003"/>
    <w:rsid w:val="00590FFC"/>
    <w:rsid w:val="005913E3"/>
    <w:rsid w:val="0059224C"/>
    <w:rsid w:val="00595B7D"/>
    <w:rsid w:val="00595FCD"/>
    <w:rsid w:val="00597BF0"/>
    <w:rsid w:val="005A07B1"/>
    <w:rsid w:val="005A222F"/>
    <w:rsid w:val="005A3EA8"/>
    <w:rsid w:val="005A47B1"/>
    <w:rsid w:val="005A66B5"/>
    <w:rsid w:val="005A7BA0"/>
    <w:rsid w:val="005B0D23"/>
    <w:rsid w:val="005B3CAA"/>
    <w:rsid w:val="005B5BB4"/>
    <w:rsid w:val="005C02B2"/>
    <w:rsid w:val="005C3947"/>
    <w:rsid w:val="005C4DBD"/>
    <w:rsid w:val="005C5123"/>
    <w:rsid w:val="005D33AD"/>
    <w:rsid w:val="005D5CE2"/>
    <w:rsid w:val="005D5E57"/>
    <w:rsid w:val="005D66AA"/>
    <w:rsid w:val="005D72EF"/>
    <w:rsid w:val="005E07EA"/>
    <w:rsid w:val="005E471D"/>
    <w:rsid w:val="005E54AD"/>
    <w:rsid w:val="005E6EA3"/>
    <w:rsid w:val="005F2799"/>
    <w:rsid w:val="005F2866"/>
    <w:rsid w:val="005F323F"/>
    <w:rsid w:val="005F4C06"/>
    <w:rsid w:val="005F50B5"/>
    <w:rsid w:val="005F6254"/>
    <w:rsid w:val="006010C5"/>
    <w:rsid w:val="00602F9F"/>
    <w:rsid w:val="00603424"/>
    <w:rsid w:val="00605474"/>
    <w:rsid w:val="00606A2B"/>
    <w:rsid w:val="00606B4A"/>
    <w:rsid w:val="00607395"/>
    <w:rsid w:val="006079DD"/>
    <w:rsid w:val="00607F83"/>
    <w:rsid w:val="006124BB"/>
    <w:rsid w:val="006159A2"/>
    <w:rsid w:val="00615D71"/>
    <w:rsid w:val="00617F46"/>
    <w:rsid w:val="00620948"/>
    <w:rsid w:val="006209F0"/>
    <w:rsid w:val="00621519"/>
    <w:rsid w:val="00622FB8"/>
    <w:rsid w:val="0062728F"/>
    <w:rsid w:val="006275CF"/>
    <w:rsid w:val="0063119B"/>
    <w:rsid w:val="0063390A"/>
    <w:rsid w:val="0063682B"/>
    <w:rsid w:val="00637D44"/>
    <w:rsid w:val="00640CC8"/>
    <w:rsid w:val="0064409F"/>
    <w:rsid w:val="00645FEF"/>
    <w:rsid w:val="00647972"/>
    <w:rsid w:val="006504E1"/>
    <w:rsid w:val="0065539A"/>
    <w:rsid w:val="00655694"/>
    <w:rsid w:val="00656829"/>
    <w:rsid w:val="00656F5C"/>
    <w:rsid w:val="00661B7D"/>
    <w:rsid w:val="00663364"/>
    <w:rsid w:val="00663632"/>
    <w:rsid w:val="00664BE9"/>
    <w:rsid w:val="0066533F"/>
    <w:rsid w:val="00666B51"/>
    <w:rsid w:val="00670852"/>
    <w:rsid w:val="00670A97"/>
    <w:rsid w:val="00672DD3"/>
    <w:rsid w:val="006739E4"/>
    <w:rsid w:val="00677589"/>
    <w:rsid w:val="00677CEA"/>
    <w:rsid w:val="00682A1D"/>
    <w:rsid w:val="006878C5"/>
    <w:rsid w:val="00687E26"/>
    <w:rsid w:val="00687EB8"/>
    <w:rsid w:val="00687F14"/>
    <w:rsid w:val="00693D3D"/>
    <w:rsid w:val="00693ED3"/>
    <w:rsid w:val="00697D82"/>
    <w:rsid w:val="006A1121"/>
    <w:rsid w:val="006A4C62"/>
    <w:rsid w:val="006B0EDE"/>
    <w:rsid w:val="006B1C2B"/>
    <w:rsid w:val="006B50B3"/>
    <w:rsid w:val="006B69DE"/>
    <w:rsid w:val="006B73B5"/>
    <w:rsid w:val="006C1C8D"/>
    <w:rsid w:val="006C4716"/>
    <w:rsid w:val="006C563D"/>
    <w:rsid w:val="006C5EAD"/>
    <w:rsid w:val="006C6396"/>
    <w:rsid w:val="006C691A"/>
    <w:rsid w:val="006C705C"/>
    <w:rsid w:val="006D443C"/>
    <w:rsid w:val="006E281B"/>
    <w:rsid w:val="006E6F97"/>
    <w:rsid w:val="006F3AE3"/>
    <w:rsid w:val="006F3BC1"/>
    <w:rsid w:val="00700B4C"/>
    <w:rsid w:val="00702F46"/>
    <w:rsid w:val="00705568"/>
    <w:rsid w:val="00706C11"/>
    <w:rsid w:val="00712783"/>
    <w:rsid w:val="00713AC3"/>
    <w:rsid w:val="00713CF7"/>
    <w:rsid w:val="00714A4B"/>
    <w:rsid w:val="00714D74"/>
    <w:rsid w:val="00715F72"/>
    <w:rsid w:val="007245B4"/>
    <w:rsid w:val="00724A39"/>
    <w:rsid w:val="007271E7"/>
    <w:rsid w:val="0073363B"/>
    <w:rsid w:val="0073700E"/>
    <w:rsid w:val="007370B5"/>
    <w:rsid w:val="00742F33"/>
    <w:rsid w:val="007451D9"/>
    <w:rsid w:val="00745E90"/>
    <w:rsid w:val="00746552"/>
    <w:rsid w:val="00746A41"/>
    <w:rsid w:val="00753B12"/>
    <w:rsid w:val="00755DED"/>
    <w:rsid w:val="00756AF0"/>
    <w:rsid w:val="00763B01"/>
    <w:rsid w:val="00763FF8"/>
    <w:rsid w:val="00770E10"/>
    <w:rsid w:val="00771627"/>
    <w:rsid w:val="0077533A"/>
    <w:rsid w:val="00776645"/>
    <w:rsid w:val="007770D0"/>
    <w:rsid w:val="007774D2"/>
    <w:rsid w:val="0078184F"/>
    <w:rsid w:val="00781ECF"/>
    <w:rsid w:val="00783A88"/>
    <w:rsid w:val="00784434"/>
    <w:rsid w:val="00784B65"/>
    <w:rsid w:val="0078616F"/>
    <w:rsid w:val="00790495"/>
    <w:rsid w:val="007923B1"/>
    <w:rsid w:val="00792595"/>
    <w:rsid w:val="0079385B"/>
    <w:rsid w:val="00793903"/>
    <w:rsid w:val="0079641D"/>
    <w:rsid w:val="007A0119"/>
    <w:rsid w:val="007A4CC5"/>
    <w:rsid w:val="007A6D52"/>
    <w:rsid w:val="007B35D6"/>
    <w:rsid w:val="007B47F7"/>
    <w:rsid w:val="007C10E0"/>
    <w:rsid w:val="007C5448"/>
    <w:rsid w:val="007C6FEC"/>
    <w:rsid w:val="007C78CF"/>
    <w:rsid w:val="007D0804"/>
    <w:rsid w:val="007D79C6"/>
    <w:rsid w:val="007D7D22"/>
    <w:rsid w:val="007E1A65"/>
    <w:rsid w:val="007E1DF9"/>
    <w:rsid w:val="007E5E0A"/>
    <w:rsid w:val="007E6D77"/>
    <w:rsid w:val="007F0B3C"/>
    <w:rsid w:val="007F221E"/>
    <w:rsid w:val="007F3F93"/>
    <w:rsid w:val="007F5F67"/>
    <w:rsid w:val="007F66C8"/>
    <w:rsid w:val="007F754F"/>
    <w:rsid w:val="00802295"/>
    <w:rsid w:val="00803328"/>
    <w:rsid w:val="008040A8"/>
    <w:rsid w:val="008057FF"/>
    <w:rsid w:val="00807DD1"/>
    <w:rsid w:val="008105E5"/>
    <w:rsid w:val="008119BC"/>
    <w:rsid w:val="00813E93"/>
    <w:rsid w:val="008146DF"/>
    <w:rsid w:val="00814C64"/>
    <w:rsid w:val="00820771"/>
    <w:rsid w:val="00821228"/>
    <w:rsid w:val="008225D5"/>
    <w:rsid w:val="0082507B"/>
    <w:rsid w:val="00826A61"/>
    <w:rsid w:val="00831677"/>
    <w:rsid w:val="0084009D"/>
    <w:rsid w:val="0084066C"/>
    <w:rsid w:val="00847775"/>
    <w:rsid w:val="008502D1"/>
    <w:rsid w:val="0085071C"/>
    <w:rsid w:val="008529DE"/>
    <w:rsid w:val="00852E54"/>
    <w:rsid w:val="00853AD1"/>
    <w:rsid w:val="008547DF"/>
    <w:rsid w:val="008557D8"/>
    <w:rsid w:val="008639F3"/>
    <w:rsid w:val="008640B3"/>
    <w:rsid w:val="00867C6E"/>
    <w:rsid w:val="008704AB"/>
    <w:rsid w:val="00870D97"/>
    <w:rsid w:val="0087146D"/>
    <w:rsid w:val="0087297E"/>
    <w:rsid w:val="00875142"/>
    <w:rsid w:val="00875AEF"/>
    <w:rsid w:val="008773B9"/>
    <w:rsid w:val="00877D22"/>
    <w:rsid w:val="00880655"/>
    <w:rsid w:val="00882BFE"/>
    <w:rsid w:val="00882D82"/>
    <w:rsid w:val="00883D03"/>
    <w:rsid w:val="008863A2"/>
    <w:rsid w:val="00887419"/>
    <w:rsid w:val="0089090B"/>
    <w:rsid w:val="00890D6E"/>
    <w:rsid w:val="008915DD"/>
    <w:rsid w:val="008919FB"/>
    <w:rsid w:val="00892117"/>
    <w:rsid w:val="008939BD"/>
    <w:rsid w:val="00893CED"/>
    <w:rsid w:val="00893FF6"/>
    <w:rsid w:val="00894C5D"/>
    <w:rsid w:val="008954DB"/>
    <w:rsid w:val="008A025A"/>
    <w:rsid w:val="008A1198"/>
    <w:rsid w:val="008A2500"/>
    <w:rsid w:val="008A465D"/>
    <w:rsid w:val="008A7106"/>
    <w:rsid w:val="008A765B"/>
    <w:rsid w:val="008B098E"/>
    <w:rsid w:val="008B1CBA"/>
    <w:rsid w:val="008B1CF7"/>
    <w:rsid w:val="008B5A84"/>
    <w:rsid w:val="008B5D60"/>
    <w:rsid w:val="008B5D70"/>
    <w:rsid w:val="008B63DE"/>
    <w:rsid w:val="008C04EE"/>
    <w:rsid w:val="008C1429"/>
    <w:rsid w:val="008C7075"/>
    <w:rsid w:val="008D34B3"/>
    <w:rsid w:val="008D42ED"/>
    <w:rsid w:val="008E211B"/>
    <w:rsid w:val="008E5B91"/>
    <w:rsid w:val="008E7054"/>
    <w:rsid w:val="008F1834"/>
    <w:rsid w:val="008F5C62"/>
    <w:rsid w:val="009007DE"/>
    <w:rsid w:val="00906A26"/>
    <w:rsid w:val="00906C2E"/>
    <w:rsid w:val="00907DEB"/>
    <w:rsid w:val="00913D53"/>
    <w:rsid w:val="009141C4"/>
    <w:rsid w:val="00914C18"/>
    <w:rsid w:val="00921674"/>
    <w:rsid w:val="009233AB"/>
    <w:rsid w:val="00925E70"/>
    <w:rsid w:val="00926710"/>
    <w:rsid w:val="00926B25"/>
    <w:rsid w:val="00926E97"/>
    <w:rsid w:val="00927683"/>
    <w:rsid w:val="00935AF6"/>
    <w:rsid w:val="00935E57"/>
    <w:rsid w:val="00936303"/>
    <w:rsid w:val="0094008F"/>
    <w:rsid w:val="009419AC"/>
    <w:rsid w:val="00946C7E"/>
    <w:rsid w:val="009571CE"/>
    <w:rsid w:val="0096095F"/>
    <w:rsid w:val="0096140B"/>
    <w:rsid w:val="00961B1D"/>
    <w:rsid w:val="00961F96"/>
    <w:rsid w:val="00963B98"/>
    <w:rsid w:val="00966E63"/>
    <w:rsid w:val="00967F40"/>
    <w:rsid w:val="00970967"/>
    <w:rsid w:val="00970C8E"/>
    <w:rsid w:val="009721E3"/>
    <w:rsid w:val="00973640"/>
    <w:rsid w:val="00973FDB"/>
    <w:rsid w:val="00974C00"/>
    <w:rsid w:val="009755B2"/>
    <w:rsid w:val="00981605"/>
    <w:rsid w:val="0098325E"/>
    <w:rsid w:val="00984029"/>
    <w:rsid w:val="00986067"/>
    <w:rsid w:val="009860FF"/>
    <w:rsid w:val="00986E83"/>
    <w:rsid w:val="00987B4F"/>
    <w:rsid w:val="00990F38"/>
    <w:rsid w:val="00991089"/>
    <w:rsid w:val="0099116B"/>
    <w:rsid w:val="00992002"/>
    <w:rsid w:val="009952F3"/>
    <w:rsid w:val="009953B6"/>
    <w:rsid w:val="009964AA"/>
    <w:rsid w:val="009966AE"/>
    <w:rsid w:val="009969E4"/>
    <w:rsid w:val="009A0127"/>
    <w:rsid w:val="009A0A1B"/>
    <w:rsid w:val="009A23DC"/>
    <w:rsid w:val="009A33E8"/>
    <w:rsid w:val="009A785C"/>
    <w:rsid w:val="009A7869"/>
    <w:rsid w:val="009B1D01"/>
    <w:rsid w:val="009B26FC"/>
    <w:rsid w:val="009B2814"/>
    <w:rsid w:val="009B37A1"/>
    <w:rsid w:val="009B5CDA"/>
    <w:rsid w:val="009B62B7"/>
    <w:rsid w:val="009B6CE4"/>
    <w:rsid w:val="009C0198"/>
    <w:rsid w:val="009C3C5E"/>
    <w:rsid w:val="009C46D3"/>
    <w:rsid w:val="009C4FDC"/>
    <w:rsid w:val="009C6E57"/>
    <w:rsid w:val="009C7743"/>
    <w:rsid w:val="009C7A8A"/>
    <w:rsid w:val="009D152D"/>
    <w:rsid w:val="009D2741"/>
    <w:rsid w:val="009D753A"/>
    <w:rsid w:val="009E10F1"/>
    <w:rsid w:val="009E2988"/>
    <w:rsid w:val="009E5BF9"/>
    <w:rsid w:val="009E6C81"/>
    <w:rsid w:val="009E7C40"/>
    <w:rsid w:val="009F4DD3"/>
    <w:rsid w:val="009F57D5"/>
    <w:rsid w:val="009F7338"/>
    <w:rsid w:val="00A000D8"/>
    <w:rsid w:val="00A00B31"/>
    <w:rsid w:val="00A01A48"/>
    <w:rsid w:val="00A03BD0"/>
    <w:rsid w:val="00A04A63"/>
    <w:rsid w:val="00A061A5"/>
    <w:rsid w:val="00A124A2"/>
    <w:rsid w:val="00A12FF7"/>
    <w:rsid w:val="00A1336F"/>
    <w:rsid w:val="00A14C9D"/>
    <w:rsid w:val="00A21A85"/>
    <w:rsid w:val="00A22147"/>
    <w:rsid w:val="00A2227C"/>
    <w:rsid w:val="00A2282F"/>
    <w:rsid w:val="00A233EB"/>
    <w:rsid w:val="00A3239D"/>
    <w:rsid w:val="00A330AC"/>
    <w:rsid w:val="00A3455E"/>
    <w:rsid w:val="00A35254"/>
    <w:rsid w:val="00A365D8"/>
    <w:rsid w:val="00A37607"/>
    <w:rsid w:val="00A42232"/>
    <w:rsid w:val="00A442FD"/>
    <w:rsid w:val="00A448F8"/>
    <w:rsid w:val="00A511D5"/>
    <w:rsid w:val="00A5133C"/>
    <w:rsid w:val="00A52FF2"/>
    <w:rsid w:val="00A53376"/>
    <w:rsid w:val="00A5786F"/>
    <w:rsid w:val="00A61806"/>
    <w:rsid w:val="00A62585"/>
    <w:rsid w:val="00A6417E"/>
    <w:rsid w:val="00A65749"/>
    <w:rsid w:val="00A67D49"/>
    <w:rsid w:val="00A70B1C"/>
    <w:rsid w:val="00A731FF"/>
    <w:rsid w:val="00A7399B"/>
    <w:rsid w:val="00A76D7C"/>
    <w:rsid w:val="00A816AD"/>
    <w:rsid w:val="00A81FA8"/>
    <w:rsid w:val="00A822FE"/>
    <w:rsid w:val="00A82DB7"/>
    <w:rsid w:val="00A83D07"/>
    <w:rsid w:val="00A87EF8"/>
    <w:rsid w:val="00A9038E"/>
    <w:rsid w:val="00A91E9A"/>
    <w:rsid w:val="00A9528F"/>
    <w:rsid w:val="00A952D9"/>
    <w:rsid w:val="00A96E8D"/>
    <w:rsid w:val="00AA07AF"/>
    <w:rsid w:val="00AA0D23"/>
    <w:rsid w:val="00AA4D48"/>
    <w:rsid w:val="00AA74B5"/>
    <w:rsid w:val="00AA7F00"/>
    <w:rsid w:val="00AB0B1A"/>
    <w:rsid w:val="00AB1765"/>
    <w:rsid w:val="00AB1AAB"/>
    <w:rsid w:val="00AB26CA"/>
    <w:rsid w:val="00AB4E3A"/>
    <w:rsid w:val="00AB62C1"/>
    <w:rsid w:val="00AB7040"/>
    <w:rsid w:val="00AC080F"/>
    <w:rsid w:val="00AC26B8"/>
    <w:rsid w:val="00AC3108"/>
    <w:rsid w:val="00AC338D"/>
    <w:rsid w:val="00AC5177"/>
    <w:rsid w:val="00AC5AD6"/>
    <w:rsid w:val="00AD0D6B"/>
    <w:rsid w:val="00AD5EEA"/>
    <w:rsid w:val="00AD665D"/>
    <w:rsid w:val="00AE0252"/>
    <w:rsid w:val="00AE0FB9"/>
    <w:rsid w:val="00AE1539"/>
    <w:rsid w:val="00AE47A0"/>
    <w:rsid w:val="00AE67C2"/>
    <w:rsid w:val="00AF3C2E"/>
    <w:rsid w:val="00AF508F"/>
    <w:rsid w:val="00AF50DF"/>
    <w:rsid w:val="00B0245E"/>
    <w:rsid w:val="00B03422"/>
    <w:rsid w:val="00B03B1D"/>
    <w:rsid w:val="00B04AC3"/>
    <w:rsid w:val="00B04EF5"/>
    <w:rsid w:val="00B0731D"/>
    <w:rsid w:val="00B10147"/>
    <w:rsid w:val="00B11C46"/>
    <w:rsid w:val="00B12489"/>
    <w:rsid w:val="00B1533D"/>
    <w:rsid w:val="00B15B6B"/>
    <w:rsid w:val="00B20C64"/>
    <w:rsid w:val="00B219A3"/>
    <w:rsid w:val="00B23053"/>
    <w:rsid w:val="00B3009F"/>
    <w:rsid w:val="00B33512"/>
    <w:rsid w:val="00B370C9"/>
    <w:rsid w:val="00B407E3"/>
    <w:rsid w:val="00B411CE"/>
    <w:rsid w:val="00B42A52"/>
    <w:rsid w:val="00B42C15"/>
    <w:rsid w:val="00B448E0"/>
    <w:rsid w:val="00B463CB"/>
    <w:rsid w:val="00B464E6"/>
    <w:rsid w:val="00B46F7A"/>
    <w:rsid w:val="00B50EA6"/>
    <w:rsid w:val="00B5161C"/>
    <w:rsid w:val="00B517EB"/>
    <w:rsid w:val="00B54C47"/>
    <w:rsid w:val="00B54DED"/>
    <w:rsid w:val="00B6374F"/>
    <w:rsid w:val="00B64907"/>
    <w:rsid w:val="00B64947"/>
    <w:rsid w:val="00B64E58"/>
    <w:rsid w:val="00B64F0C"/>
    <w:rsid w:val="00B675A3"/>
    <w:rsid w:val="00B778D7"/>
    <w:rsid w:val="00B81ED5"/>
    <w:rsid w:val="00B8223A"/>
    <w:rsid w:val="00B8346C"/>
    <w:rsid w:val="00B86251"/>
    <w:rsid w:val="00B86F5C"/>
    <w:rsid w:val="00B878AF"/>
    <w:rsid w:val="00B935CC"/>
    <w:rsid w:val="00B97AF2"/>
    <w:rsid w:val="00BA181B"/>
    <w:rsid w:val="00BA2091"/>
    <w:rsid w:val="00BA62CB"/>
    <w:rsid w:val="00BA7567"/>
    <w:rsid w:val="00BB412C"/>
    <w:rsid w:val="00BB4B9B"/>
    <w:rsid w:val="00BB51BA"/>
    <w:rsid w:val="00BB697B"/>
    <w:rsid w:val="00BC084A"/>
    <w:rsid w:val="00BC1006"/>
    <w:rsid w:val="00BC1CC7"/>
    <w:rsid w:val="00BC3FD7"/>
    <w:rsid w:val="00BC4F65"/>
    <w:rsid w:val="00BC696F"/>
    <w:rsid w:val="00BC69BC"/>
    <w:rsid w:val="00BC7844"/>
    <w:rsid w:val="00BC7C0F"/>
    <w:rsid w:val="00BD034E"/>
    <w:rsid w:val="00BD7E80"/>
    <w:rsid w:val="00BE0990"/>
    <w:rsid w:val="00BE141B"/>
    <w:rsid w:val="00BE3DD4"/>
    <w:rsid w:val="00BE4FE1"/>
    <w:rsid w:val="00BF2BC4"/>
    <w:rsid w:val="00BF2C01"/>
    <w:rsid w:val="00BF5546"/>
    <w:rsid w:val="00BF632A"/>
    <w:rsid w:val="00BF6D2D"/>
    <w:rsid w:val="00BF72C1"/>
    <w:rsid w:val="00C002F4"/>
    <w:rsid w:val="00C01419"/>
    <w:rsid w:val="00C03003"/>
    <w:rsid w:val="00C03887"/>
    <w:rsid w:val="00C12514"/>
    <w:rsid w:val="00C12653"/>
    <w:rsid w:val="00C1367E"/>
    <w:rsid w:val="00C20794"/>
    <w:rsid w:val="00C21976"/>
    <w:rsid w:val="00C22037"/>
    <w:rsid w:val="00C23A80"/>
    <w:rsid w:val="00C25D8F"/>
    <w:rsid w:val="00C3326B"/>
    <w:rsid w:val="00C33D9E"/>
    <w:rsid w:val="00C3597B"/>
    <w:rsid w:val="00C37163"/>
    <w:rsid w:val="00C44FE8"/>
    <w:rsid w:val="00C453C0"/>
    <w:rsid w:val="00C47738"/>
    <w:rsid w:val="00C50069"/>
    <w:rsid w:val="00C50C1A"/>
    <w:rsid w:val="00C535B1"/>
    <w:rsid w:val="00C55464"/>
    <w:rsid w:val="00C56137"/>
    <w:rsid w:val="00C65924"/>
    <w:rsid w:val="00C67491"/>
    <w:rsid w:val="00C67A7E"/>
    <w:rsid w:val="00C70D7A"/>
    <w:rsid w:val="00C7108E"/>
    <w:rsid w:val="00C711BD"/>
    <w:rsid w:val="00C74BC5"/>
    <w:rsid w:val="00C76E6E"/>
    <w:rsid w:val="00C77632"/>
    <w:rsid w:val="00C81556"/>
    <w:rsid w:val="00C8274F"/>
    <w:rsid w:val="00C82DEF"/>
    <w:rsid w:val="00C8480F"/>
    <w:rsid w:val="00C86744"/>
    <w:rsid w:val="00C90400"/>
    <w:rsid w:val="00C9043A"/>
    <w:rsid w:val="00C93CEF"/>
    <w:rsid w:val="00C952AD"/>
    <w:rsid w:val="00C95B8F"/>
    <w:rsid w:val="00C96D2C"/>
    <w:rsid w:val="00CA393A"/>
    <w:rsid w:val="00CA71FA"/>
    <w:rsid w:val="00CB2795"/>
    <w:rsid w:val="00CB5BBD"/>
    <w:rsid w:val="00CB6B2B"/>
    <w:rsid w:val="00CD0C56"/>
    <w:rsid w:val="00CD5FCE"/>
    <w:rsid w:val="00CD71F2"/>
    <w:rsid w:val="00CE4EB1"/>
    <w:rsid w:val="00CF16BB"/>
    <w:rsid w:val="00CF1941"/>
    <w:rsid w:val="00CF300D"/>
    <w:rsid w:val="00CF312B"/>
    <w:rsid w:val="00CF6D53"/>
    <w:rsid w:val="00CF76F9"/>
    <w:rsid w:val="00D0270E"/>
    <w:rsid w:val="00D04631"/>
    <w:rsid w:val="00D04A8B"/>
    <w:rsid w:val="00D04FC6"/>
    <w:rsid w:val="00D12AE4"/>
    <w:rsid w:val="00D131B6"/>
    <w:rsid w:val="00D137B3"/>
    <w:rsid w:val="00D14428"/>
    <w:rsid w:val="00D16DBB"/>
    <w:rsid w:val="00D21861"/>
    <w:rsid w:val="00D23270"/>
    <w:rsid w:val="00D236C8"/>
    <w:rsid w:val="00D31F5C"/>
    <w:rsid w:val="00D32A04"/>
    <w:rsid w:val="00D338BA"/>
    <w:rsid w:val="00D364A7"/>
    <w:rsid w:val="00D42348"/>
    <w:rsid w:val="00D464B5"/>
    <w:rsid w:val="00D50C2F"/>
    <w:rsid w:val="00D52283"/>
    <w:rsid w:val="00D53870"/>
    <w:rsid w:val="00D55B8C"/>
    <w:rsid w:val="00D57714"/>
    <w:rsid w:val="00D601F6"/>
    <w:rsid w:val="00D608E8"/>
    <w:rsid w:val="00D60A88"/>
    <w:rsid w:val="00D61D5E"/>
    <w:rsid w:val="00D62DD4"/>
    <w:rsid w:val="00D63F83"/>
    <w:rsid w:val="00D64145"/>
    <w:rsid w:val="00D658A9"/>
    <w:rsid w:val="00D66E71"/>
    <w:rsid w:val="00D70452"/>
    <w:rsid w:val="00D70AFC"/>
    <w:rsid w:val="00D714A1"/>
    <w:rsid w:val="00D725BD"/>
    <w:rsid w:val="00D72A07"/>
    <w:rsid w:val="00D72AAA"/>
    <w:rsid w:val="00D72E28"/>
    <w:rsid w:val="00D730B8"/>
    <w:rsid w:val="00D7382D"/>
    <w:rsid w:val="00D73E0B"/>
    <w:rsid w:val="00D76E20"/>
    <w:rsid w:val="00D7711D"/>
    <w:rsid w:val="00D8093F"/>
    <w:rsid w:val="00D81063"/>
    <w:rsid w:val="00D813AA"/>
    <w:rsid w:val="00D8534F"/>
    <w:rsid w:val="00D858C5"/>
    <w:rsid w:val="00D91C37"/>
    <w:rsid w:val="00D92D7D"/>
    <w:rsid w:val="00D92E77"/>
    <w:rsid w:val="00DA4C4F"/>
    <w:rsid w:val="00DA55C2"/>
    <w:rsid w:val="00DA7874"/>
    <w:rsid w:val="00DB07F5"/>
    <w:rsid w:val="00DB1B32"/>
    <w:rsid w:val="00DB3440"/>
    <w:rsid w:val="00DB40EB"/>
    <w:rsid w:val="00DB5994"/>
    <w:rsid w:val="00DB59D7"/>
    <w:rsid w:val="00DC02A3"/>
    <w:rsid w:val="00DC24BD"/>
    <w:rsid w:val="00DC500B"/>
    <w:rsid w:val="00DD1601"/>
    <w:rsid w:val="00DD1626"/>
    <w:rsid w:val="00DD50F5"/>
    <w:rsid w:val="00DE482D"/>
    <w:rsid w:val="00DE602B"/>
    <w:rsid w:val="00DF2F65"/>
    <w:rsid w:val="00DF665D"/>
    <w:rsid w:val="00DF6711"/>
    <w:rsid w:val="00DF6DA6"/>
    <w:rsid w:val="00E023F2"/>
    <w:rsid w:val="00E028EF"/>
    <w:rsid w:val="00E0334F"/>
    <w:rsid w:val="00E03F31"/>
    <w:rsid w:val="00E04DB8"/>
    <w:rsid w:val="00E11AE4"/>
    <w:rsid w:val="00E13208"/>
    <w:rsid w:val="00E152BE"/>
    <w:rsid w:val="00E21F7F"/>
    <w:rsid w:val="00E227C6"/>
    <w:rsid w:val="00E24B74"/>
    <w:rsid w:val="00E24DEC"/>
    <w:rsid w:val="00E260E5"/>
    <w:rsid w:val="00E269E5"/>
    <w:rsid w:val="00E30802"/>
    <w:rsid w:val="00E318DC"/>
    <w:rsid w:val="00E31D37"/>
    <w:rsid w:val="00E328BC"/>
    <w:rsid w:val="00E34B92"/>
    <w:rsid w:val="00E3549C"/>
    <w:rsid w:val="00E3716F"/>
    <w:rsid w:val="00E433D4"/>
    <w:rsid w:val="00E43D80"/>
    <w:rsid w:val="00E45A7E"/>
    <w:rsid w:val="00E47C34"/>
    <w:rsid w:val="00E51608"/>
    <w:rsid w:val="00E53515"/>
    <w:rsid w:val="00E53A99"/>
    <w:rsid w:val="00E56366"/>
    <w:rsid w:val="00E62DF9"/>
    <w:rsid w:val="00E636A2"/>
    <w:rsid w:val="00E6538B"/>
    <w:rsid w:val="00E66E9E"/>
    <w:rsid w:val="00E71471"/>
    <w:rsid w:val="00E718A7"/>
    <w:rsid w:val="00E74A75"/>
    <w:rsid w:val="00E75394"/>
    <w:rsid w:val="00E7721D"/>
    <w:rsid w:val="00E8391D"/>
    <w:rsid w:val="00E84A69"/>
    <w:rsid w:val="00E86040"/>
    <w:rsid w:val="00E86679"/>
    <w:rsid w:val="00E86CEB"/>
    <w:rsid w:val="00E90C56"/>
    <w:rsid w:val="00E96E97"/>
    <w:rsid w:val="00E96F77"/>
    <w:rsid w:val="00E9728E"/>
    <w:rsid w:val="00E97B7A"/>
    <w:rsid w:val="00EA04CC"/>
    <w:rsid w:val="00EA2B01"/>
    <w:rsid w:val="00EA406E"/>
    <w:rsid w:val="00EA5D82"/>
    <w:rsid w:val="00EA6013"/>
    <w:rsid w:val="00EB2210"/>
    <w:rsid w:val="00EB2D31"/>
    <w:rsid w:val="00EB417F"/>
    <w:rsid w:val="00EB41F5"/>
    <w:rsid w:val="00EB54DF"/>
    <w:rsid w:val="00EC3757"/>
    <w:rsid w:val="00EC6D02"/>
    <w:rsid w:val="00ED03FF"/>
    <w:rsid w:val="00ED24A3"/>
    <w:rsid w:val="00ED5C73"/>
    <w:rsid w:val="00ED5D80"/>
    <w:rsid w:val="00EE0234"/>
    <w:rsid w:val="00EE07AC"/>
    <w:rsid w:val="00EE0E06"/>
    <w:rsid w:val="00EE3DAD"/>
    <w:rsid w:val="00EF0AB1"/>
    <w:rsid w:val="00EF3622"/>
    <w:rsid w:val="00EF57CC"/>
    <w:rsid w:val="00EF5E70"/>
    <w:rsid w:val="00EF697D"/>
    <w:rsid w:val="00EF7ECB"/>
    <w:rsid w:val="00F006BC"/>
    <w:rsid w:val="00F011DF"/>
    <w:rsid w:val="00F0289D"/>
    <w:rsid w:val="00F02C22"/>
    <w:rsid w:val="00F04715"/>
    <w:rsid w:val="00F07ACB"/>
    <w:rsid w:val="00F101AB"/>
    <w:rsid w:val="00F14CD2"/>
    <w:rsid w:val="00F16DA7"/>
    <w:rsid w:val="00F20184"/>
    <w:rsid w:val="00F204EA"/>
    <w:rsid w:val="00F233E2"/>
    <w:rsid w:val="00F23681"/>
    <w:rsid w:val="00F2569A"/>
    <w:rsid w:val="00F256FD"/>
    <w:rsid w:val="00F3091E"/>
    <w:rsid w:val="00F3276D"/>
    <w:rsid w:val="00F330E0"/>
    <w:rsid w:val="00F34AC7"/>
    <w:rsid w:val="00F355B5"/>
    <w:rsid w:val="00F36C5A"/>
    <w:rsid w:val="00F413CB"/>
    <w:rsid w:val="00F428D4"/>
    <w:rsid w:val="00F42F7A"/>
    <w:rsid w:val="00F4461B"/>
    <w:rsid w:val="00F45B07"/>
    <w:rsid w:val="00F47BA0"/>
    <w:rsid w:val="00F53960"/>
    <w:rsid w:val="00F53C45"/>
    <w:rsid w:val="00F554F3"/>
    <w:rsid w:val="00F57FCA"/>
    <w:rsid w:val="00F60DC5"/>
    <w:rsid w:val="00F60DFD"/>
    <w:rsid w:val="00F637F4"/>
    <w:rsid w:val="00F64055"/>
    <w:rsid w:val="00F647A8"/>
    <w:rsid w:val="00F64ECC"/>
    <w:rsid w:val="00F659EB"/>
    <w:rsid w:val="00F66800"/>
    <w:rsid w:val="00F66BDB"/>
    <w:rsid w:val="00F70340"/>
    <w:rsid w:val="00F70D20"/>
    <w:rsid w:val="00F7440D"/>
    <w:rsid w:val="00F7701E"/>
    <w:rsid w:val="00F776F7"/>
    <w:rsid w:val="00F77C87"/>
    <w:rsid w:val="00F8080C"/>
    <w:rsid w:val="00F81ECF"/>
    <w:rsid w:val="00F81F79"/>
    <w:rsid w:val="00F843A0"/>
    <w:rsid w:val="00F84F12"/>
    <w:rsid w:val="00F86FB8"/>
    <w:rsid w:val="00F90E8F"/>
    <w:rsid w:val="00F93B7F"/>
    <w:rsid w:val="00F95109"/>
    <w:rsid w:val="00F95308"/>
    <w:rsid w:val="00F971D5"/>
    <w:rsid w:val="00FA1B45"/>
    <w:rsid w:val="00FA3E8F"/>
    <w:rsid w:val="00FA61C6"/>
    <w:rsid w:val="00FA795C"/>
    <w:rsid w:val="00FB0599"/>
    <w:rsid w:val="00FB12C0"/>
    <w:rsid w:val="00FB3A3B"/>
    <w:rsid w:val="00FB4D60"/>
    <w:rsid w:val="00FB4E3A"/>
    <w:rsid w:val="00FB72F7"/>
    <w:rsid w:val="00FC17AB"/>
    <w:rsid w:val="00FD017B"/>
    <w:rsid w:val="00FD5FFD"/>
    <w:rsid w:val="00FD6B73"/>
    <w:rsid w:val="00FD7FCB"/>
    <w:rsid w:val="00FE335F"/>
    <w:rsid w:val="00FE3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64465"/>
  <w15:docId w15:val="{D7D29F3C-FBB3-4783-A243-4C01BE7BE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4BC5"/>
  </w:style>
  <w:style w:type="paragraph" w:styleId="Heading1">
    <w:name w:val="heading 1"/>
    <w:basedOn w:val="Normal"/>
    <w:next w:val="Normal"/>
    <w:link w:val="Heading1Char"/>
    <w:uiPriority w:val="9"/>
    <w:qFormat/>
    <w:rsid w:val="004C1D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B862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C67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qFormat/>
    <w:rsid w:val="009B6CE4"/>
    <w:pPr>
      <w:keepNext/>
      <w:tabs>
        <w:tab w:val="num" w:pos="0"/>
      </w:tabs>
      <w:suppressAutoHyphens/>
      <w:spacing w:before="240" w:after="60" w:line="240" w:lineRule="auto"/>
      <w:ind w:left="864" w:hanging="864"/>
      <w:outlineLvl w:val="3"/>
    </w:pPr>
    <w:rPr>
      <w:rFonts w:ascii="Calibri" w:eastAsia="Calibri" w:hAnsi="Calibri" w:cs="Calibri"/>
      <w:b/>
      <w:bCs/>
      <w:sz w:val="28"/>
      <w:szCs w:val="28"/>
      <w:lang w:val="uk-UA" w:eastAsia="ar-SA"/>
    </w:rPr>
  </w:style>
  <w:style w:type="paragraph" w:styleId="Heading5">
    <w:name w:val="heading 5"/>
    <w:basedOn w:val="Title"/>
    <w:next w:val="BodyText"/>
    <w:link w:val="Heading5Char"/>
    <w:qFormat/>
    <w:rsid w:val="009B6CE4"/>
    <w:pPr>
      <w:keepNext/>
      <w:tabs>
        <w:tab w:val="num" w:pos="0"/>
      </w:tabs>
      <w:spacing w:before="240" w:after="120" w:line="240" w:lineRule="auto"/>
      <w:ind w:left="1008" w:hanging="1008"/>
      <w:jc w:val="left"/>
      <w:outlineLvl w:val="4"/>
    </w:pPr>
    <w:rPr>
      <w:rFonts w:ascii="Arial" w:hAnsi="Arial" w:cs="Mangal"/>
      <w:caps w:val="0"/>
      <w:sz w:val="24"/>
      <w:szCs w:val="24"/>
      <w:lang w:val="uk-UA"/>
    </w:rPr>
  </w:style>
  <w:style w:type="paragraph" w:styleId="Heading6">
    <w:name w:val="heading 6"/>
    <w:basedOn w:val="Normal"/>
    <w:next w:val="Normal"/>
    <w:link w:val="Heading6Char"/>
    <w:qFormat/>
    <w:rsid w:val="009B6CE4"/>
    <w:pPr>
      <w:suppressAutoHyphens/>
      <w:spacing w:before="240" w:after="60" w:line="240" w:lineRule="auto"/>
      <w:outlineLvl w:val="5"/>
    </w:pPr>
    <w:rPr>
      <w:rFonts w:ascii="Calibri" w:eastAsia="Calibri" w:hAnsi="Calibri" w:cs="Times New Roman"/>
      <w:b/>
      <w:bCs/>
      <w:lang w:val="uk-UA" w:eastAsia="ar-SA"/>
    </w:rPr>
  </w:style>
  <w:style w:type="paragraph" w:styleId="Heading7">
    <w:name w:val="heading 7"/>
    <w:basedOn w:val="Title"/>
    <w:next w:val="BodyText"/>
    <w:link w:val="Heading7Char"/>
    <w:qFormat/>
    <w:rsid w:val="009B6CE4"/>
    <w:pPr>
      <w:keepNext/>
      <w:tabs>
        <w:tab w:val="num" w:pos="0"/>
      </w:tabs>
      <w:spacing w:before="240" w:after="120" w:line="240" w:lineRule="auto"/>
      <w:ind w:left="1296" w:hanging="1296"/>
      <w:jc w:val="left"/>
      <w:outlineLvl w:val="6"/>
    </w:pPr>
    <w:rPr>
      <w:rFonts w:ascii="Arial" w:hAnsi="Arial" w:cs="Mangal"/>
      <w:caps w:val="0"/>
      <w:sz w:val="21"/>
      <w:szCs w:val="21"/>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243C"/>
    <w:pPr>
      <w:ind w:left="720"/>
      <w:contextualSpacing/>
    </w:pPr>
  </w:style>
  <w:style w:type="character" w:customStyle="1" w:styleId="Heading1Char">
    <w:name w:val="Heading 1 Char"/>
    <w:basedOn w:val="DefaultParagraphFont"/>
    <w:link w:val="Heading1"/>
    <w:uiPriority w:val="9"/>
    <w:rsid w:val="004C1D78"/>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AC338D"/>
  </w:style>
  <w:style w:type="character" w:customStyle="1" w:styleId="Heading2Char">
    <w:name w:val="Heading 2 Char"/>
    <w:basedOn w:val="DefaultParagraphFont"/>
    <w:link w:val="Heading2"/>
    <w:rsid w:val="00B86251"/>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7F5F67"/>
    <w:rPr>
      <w:color w:val="0000FF"/>
      <w:u w:val="single"/>
    </w:rPr>
  </w:style>
  <w:style w:type="character" w:customStyle="1" w:styleId="apple-converted-space">
    <w:name w:val="apple-converted-space"/>
    <w:basedOn w:val="DefaultParagraphFont"/>
    <w:rsid w:val="007F5F67"/>
  </w:style>
  <w:style w:type="table" w:styleId="TableGrid">
    <w:name w:val="Table Grid"/>
    <w:basedOn w:val="TableNormal"/>
    <w:rsid w:val="007F5F67"/>
    <w:pPr>
      <w:spacing w:after="0" w:line="240" w:lineRule="auto"/>
    </w:pPr>
    <w:rPr>
      <w:rFonts w:ascii="Times New Roman" w:eastAsia="Andale Sans UI" w:hAnsi="Times New Roman" w:cs="Tahoma"/>
      <w:sz w:val="20"/>
      <w:szCs w:val="20"/>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F5F67"/>
    <w:rPr>
      <w:sz w:val="16"/>
      <w:szCs w:val="16"/>
    </w:rPr>
  </w:style>
  <w:style w:type="paragraph" w:styleId="CommentText">
    <w:name w:val="annotation text"/>
    <w:basedOn w:val="Normal"/>
    <w:link w:val="CommentTextChar"/>
    <w:uiPriority w:val="99"/>
    <w:semiHidden/>
    <w:unhideWhenUsed/>
    <w:rsid w:val="007F5F67"/>
    <w:pPr>
      <w:widowControl w:val="0"/>
      <w:suppressAutoHyphens/>
      <w:autoSpaceDN w:val="0"/>
      <w:spacing w:after="0" w:line="240" w:lineRule="auto"/>
      <w:textAlignment w:val="baseline"/>
    </w:pPr>
    <w:rPr>
      <w:rFonts w:ascii="Times New Roman" w:eastAsia="Andale Sans UI" w:hAnsi="Times New Roman" w:cs="Tahoma"/>
      <w:kern w:val="3"/>
      <w:sz w:val="20"/>
      <w:szCs w:val="20"/>
      <w:lang w:val="de-DE" w:eastAsia="ja-JP" w:bidi="fa-IR"/>
    </w:rPr>
  </w:style>
  <w:style w:type="character" w:customStyle="1" w:styleId="CommentTextChar">
    <w:name w:val="Comment Text Char"/>
    <w:basedOn w:val="DefaultParagraphFont"/>
    <w:link w:val="CommentText"/>
    <w:uiPriority w:val="99"/>
    <w:semiHidden/>
    <w:rsid w:val="007F5F67"/>
    <w:rPr>
      <w:rFonts w:ascii="Times New Roman" w:eastAsia="Andale Sans UI" w:hAnsi="Times New Roman" w:cs="Tahoma"/>
      <w:kern w:val="3"/>
      <w:sz w:val="20"/>
      <w:szCs w:val="20"/>
      <w:lang w:val="de-DE" w:eastAsia="ja-JP" w:bidi="fa-IR"/>
    </w:rPr>
  </w:style>
  <w:style w:type="paragraph" w:styleId="NormalWeb">
    <w:name w:val="Normal (Web)"/>
    <w:basedOn w:val="Normal"/>
    <w:uiPriority w:val="99"/>
    <w:unhideWhenUsed/>
    <w:rsid w:val="007F5F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eading3Char">
    <w:name w:val="Heading 3 Char"/>
    <w:basedOn w:val="DefaultParagraphFont"/>
    <w:link w:val="Heading3"/>
    <w:rsid w:val="00C67A7E"/>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DefaultParagraphFont"/>
    <w:rsid w:val="00963B98"/>
  </w:style>
  <w:style w:type="paragraph" w:styleId="BalloonText">
    <w:name w:val="Balloon Text"/>
    <w:basedOn w:val="Normal"/>
    <w:link w:val="BalloonTextChar"/>
    <w:unhideWhenUsed/>
    <w:rsid w:val="000438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043875"/>
    <w:rPr>
      <w:rFonts w:ascii="Segoe UI" w:hAnsi="Segoe UI" w:cs="Segoe UI"/>
      <w:sz w:val="18"/>
      <w:szCs w:val="18"/>
    </w:rPr>
  </w:style>
  <w:style w:type="table" w:customStyle="1" w:styleId="TableGrid1">
    <w:name w:val="Table Grid1"/>
    <w:basedOn w:val="TableNormal"/>
    <w:next w:val="TableGrid"/>
    <w:rsid w:val="00E34B9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FA61C6"/>
    <w:pPr>
      <w:widowControl w:val="0"/>
      <w:spacing w:after="0" w:line="360" w:lineRule="auto"/>
      <w:jc w:val="both"/>
    </w:pPr>
    <w:rPr>
      <w:rFonts w:ascii="Times New Roman" w:eastAsia="Times New Roman" w:hAnsi="Times New Roman" w:cs="Times New Roman"/>
      <w:snapToGrid w:val="0"/>
      <w:sz w:val="28"/>
      <w:szCs w:val="20"/>
      <w:lang w:val="ru-RU" w:eastAsia="ru-RU"/>
    </w:rPr>
  </w:style>
  <w:style w:type="character" w:customStyle="1" w:styleId="BodyText2Char">
    <w:name w:val="Body Text 2 Char"/>
    <w:basedOn w:val="DefaultParagraphFont"/>
    <w:link w:val="BodyText2"/>
    <w:rsid w:val="00FA61C6"/>
    <w:rPr>
      <w:rFonts w:ascii="Times New Roman" w:eastAsia="Times New Roman" w:hAnsi="Times New Roman" w:cs="Times New Roman"/>
      <w:snapToGrid w:val="0"/>
      <w:sz w:val="28"/>
      <w:szCs w:val="20"/>
      <w:lang w:val="ru-RU" w:eastAsia="ru-RU"/>
    </w:rPr>
  </w:style>
  <w:style w:type="paragraph" w:styleId="BodyText">
    <w:name w:val="Body Text"/>
    <w:basedOn w:val="Normal"/>
    <w:link w:val="BodyTextChar"/>
    <w:unhideWhenUsed/>
    <w:rsid w:val="005A07B1"/>
    <w:pPr>
      <w:spacing w:after="120"/>
    </w:pPr>
  </w:style>
  <w:style w:type="character" w:customStyle="1" w:styleId="BodyTextChar">
    <w:name w:val="Body Text Char"/>
    <w:basedOn w:val="DefaultParagraphFont"/>
    <w:link w:val="BodyText"/>
    <w:rsid w:val="005A07B1"/>
  </w:style>
  <w:style w:type="paragraph" w:styleId="TOCHeading">
    <w:name w:val="TOC Heading"/>
    <w:basedOn w:val="Heading1"/>
    <w:next w:val="Normal"/>
    <w:uiPriority w:val="39"/>
    <w:unhideWhenUsed/>
    <w:qFormat/>
    <w:rsid w:val="00A330AC"/>
    <w:pPr>
      <w:outlineLvl w:val="9"/>
    </w:pPr>
  </w:style>
  <w:style w:type="paragraph" w:styleId="TOC1">
    <w:name w:val="toc 1"/>
    <w:basedOn w:val="Normal"/>
    <w:next w:val="Normal"/>
    <w:autoRedefine/>
    <w:uiPriority w:val="39"/>
    <w:unhideWhenUsed/>
    <w:rsid w:val="0024434B"/>
    <w:pPr>
      <w:tabs>
        <w:tab w:val="right" w:leader="dot" w:pos="9627"/>
      </w:tabs>
      <w:spacing w:after="100" w:line="360" w:lineRule="auto"/>
    </w:pPr>
  </w:style>
  <w:style w:type="paragraph" w:styleId="TOC2">
    <w:name w:val="toc 2"/>
    <w:basedOn w:val="Normal"/>
    <w:next w:val="Normal"/>
    <w:autoRedefine/>
    <w:uiPriority w:val="39"/>
    <w:unhideWhenUsed/>
    <w:rsid w:val="00A330AC"/>
    <w:pPr>
      <w:spacing w:after="100"/>
      <w:ind w:left="220"/>
    </w:pPr>
  </w:style>
  <w:style w:type="paragraph" w:styleId="TOC3">
    <w:name w:val="toc 3"/>
    <w:basedOn w:val="Normal"/>
    <w:next w:val="Normal"/>
    <w:autoRedefine/>
    <w:uiPriority w:val="39"/>
    <w:unhideWhenUsed/>
    <w:rsid w:val="00A330AC"/>
    <w:pPr>
      <w:spacing w:after="100"/>
      <w:ind w:left="440"/>
    </w:pPr>
  </w:style>
  <w:style w:type="paragraph" w:styleId="BodyTextIndent">
    <w:name w:val="Body Text Indent"/>
    <w:basedOn w:val="Normal"/>
    <w:link w:val="BodyTextIndentChar"/>
    <w:unhideWhenUsed/>
    <w:rsid w:val="005E07EA"/>
    <w:pPr>
      <w:spacing w:after="120"/>
      <w:ind w:left="360"/>
    </w:pPr>
  </w:style>
  <w:style w:type="character" w:customStyle="1" w:styleId="BodyTextIndentChar">
    <w:name w:val="Body Text Indent Char"/>
    <w:basedOn w:val="DefaultParagraphFont"/>
    <w:link w:val="BodyTextIndent"/>
    <w:rsid w:val="005E07EA"/>
  </w:style>
  <w:style w:type="paragraph" w:styleId="BodyTextIndent2">
    <w:name w:val="Body Text Indent 2"/>
    <w:basedOn w:val="Normal"/>
    <w:link w:val="BodyTextIndent2Char"/>
    <w:uiPriority w:val="99"/>
    <w:semiHidden/>
    <w:unhideWhenUsed/>
    <w:rsid w:val="005E07EA"/>
    <w:pPr>
      <w:spacing w:after="120" w:line="480" w:lineRule="auto"/>
      <w:ind w:left="360"/>
    </w:pPr>
  </w:style>
  <w:style w:type="character" w:customStyle="1" w:styleId="BodyTextIndent2Char">
    <w:name w:val="Body Text Indent 2 Char"/>
    <w:basedOn w:val="DefaultParagraphFont"/>
    <w:link w:val="BodyTextIndent2"/>
    <w:uiPriority w:val="99"/>
    <w:semiHidden/>
    <w:rsid w:val="005E07EA"/>
  </w:style>
  <w:style w:type="table" w:customStyle="1" w:styleId="1">
    <w:name w:val="Сетка таблицы1"/>
    <w:basedOn w:val="TableNormal"/>
    <w:next w:val="TableGrid"/>
    <w:uiPriority w:val="59"/>
    <w:rsid w:val="00770E1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lmarticle-title">
    <w:name w:val="nlm_article-title"/>
    <w:basedOn w:val="DefaultParagraphFont"/>
    <w:rsid w:val="00770E10"/>
  </w:style>
  <w:style w:type="character" w:customStyle="1" w:styleId="contribdegrees">
    <w:name w:val="contribdegrees"/>
    <w:basedOn w:val="DefaultParagraphFont"/>
    <w:rsid w:val="00770E10"/>
  </w:style>
  <w:style w:type="character" w:customStyle="1" w:styleId="A5">
    <w:name w:val="A5"/>
    <w:uiPriority w:val="99"/>
    <w:rsid w:val="00770E10"/>
    <w:rPr>
      <w:rFonts w:cs="Verdana"/>
      <w:b/>
      <w:bCs/>
      <w:color w:val="000000"/>
      <w:sz w:val="12"/>
      <w:szCs w:val="12"/>
    </w:rPr>
  </w:style>
  <w:style w:type="character" w:customStyle="1" w:styleId="A2">
    <w:name w:val="A2"/>
    <w:uiPriority w:val="99"/>
    <w:rsid w:val="00770E10"/>
    <w:rPr>
      <w:rFonts w:cs="Verdana"/>
      <w:b/>
      <w:bCs/>
      <w:color w:val="000000"/>
      <w:sz w:val="20"/>
      <w:szCs w:val="20"/>
    </w:rPr>
  </w:style>
  <w:style w:type="character" w:customStyle="1" w:styleId="hlfld-contribauthor">
    <w:name w:val="hlfld-contribauthor"/>
    <w:basedOn w:val="DefaultParagraphFont"/>
    <w:rsid w:val="00770E10"/>
  </w:style>
  <w:style w:type="character" w:customStyle="1" w:styleId="nlmx">
    <w:name w:val="nlm_x"/>
    <w:basedOn w:val="DefaultParagraphFont"/>
    <w:rsid w:val="00770E10"/>
  </w:style>
  <w:style w:type="character" w:customStyle="1" w:styleId="nlmxref-aff">
    <w:name w:val="nlm_xref-aff"/>
    <w:basedOn w:val="DefaultParagraphFont"/>
    <w:rsid w:val="00770E10"/>
  </w:style>
  <w:style w:type="character" w:customStyle="1" w:styleId="authorsname">
    <w:name w:val="authors__name"/>
    <w:basedOn w:val="DefaultParagraphFont"/>
    <w:rsid w:val="00770E10"/>
  </w:style>
  <w:style w:type="character" w:customStyle="1" w:styleId="authorscontact">
    <w:name w:val="authors__contact"/>
    <w:basedOn w:val="DefaultParagraphFont"/>
    <w:rsid w:val="00770E10"/>
  </w:style>
  <w:style w:type="character" w:customStyle="1" w:styleId="journaltitle">
    <w:name w:val="journaltitle"/>
    <w:basedOn w:val="DefaultParagraphFont"/>
    <w:rsid w:val="00770E10"/>
  </w:style>
  <w:style w:type="character" w:customStyle="1" w:styleId="articlecitationyear">
    <w:name w:val="articlecitation_year"/>
    <w:basedOn w:val="DefaultParagraphFont"/>
    <w:rsid w:val="00770E10"/>
  </w:style>
  <w:style w:type="character" w:customStyle="1" w:styleId="articlecitationvolume">
    <w:name w:val="articlecitation_volume"/>
    <w:basedOn w:val="DefaultParagraphFont"/>
    <w:rsid w:val="00770E10"/>
  </w:style>
  <w:style w:type="character" w:customStyle="1" w:styleId="articlecitationpages">
    <w:name w:val="articlecitation_pages"/>
    <w:basedOn w:val="DefaultParagraphFont"/>
    <w:rsid w:val="00770E10"/>
  </w:style>
  <w:style w:type="character" w:styleId="Emphasis">
    <w:name w:val="Emphasis"/>
    <w:basedOn w:val="DefaultParagraphFont"/>
    <w:uiPriority w:val="20"/>
    <w:qFormat/>
    <w:rsid w:val="00770E10"/>
    <w:rPr>
      <w:i/>
      <w:iCs/>
    </w:rPr>
  </w:style>
  <w:style w:type="character" w:customStyle="1" w:styleId="Heading4Char">
    <w:name w:val="Heading 4 Char"/>
    <w:basedOn w:val="DefaultParagraphFont"/>
    <w:link w:val="Heading4"/>
    <w:rsid w:val="009B6CE4"/>
    <w:rPr>
      <w:rFonts w:ascii="Calibri" w:eastAsia="Calibri" w:hAnsi="Calibri" w:cs="Calibri"/>
      <w:b/>
      <w:bCs/>
      <w:sz w:val="28"/>
      <w:szCs w:val="28"/>
      <w:lang w:val="uk-UA" w:eastAsia="ar-SA"/>
    </w:rPr>
  </w:style>
  <w:style w:type="character" w:customStyle="1" w:styleId="Heading5Char">
    <w:name w:val="Heading 5 Char"/>
    <w:basedOn w:val="DefaultParagraphFont"/>
    <w:link w:val="Heading5"/>
    <w:rsid w:val="009B6CE4"/>
    <w:rPr>
      <w:rFonts w:ascii="Arial" w:eastAsia="Calibri" w:hAnsi="Arial" w:cs="Mangal"/>
      <w:b/>
      <w:bCs/>
      <w:sz w:val="24"/>
      <w:szCs w:val="24"/>
      <w:lang w:val="uk-UA" w:eastAsia="ar-SA"/>
    </w:rPr>
  </w:style>
  <w:style w:type="character" w:customStyle="1" w:styleId="Heading6Char">
    <w:name w:val="Heading 6 Char"/>
    <w:basedOn w:val="DefaultParagraphFont"/>
    <w:link w:val="Heading6"/>
    <w:rsid w:val="009B6CE4"/>
    <w:rPr>
      <w:rFonts w:ascii="Calibri" w:eastAsia="Calibri" w:hAnsi="Calibri" w:cs="Times New Roman"/>
      <w:b/>
      <w:bCs/>
      <w:lang w:val="uk-UA" w:eastAsia="ar-SA"/>
    </w:rPr>
  </w:style>
  <w:style w:type="character" w:customStyle="1" w:styleId="Heading7Char">
    <w:name w:val="Heading 7 Char"/>
    <w:basedOn w:val="DefaultParagraphFont"/>
    <w:link w:val="Heading7"/>
    <w:rsid w:val="009B6CE4"/>
    <w:rPr>
      <w:rFonts w:ascii="Arial" w:eastAsia="Calibri" w:hAnsi="Arial" w:cs="Mangal"/>
      <w:b/>
      <w:bCs/>
      <w:sz w:val="21"/>
      <w:szCs w:val="21"/>
      <w:lang w:val="uk-UA" w:eastAsia="ar-SA"/>
    </w:rPr>
  </w:style>
  <w:style w:type="paragraph" w:customStyle="1" w:styleId="ListParagraph1">
    <w:name w:val="List Paragraph1"/>
    <w:basedOn w:val="Normal"/>
    <w:rsid w:val="009B6CE4"/>
    <w:pPr>
      <w:spacing w:after="0" w:line="240" w:lineRule="auto"/>
      <w:ind w:left="720"/>
    </w:pPr>
    <w:rPr>
      <w:rFonts w:ascii="Times New Roman" w:eastAsia="Calibri" w:hAnsi="Times New Roman" w:cs="Times New Roman"/>
      <w:sz w:val="24"/>
      <w:szCs w:val="24"/>
      <w:lang w:val="ru-RU" w:eastAsia="ru-RU"/>
    </w:rPr>
  </w:style>
  <w:style w:type="paragraph" w:styleId="Title">
    <w:name w:val="Title"/>
    <w:basedOn w:val="Normal"/>
    <w:next w:val="Subtitle"/>
    <w:link w:val="TitleChar"/>
    <w:qFormat/>
    <w:rsid w:val="009B6CE4"/>
    <w:pPr>
      <w:suppressAutoHyphens/>
      <w:spacing w:after="0" w:line="360" w:lineRule="auto"/>
      <w:jc w:val="center"/>
    </w:pPr>
    <w:rPr>
      <w:rFonts w:ascii="Calibri" w:eastAsia="Calibri" w:hAnsi="Calibri" w:cs="Calibri"/>
      <w:b/>
      <w:bCs/>
      <w:caps/>
      <w:sz w:val="30"/>
      <w:szCs w:val="30"/>
      <w:lang w:val="ru-RU" w:eastAsia="ar-SA"/>
    </w:rPr>
  </w:style>
  <w:style w:type="character" w:customStyle="1" w:styleId="TitleChar">
    <w:name w:val="Title Char"/>
    <w:basedOn w:val="DefaultParagraphFont"/>
    <w:link w:val="Title"/>
    <w:rsid w:val="009B6CE4"/>
    <w:rPr>
      <w:rFonts w:ascii="Calibri" w:eastAsia="Calibri" w:hAnsi="Calibri" w:cs="Calibri"/>
      <w:b/>
      <w:bCs/>
      <w:caps/>
      <w:sz w:val="30"/>
      <w:szCs w:val="30"/>
      <w:lang w:val="ru-RU" w:eastAsia="ar-SA"/>
    </w:rPr>
  </w:style>
  <w:style w:type="paragraph" w:styleId="Subtitle">
    <w:name w:val="Subtitle"/>
    <w:basedOn w:val="Normal"/>
    <w:link w:val="SubtitleChar"/>
    <w:qFormat/>
    <w:rsid w:val="009B6CE4"/>
    <w:pPr>
      <w:suppressAutoHyphens/>
      <w:spacing w:after="60" w:line="240" w:lineRule="auto"/>
      <w:jc w:val="center"/>
      <w:outlineLvl w:val="1"/>
    </w:pPr>
    <w:rPr>
      <w:rFonts w:ascii="Arial" w:eastAsia="Calibri" w:hAnsi="Arial" w:cs="Arial"/>
      <w:sz w:val="24"/>
      <w:szCs w:val="24"/>
      <w:lang w:val="uk-UA" w:eastAsia="ar-SA"/>
    </w:rPr>
  </w:style>
  <w:style w:type="character" w:customStyle="1" w:styleId="SubtitleChar">
    <w:name w:val="Subtitle Char"/>
    <w:basedOn w:val="DefaultParagraphFont"/>
    <w:link w:val="Subtitle"/>
    <w:rsid w:val="009B6CE4"/>
    <w:rPr>
      <w:rFonts w:ascii="Arial" w:eastAsia="Calibri" w:hAnsi="Arial" w:cs="Arial"/>
      <w:sz w:val="24"/>
      <w:szCs w:val="24"/>
      <w:lang w:val="uk-UA" w:eastAsia="ar-SA"/>
    </w:rPr>
  </w:style>
  <w:style w:type="paragraph" w:customStyle="1" w:styleId="a">
    <w:name w:val="Îáû÷íûé"/>
    <w:rsid w:val="009B6CE4"/>
    <w:pPr>
      <w:suppressAutoHyphens/>
      <w:spacing w:after="0" w:line="240" w:lineRule="auto"/>
    </w:pPr>
    <w:rPr>
      <w:rFonts w:ascii="Times New Roman" w:eastAsia="Times New Roman" w:hAnsi="Times New Roman" w:cs="Times New Roman"/>
      <w:sz w:val="20"/>
      <w:szCs w:val="20"/>
      <w:lang w:val="ru-RU" w:eastAsia="ar-SA"/>
    </w:rPr>
  </w:style>
  <w:style w:type="paragraph" w:customStyle="1" w:styleId="Standard">
    <w:name w:val="Standard"/>
    <w:rsid w:val="009B6CE4"/>
    <w:pPr>
      <w:suppressAutoHyphens/>
      <w:autoSpaceDN w:val="0"/>
      <w:spacing w:after="200" w:line="276" w:lineRule="auto"/>
      <w:textAlignment w:val="baseline"/>
    </w:pPr>
    <w:rPr>
      <w:rFonts w:ascii="Calibri" w:eastAsia="Times New Roman" w:hAnsi="Calibri" w:cs="Tahoma"/>
      <w:kern w:val="3"/>
      <w:lang w:val="ru-RU"/>
    </w:rPr>
  </w:style>
  <w:style w:type="paragraph" w:customStyle="1" w:styleId="TableContents">
    <w:name w:val="Table Contents"/>
    <w:basedOn w:val="Standard"/>
    <w:rsid w:val="009B6CE4"/>
    <w:pPr>
      <w:suppressLineNumbers/>
    </w:pPr>
  </w:style>
  <w:style w:type="paragraph" w:customStyle="1" w:styleId="a0">
    <w:name w:val="Базовый"/>
    <w:rsid w:val="009B6CE4"/>
    <w:pPr>
      <w:tabs>
        <w:tab w:val="left" w:pos="709"/>
      </w:tabs>
      <w:suppressAutoHyphens/>
      <w:spacing w:after="200" w:line="276" w:lineRule="atLeast"/>
    </w:pPr>
    <w:rPr>
      <w:rFonts w:ascii="Calibri" w:eastAsia="Times New Roman" w:hAnsi="Calibri" w:cs="Times New Roman"/>
      <w:lang w:val="ru-RU"/>
    </w:rPr>
  </w:style>
  <w:style w:type="character" w:customStyle="1" w:styleId="apple-style-span">
    <w:name w:val="apple-style-span"/>
    <w:rsid w:val="009B6CE4"/>
  </w:style>
  <w:style w:type="paragraph" w:customStyle="1" w:styleId="western">
    <w:name w:val="western"/>
    <w:basedOn w:val="Normal"/>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hps">
    <w:name w:val="hps"/>
    <w:basedOn w:val="DefaultParagraphFont"/>
    <w:rsid w:val="009B6CE4"/>
  </w:style>
  <w:style w:type="paragraph" w:customStyle="1" w:styleId="a1">
    <w:name w:val="Содержимое таблицы"/>
    <w:basedOn w:val="Normal"/>
    <w:rsid w:val="009B6CE4"/>
    <w:pPr>
      <w:suppressLineNumbers/>
      <w:suppressAutoHyphens/>
      <w:spacing w:after="0" w:line="240" w:lineRule="auto"/>
    </w:pPr>
    <w:rPr>
      <w:rFonts w:ascii="Times New Roman" w:eastAsia="Times New Roman" w:hAnsi="Times New Roman" w:cs="Calibri"/>
      <w:sz w:val="28"/>
      <w:szCs w:val="28"/>
      <w:lang w:val="ru-RU" w:eastAsia="ar-SA"/>
    </w:rPr>
  </w:style>
  <w:style w:type="paragraph" w:customStyle="1" w:styleId="21">
    <w:name w:val="Основной текст с отступом 21"/>
    <w:basedOn w:val="Normal"/>
    <w:rsid w:val="009B6CE4"/>
    <w:pPr>
      <w:suppressAutoHyphens/>
      <w:spacing w:after="120" w:line="480" w:lineRule="auto"/>
      <w:ind w:left="283"/>
    </w:pPr>
    <w:rPr>
      <w:rFonts w:ascii="Calibri" w:eastAsia="Calibri" w:hAnsi="Calibri" w:cs="Calibri"/>
      <w:lang w:val="ru-RU" w:eastAsia="ar-SA"/>
    </w:rPr>
  </w:style>
  <w:style w:type="paragraph" w:customStyle="1" w:styleId="western1">
    <w:name w:val="western1"/>
    <w:basedOn w:val="Normal"/>
    <w:rsid w:val="009B6CE4"/>
    <w:pPr>
      <w:spacing w:before="280" w:after="0" w:line="240" w:lineRule="auto"/>
    </w:pPr>
    <w:rPr>
      <w:rFonts w:ascii="Times New Roman" w:eastAsia="Times New Roman" w:hAnsi="Times New Roman" w:cs="Times New Roman"/>
      <w:color w:val="000000"/>
      <w:sz w:val="28"/>
      <w:szCs w:val="28"/>
      <w:lang w:val="ru-RU" w:eastAsia="ar-SA"/>
    </w:rPr>
  </w:style>
  <w:style w:type="character" w:customStyle="1" w:styleId="3">
    <w:name w:val="Знак Знак3"/>
    <w:rsid w:val="009B6CE4"/>
    <w:rPr>
      <w:rFonts w:ascii="Times New Roman" w:eastAsia="Times New Roman" w:hAnsi="Times New Roman" w:cs="Calibri"/>
      <w:sz w:val="28"/>
      <w:szCs w:val="28"/>
      <w:lang w:eastAsia="ar-SA"/>
    </w:rPr>
  </w:style>
  <w:style w:type="character" w:customStyle="1" w:styleId="2">
    <w:name w:val="Знак Знак2"/>
    <w:rsid w:val="009B6CE4"/>
    <w:rPr>
      <w:rFonts w:ascii="Times New Roman" w:eastAsia="Times New Roman" w:hAnsi="Times New Roman" w:cs="Calibri"/>
      <w:b/>
      <w:bCs/>
      <w:caps/>
      <w:sz w:val="30"/>
      <w:szCs w:val="30"/>
      <w:lang w:eastAsia="ar-SA"/>
    </w:rPr>
  </w:style>
  <w:style w:type="character" w:customStyle="1" w:styleId="10">
    <w:name w:val="Знак Знак1"/>
    <w:rsid w:val="009B6CE4"/>
    <w:rPr>
      <w:rFonts w:ascii="Cambria" w:eastAsia="Times New Roman" w:hAnsi="Cambria" w:cs="Times New Roman"/>
      <w:i/>
      <w:iCs/>
      <w:color w:val="4F81BD"/>
      <w:spacing w:val="15"/>
      <w:sz w:val="24"/>
      <w:szCs w:val="24"/>
    </w:rPr>
  </w:style>
  <w:style w:type="paragraph" w:styleId="Header">
    <w:name w:val="header"/>
    <w:basedOn w:val="Normal"/>
    <w:link w:val="HeaderChar1"/>
    <w:uiPriority w:val="99"/>
    <w:rsid w:val="009B6CE4"/>
    <w:pPr>
      <w:tabs>
        <w:tab w:val="center" w:pos="4677"/>
        <w:tab w:val="right" w:pos="9355"/>
      </w:tabs>
      <w:suppressAutoHyphens/>
      <w:spacing w:after="0" w:line="240" w:lineRule="auto"/>
    </w:pPr>
    <w:rPr>
      <w:rFonts w:ascii="Calibri" w:eastAsia="Calibri" w:hAnsi="Calibri" w:cs="Calibri"/>
      <w:sz w:val="24"/>
      <w:szCs w:val="24"/>
      <w:lang w:val="uk-UA" w:eastAsia="ar-SA"/>
    </w:rPr>
  </w:style>
  <w:style w:type="character" w:customStyle="1" w:styleId="HeaderChar">
    <w:name w:val="Header Char"/>
    <w:basedOn w:val="DefaultParagraphFont"/>
    <w:uiPriority w:val="99"/>
    <w:rsid w:val="009B6CE4"/>
  </w:style>
  <w:style w:type="character" w:customStyle="1" w:styleId="HeaderChar1">
    <w:name w:val="Header Char1"/>
    <w:link w:val="Header"/>
    <w:uiPriority w:val="99"/>
    <w:rsid w:val="009B6CE4"/>
    <w:rPr>
      <w:rFonts w:ascii="Calibri" w:eastAsia="Calibri" w:hAnsi="Calibri" w:cs="Calibri"/>
      <w:sz w:val="24"/>
      <w:szCs w:val="24"/>
      <w:lang w:val="uk-UA" w:eastAsia="ar-SA"/>
    </w:rPr>
  </w:style>
  <w:style w:type="character" w:customStyle="1" w:styleId="WW8Num3z0">
    <w:name w:val="WW8Num3z0"/>
    <w:rsid w:val="009B6CE4"/>
  </w:style>
  <w:style w:type="character" w:customStyle="1" w:styleId="WW8Num5z0">
    <w:name w:val="WW8Num5z0"/>
    <w:rsid w:val="009B6CE4"/>
    <w:rPr>
      <w:rFonts w:ascii="Times New Roman" w:hAnsi="Times New Roman"/>
    </w:rPr>
  </w:style>
  <w:style w:type="character" w:customStyle="1" w:styleId="WW8Num8z0">
    <w:name w:val="WW8Num8z0"/>
    <w:rsid w:val="009B6CE4"/>
    <w:rPr>
      <w:color w:val="auto"/>
    </w:rPr>
  </w:style>
  <w:style w:type="character" w:customStyle="1" w:styleId="WW8Num9z0">
    <w:name w:val="WW8Num9z0"/>
    <w:rsid w:val="009B6CE4"/>
    <w:rPr>
      <w:rFonts w:ascii="Times New Roman" w:hAnsi="Times New Roman"/>
    </w:rPr>
  </w:style>
  <w:style w:type="character" w:customStyle="1" w:styleId="WW8Num10z0">
    <w:name w:val="WW8Num10z0"/>
    <w:rsid w:val="009B6CE4"/>
    <w:rPr>
      <w:i/>
    </w:rPr>
  </w:style>
  <w:style w:type="character" w:customStyle="1" w:styleId="WW8Num11z0">
    <w:name w:val="WW8Num11z0"/>
    <w:rsid w:val="009B6CE4"/>
  </w:style>
  <w:style w:type="character" w:customStyle="1" w:styleId="WW8Num12z0">
    <w:name w:val="WW8Num12z0"/>
    <w:rsid w:val="009B6CE4"/>
    <w:rPr>
      <w:color w:val="auto"/>
    </w:rPr>
  </w:style>
  <w:style w:type="character" w:customStyle="1" w:styleId="WW8Num13z0">
    <w:name w:val="WW8Num13z0"/>
    <w:rsid w:val="009B6CE4"/>
  </w:style>
  <w:style w:type="character" w:customStyle="1" w:styleId="WW8Num14z0">
    <w:name w:val="WW8Num14z0"/>
    <w:rsid w:val="009B6CE4"/>
    <w:rPr>
      <w:rFonts w:ascii="Times New Roman" w:hAnsi="Times New Roman"/>
    </w:rPr>
  </w:style>
  <w:style w:type="character" w:customStyle="1" w:styleId="WW8Num16z0">
    <w:name w:val="WW8Num16z0"/>
    <w:rsid w:val="009B6CE4"/>
    <w:rPr>
      <w:color w:val="auto"/>
      <w:sz w:val="28"/>
    </w:rPr>
  </w:style>
  <w:style w:type="character" w:customStyle="1" w:styleId="Absatz-Standardschriftart">
    <w:name w:val="Absatz-Standardschriftart"/>
    <w:rsid w:val="009B6CE4"/>
  </w:style>
  <w:style w:type="character" w:customStyle="1" w:styleId="7">
    <w:name w:val="Основной шрифт абзаца7"/>
    <w:rsid w:val="009B6CE4"/>
  </w:style>
  <w:style w:type="character" w:customStyle="1" w:styleId="6">
    <w:name w:val="Основной шрифт абзаца6"/>
    <w:rsid w:val="009B6CE4"/>
  </w:style>
  <w:style w:type="character" w:customStyle="1" w:styleId="5">
    <w:name w:val="Основной шрифт абзаца5"/>
    <w:rsid w:val="009B6CE4"/>
  </w:style>
  <w:style w:type="character" w:customStyle="1" w:styleId="WW8Num15z0">
    <w:name w:val="WW8Num15z0"/>
    <w:rsid w:val="009B6CE4"/>
    <w:rPr>
      <w:rFonts w:ascii="Times New Roman" w:hAnsi="Times New Roman"/>
    </w:rPr>
  </w:style>
  <w:style w:type="character" w:customStyle="1" w:styleId="WW8Num17z0">
    <w:name w:val="WW8Num17z0"/>
    <w:rsid w:val="009B6CE4"/>
    <w:rPr>
      <w:rFonts w:ascii="Times New Roman" w:hAnsi="Times New Roman"/>
    </w:rPr>
  </w:style>
  <w:style w:type="character" w:customStyle="1" w:styleId="4">
    <w:name w:val="Основной шрифт абзаца4"/>
    <w:rsid w:val="009B6CE4"/>
  </w:style>
  <w:style w:type="character" w:customStyle="1" w:styleId="WW-Absatz-Standardschriftart">
    <w:name w:val="WW-Absatz-Standardschriftart"/>
    <w:rsid w:val="009B6CE4"/>
  </w:style>
  <w:style w:type="character" w:customStyle="1" w:styleId="30">
    <w:name w:val="Основной шрифт абзаца3"/>
    <w:rsid w:val="009B6CE4"/>
  </w:style>
  <w:style w:type="character" w:customStyle="1" w:styleId="WW8Num2z0">
    <w:name w:val="WW8Num2z0"/>
    <w:rsid w:val="009B6CE4"/>
  </w:style>
  <w:style w:type="character" w:customStyle="1" w:styleId="WW8Num4z0">
    <w:name w:val="WW8Num4z0"/>
    <w:rsid w:val="009B6CE4"/>
    <w:rPr>
      <w:rFonts w:ascii="Times New Roman" w:hAnsi="Times New Roman"/>
    </w:rPr>
  </w:style>
  <w:style w:type="character" w:customStyle="1" w:styleId="WW8Num14z1">
    <w:name w:val="WW8Num14z1"/>
    <w:rsid w:val="009B6CE4"/>
    <w:rPr>
      <w:rFonts w:ascii="Courier New" w:hAnsi="Courier New"/>
    </w:rPr>
  </w:style>
  <w:style w:type="character" w:customStyle="1" w:styleId="WW8Num14z2">
    <w:name w:val="WW8Num14z2"/>
    <w:rsid w:val="009B6CE4"/>
    <w:rPr>
      <w:rFonts w:ascii="Wingdings" w:hAnsi="Wingdings"/>
    </w:rPr>
  </w:style>
  <w:style w:type="character" w:customStyle="1" w:styleId="WW8Num14z3">
    <w:name w:val="WW8Num14z3"/>
    <w:rsid w:val="009B6CE4"/>
    <w:rPr>
      <w:rFonts w:ascii="Symbol" w:hAnsi="Symbol"/>
    </w:rPr>
  </w:style>
  <w:style w:type="character" w:customStyle="1" w:styleId="WW8Num15z1">
    <w:name w:val="WW8Num15z1"/>
    <w:rsid w:val="009B6CE4"/>
    <w:rPr>
      <w:rFonts w:ascii="Courier New" w:hAnsi="Courier New"/>
    </w:rPr>
  </w:style>
  <w:style w:type="character" w:customStyle="1" w:styleId="WW8Num15z2">
    <w:name w:val="WW8Num15z2"/>
    <w:rsid w:val="009B6CE4"/>
    <w:rPr>
      <w:rFonts w:ascii="Wingdings" w:hAnsi="Wingdings"/>
    </w:rPr>
  </w:style>
  <w:style w:type="character" w:customStyle="1" w:styleId="WW8Num15z3">
    <w:name w:val="WW8Num15z3"/>
    <w:rsid w:val="009B6CE4"/>
    <w:rPr>
      <w:rFonts w:ascii="Symbol" w:hAnsi="Symbol"/>
    </w:rPr>
  </w:style>
  <w:style w:type="character" w:customStyle="1" w:styleId="WW8Num17z1">
    <w:name w:val="WW8Num17z1"/>
    <w:rsid w:val="009B6CE4"/>
    <w:rPr>
      <w:rFonts w:ascii="Courier New" w:hAnsi="Courier New"/>
    </w:rPr>
  </w:style>
  <w:style w:type="character" w:customStyle="1" w:styleId="WW8Num17z2">
    <w:name w:val="WW8Num17z2"/>
    <w:rsid w:val="009B6CE4"/>
    <w:rPr>
      <w:rFonts w:ascii="Wingdings" w:hAnsi="Wingdings"/>
    </w:rPr>
  </w:style>
  <w:style w:type="character" w:customStyle="1" w:styleId="WW8Num17z3">
    <w:name w:val="WW8Num17z3"/>
    <w:rsid w:val="009B6CE4"/>
    <w:rPr>
      <w:rFonts w:ascii="Symbol" w:hAnsi="Symbol"/>
    </w:rPr>
  </w:style>
  <w:style w:type="character" w:customStyle="1" w:styleId="WW8Num19z0">
    <w:name w:val="WW8Num19z0"/>
    <w:rsid w:val="009B6CE4"/>
  </w:style>
  <w:style w:type="character" w:customStyle="1" w:styleId="WW8Num21z0">
    <w:name w:val="WW8Num21z0"/>
    <w:rsid w:val="009B6CE4"/>
  </w:style>
  <w:style w:type="character" w:customStyle="1" w:styleId="WW8Num21z1">
    <w:name w:val="WW8Num21z1"/>
    <w:rsid w:val="009B6CE4"/>
    <w:rPr>
      <w:rFonts w:ascii="Courier New" w:hAnsi="Courier New"/>
    </w:rPr>
  </w:style>
  <w:style w:type="character" w:customStyle="1" w:styleId="WW8Num21z2">
    <w:name w:val="WW8Num21z2"/>
    <w:rsid w:val="009B6CE4"/>
    <w:rPr>
      <w:rFonts w:ascii="Wingdings" w:hAnsi="Wingdings"/>
    </w:rPr>
  </w:style>
  <w:style w:type="character" w:customStyle="1" w:styleId="WW8Num21z3">
    <w:name w:val="WW8Num21z3"/>
    <w:rsid w:val="009B6CE4"/>
    <w:rPr>
      <w:rFonts w:ascii="Symbol" w:hAnsi="Symbol"/>
    </w:rPr>
  </w:style>
  <w:style w:type="character" w:customStyle="1" w:styleId="WW8Num22z0">
    <w:name w:val="WW8Num22z0"/>
    <w:rsid w:val="009B6CE4"/>
    <w:rPr>
      <w:rFonts w:ascii="Times New Roman" w:hAnsi="Times New Roman"/>
      <w:color w:val="auto"/>
    </w:rPr>
  </w:style>
  <w:style w:type="character" w:customStyle="1" w:styleId="WW8Num22z1">
    <w:name w:val="WW8Num22z1"/>
    <w:rsid w:val="009B6CE4"/>
    <w:rPr>
      <w:rFonts w:ascii="Courier New" w:hAnsi="Courier New"/>
    </w:rPr>
  </w:style>
  <w:style w:type="character" w:customStyle="1" w:styleId="WW8Num22z2">
    <w:name w:val="WW8Num22z2"/>
    <w:rsid w:val="009B6CE4"/>
    <w:rPr>
      <w:rFonts w:ascii="Wingdings" w:hAnsi="Wingdings"/>
    </w:rPr>
  </w:style>
  <w:style w:type="character" w:customStyle="1" w:styleId="WW8Num22z3">
    <w:name w:val="WW8Num22z3"/>
    <w:rsid w:val="009B6CE4"/>
    <w:rPr>
      <w:rFonts w:ascii="Symbol" w:hAnsi="Symbol"/>
    </w:rPr>
  </w:style>
  <w:style w:type="character" w:customStyle="1" w:styleId="WW8Num23z0">
    <w:name w:val="WW8Num23z0"/>
    <w:rsid w:val="009B6CE4"/>
    <w:rPr>
      <w:rFonts w:ascii="Times New Roman" w:hAnsi="Times New Roman"/>
    </w:rPr>
  </w:style>
  <w:style w:type="character" w:customStyle="1" w:styleId="WW8Num23z1">
    <w:name w:val="WW8Num23z1"/>
    <w:rsid w:val="009B6CE4"/>
    <w:rPr>
      <w:rFonts w:ascii="Courier New" w:hAnsi="Courier New"/>
    </w:rPr>
  </w:style>
  <w:style w:type="character" w:customStyle="1" w:styleId="WW8Num23z2">
    <w:name w:val="WW8Num23z2"/>
    <w:rsid w:val="009B6CE4"/>
    <w:rPr>
      <w:rFonts w:ascii="Wingdings" w:hAnsi="Wingdings"/>
    </w:rPr>
  </w:style>
  <w:style w:type="character" w:customStyle="1" w:styleId="WW8Num23z3">
    <w:name w:val="WW8Num23z3"/>
    <w:rsid w:val="009B6CE4"/>
    <w:rPr>
      <w:rFonts w:ascii="Symbol" w:hAnsi="Symbol"/>
    </w:rPr>
  </w:style>
  <w:style w:type="character" w:customStyle="1" w:styleId="WW8Num24z0">
    <w:name w:val="WW8Num24z0"/>
    <w:rsid w:val="009B6CE4"/>
    <w:rPr>
      <w:rFonts w:ascii="Times New Roman" w:hAnsi="Times New Roman"/>
    </w:rPr>
  </w:style>
  <w:style w:type="character" w:customStyle="1" w:styleId="WW8Num24z1">
    <w:name w:val="WW8Num24z1"/>
    <w:rsid w:val="009B6CE4"/>
    <w:rPr>
      <w:rFonts w:ascii="Times New Roman" w:hAnsi="Times New Roman"/>
    </w:rPr>
  </w:style>
  <w:style w:type="character" w:customStyle="1" w:styleId="WW8Num24z2">
    <w:name w:val="WW8Num24z2"/>
    <w:rsid w:val="009B6CE4"/>
    <w:rPr>
      <w:rFonts w:ascii="Wingdings" w:hAnsi="Wingdings"/>
    </w:rPr>
  </w:style>
  <w:style w:type="character" w:customStyle="1" w:styleId="WW8Num24z3">
    <w:name w:val="WW8Num24z3"/>
    <w:rsid w:val="009B6CE4"/>
    <w:rPr>
      <w:rFonts w:ascii="Symbol" w:hAnsi="Symbol"/>
    </w:rPr>
  </w:style>
  <w:style w:type="character" w:customStyle="1" w:styleId="WW8Num24z4">
    <w:name w:val="WW8Num24z4"/>
    <w:rsid w:val="009B6CE4"/>
    <w:rPr>
      <w:rFonts w:ascii="Courier New" w:hAnsi="Courier New"/>
    </w:rPr>
  </w:style>
  <w:style w:type="character" w:customStyle="1" w:styleId="WW8Num26z0">
    <w:name w:val="WW8Num26z0"/>
    <w:rsid w:val="009B6CE4"/>
    <w:rPr>
      <w:color w:val="auto"/>
    </w:rPr>
  </w:style>
  <w:style w:type="character" w:customStyle="1" w:styleId="WW8Num27z0">
    <w:name w:val="WW8Num27z0"/>
    <w:rsid w:val="009B6CE4"/>
    <w:rPr>
      <w:rFonts w:ascii="Times New Roman" w:hAnsi="Times New Roman"/>
    </w:rPr>
  </w:style>
  <w:style w:type="character" w:customStyle="1" w:styleId="WW8Num27z2">
    <w:name w:val="WW8Num27z2"/>
    <w:rsid w:val="009B6CE4"/>
    <w:rPr>
      <w:rFonts w:ascii="Wingdings" w:hAnsi="Wingdings"/>
    </w:rPr>
  </w:style>
  <w:style w:type="character" w:customStyle="1" w:styleId="WW8Num27z3">
    <w:name w:val="WW8Num27z3"/>
    <w:rsid w:val="009B6CE4"/>
    <w:rPr>
      <w:rFonts w:ascii="Symbol" w:hAnsi="Symbol"/>
    </w:rPr>
  </w:style>
  <w:style w:type="character" w:customStyle="1" w:styleId="WW8Num27z4">
    <w:name w:val="WW8Num27z4"/>
    <w:rsid w:val="009B6CE4"/>
    <w:rPr>
      <w:rFonts w:ascii="Courier New" w:hAnsi="Courier New"/>
    </w:rPr>
  </w:style>
  <w:style w:type="character" w:customStyle="1" w:styleId="WW8Num28z0">
    <w:name w:val="WW8Num28z0"/>
    <w:rsid w:val="009B6CE4"/>
    <w:rPr>
      <w:rFonts w:ascii="Times New Roman" w:hAnsi="Times New Roman"/>
    </w:rPr>
  </w:style>
  <w:style w:type="character" w:customStyle="1" w:styleId="WW8Num28z1">
    <w:name w:val="WW8Num28z1"/>
    <w:rsid w:val="009B6CE4"/>
    <w:rPr>
      <w:rFonts w:ascii="Courier New" w:hAnsi="Courier New"/>
    </w:rPr>
  </w:style>
  <w:style w:type="character" w:customStyle="1" w:styleId="WW8Num28z2">
    <w:name w:val="WW8Num28z2"/>
    <w:rsid w:val="009B6CE4"/>
    <w:rPr>
      <w:rFonts w:ascii="Wingdings" w:hAnsi="Wingdings"/>
    </w:rPr>
  </w:style>
  <w:style w:type="character" w:customStyle="1" w:styleId="WW8Num28z3">
    <w:name w:val="WW8Num28z3"/>
    <w:rsid w:val="009B6CE4"/>
    <w:rPr>
      <w:rFonts w:ascii="Symbol" w:hAnsi="Symbol"/>
    </w:rPr>
  </w:style>
  <w:style w:type="character" w:customStyle="1" w:styleId="WW8Num29z0">
    <w:name w:val="WW8Num29z0"/>
    <w:rsid w:val="009B6CE4"/>
    <w:rPr>
      <w:rFonts w:ascii="Symbol" w:hAnsi="Symbol"/>
      <w:sz w:val="20"/>
    </w:rPr>
  </w:style>
  <w:style w:type="character" w:customStyle="1" w:styleId="WW8Num29z1">
    <w:name w:val="WW8Num29z1"/>
    <w:rsid w:val="009B6CE4"/>
    <w:rPr>
      <w:rFonts w:ascii="Courier New" w:hAnsi="Courier New"/>
      <w:sz w:val="20"/>
    </w:rPr>
  </w:style>
  <w:style w:type="character" w:customStyle="1" w:styleId="WW8Num29z2">
    <w:name w:val="WW8Num29z2"/>
    <w:rsid w:val="009B6CE4"/>
    <w:rPr>
      <w:rFonts w:ascii="Wingdings" w:hAnsi="Wingdings"/>
      <w:sz w:val="20"/>
    </w:rPr>
  </w:style>
  <w:style w:type="character" w:customStyle="1" w:styleId="WW8Num30z0">
    <w:name w:val="WW8Num30z0"/>
    <w:rsid w:val="009B6CE4"/>
    <w:rPr>
      <w:rFonts w:ascii="Times New Roman" w:hAnsi="Times New Roman"/>
    </w:rPr>
  </w:style>
  <w:style w:type="character" w:customStyle="1" w:styleId="WW8Num30z1">
    <w:name w:val="WW8Num30z1"/>
    <w:rsid w:val="009B6CE4"/>
    <w:rPr>
      <w:rFonts w:ascii="Courier New" w:hAnsi="Courier New"/>
    </w:rPr>
  </w:style>
  <w:style w:type="character" w:customStyle="1" w:styleId="WW8Num30z2">
    <w:name w:val="WW8Num30z2"/>
    <w:rsid w:val="009B6CE4"/>
    <w:rPr>
      <w:rFonts w:ascii="Wingdings" w:hAnsi="Wingdings"/>
    </w:rPr>
  </w:style>
  <w:style w:type="character" w:customStyle="1" w:styleId="WW8Num30z3">
    <w:name w:val="WW8Num30z3"/>
    <w:rsid w:val="009B6CE4"/>
    <w:rPr>
      <w:rFonts w:ascii="Symbol" w:hAnsi="Symbol"/>
    </w:rPr>
  </w:style>
  <w:style w:type="character" w:customStyle="1" w:styleId="WW8Num31z0">
    <w:name w:val="WW8Num31z0"/>
    <w:rsid w:val="009B6CE4"/>
    <w:rPr>
      <w:color w:val="auto"/>
    </w:rPr>
  </w:style>
  <w:style w:type="character" w:customStyle="1" w:styleId="WW8Num33z0">
    <w:name w:val="WW8Num33z0"/>
    <w:rsid w:val="009B6CE4"/>
    <w:rPr>
      <w:color w:val="auto"/>
    </w:rPr>
  </w:style>
  <w:style w:type="character" w:customStyle="1" w:styleId="WW8Num34z0">
    <w:name w:val="WW8Num34z0"/>
    <w:rsid w:val="009B6CE4"/>
    <w:rPr>
      <w:color w:val="auto"/>
    </w:rPr>
  </w:style>
  <w:style w:type="character" w:customStyle="1" w:styleId="20">
    <w:name w:val="Основной шрифт абзаца2"/>
    <w:rsid w:val="009B6CE4"/>
  </w:style>
  <w:style w:type="character" w:customStyle="1" w:styleId="WW-Absatz-Standardschriftart1">
    <w:name w:val="WW-Absatz-Standardschriftart1"/>
    <w:rsid w:val="009B6CE4"/>
  </w:style>
  <w:style w:type="character" w:customStyle="1" w:styleId="WW-Absatz-Standardschriftart11">
    <w:name w:val="WW-Absatz-Standardschriftart11"/>
    <w:rsid w:val="009B6CE4"/>
  </w:style>
  <w:style w:type="character" w:customStyle="1" w:styleId="WW-Absatz-Standardschriftart111">
    <w:name w:val="WW-Absatz-Standardschriftart111"/>
    <w:rsid w:val="009B6CE4"/>
  </w:style>
  <w:style w:type="character" w:customStyle="1" w:styleId="WW-Absatz-Standardschriftart1111">
    <w:name w:val="WW-Absatz-Standardschriftart1111"/>
    <w:rsid w:val="009B6CE4"/>
  </w:style>
  <w:style w:type="character" w:customStyle="1" w:styleId="WW-Absatz-Standardschriftart11111">
    <w:name w:val="WW-Absatz-Standardschriftart11111"/>
    <w:rsid w:val="009B6CE4"/>
  </w:style>
  <w:style w:type="character" w:customStyle="1" w:styleId="WW-Absatz-Standardschriftart111111">
    <w:name w:val="WW-Absatz-Standardschriftart111111"/>
    <w:rsid w:val="009B6CE4"/>
  </w:style>
  <w:style w:type="character" w:customStyle="1" w:styleId="WW-Absatz-Standardschriftart1111111">
    <w:name w:val="WW-Absatz-Standardschriftart1111111"/>
    <w:rsid w:val="009B6CE4"/>
  </w:style>
  <w:style w:type="character" w:customStyle="1" w:styleId="WW8Num20z0">
    <w:name w:val="WW8Num20z0"/>
    <w:rsid w:val="009B6CE4"/>
  </w:style>
  <w:style w:type="character" w:customStyle="1" w:styleId="WW8NumSt18z0">
    <w:name w:val="WW8NumSt18z0"/>
    <w:rsid w:val="009B6CE4"/>
    <w:rPr>
      <w:rFonts w:ascii="Times New Roman CYR" w:eastAsia="Times New Roman" w:hAnsi="Times New Roman CYR"/>
    </w:rPr>
  </w:style>
  <w:style w:type="character" w:customStyle="1" w:styleId="WW8NumSt28z0">
    <w:name w:val="WW8NumSt28z0"/>
    <w:rsid w:val="009B6CE4"/>
    <w:rPr>
      <w:rFonts w:ascii="Symbol" w:hAnsi="Symbol"/>
    </w:rPr>
  </w:style>
  <w:style w:type="character" w:customStyle="1" w:styleId="11">
    <w:name w:val="Основной шрифт абзаца1"/>
    <w:rsid w:val="009B6CE4"/>
  </w:style>
  <w:style w:type="character" w:customStyle="1" w:styleId="31">
    <w:name w:val="Основной текст 3 Знак"/>
    <w:rsid w:val="009B6CE4"/>
    <w:rPr>
      <w:rFonts w:ascii="Times New Roman" w:hAnsi="Times New Roman"/>
      <w:sz w:val="28"/>
    </w:rPr>
  </w:style>
  <w:style w:type="character" w:customStyle="1" w:styleId="a3">
    <w:name w:val="Основной текст Знак"/>
    <w:rsid w:val="009B6CE4"/>
    <w:rPr>
      <w:rFonts w:ascii="Times New Roman" w:hAnsi="Times New Roman"/>
      <w:sz w:val="28"/>
    </w:rPr>
  </w:style>
  <w:style w:type="character" w:customStyle="1" w:styleId="a4">
    <w:name w:val="Основной текст с отступом Знак"/>
    <w:rsid w:val="009B6CE4"/>
    <w:rPr>
      <w:rFonts w:ascii="Times New Roman" w:hAnsi="Times New Roman"/>
      <w:sz w:val="28"/>
    </w:rPr>
  </w:style>
  <w:style w:type="character" w:customStyle="1" w:styleId="a6">
    <w:name w:val="Название Знак"/>
    <w:rsid w:val="009B6CE4"/>
    <w:rPr>
      <w:rFonts w:ascii="Times New Roman" w:hAnsi="Times New Roman"/>
      <w:b/>
      <w:caps/>
      <w:sz w:val="30"/>
    </w:rPr>
  </w:style>
  <w:style w:type="character" w:styleId="PageNumber">
    <w:name w:val="page number"/>
    <w:rsid w:val="009B6CE4"/>
    <w:rPr>
      <w:rFonts w:cs="Times New Roman"/>
    </w:rPr>
  </w:style>
  <w:style w:type="character" w:customStyle="1" w:styleId="ref-vol">
    <w:name w:val="ref-vol"/>
    <w:rsid w:val="009B6CE4"/>
    <w:rPr>
      <w:rFonts w:cs="Times New Roman"/>
    </w:rPr>
  </w:style>
  <w:style w:type="character" w:customStyle="1" w:styleId="volume">
    <w:name w:val="volume"/>
    <w:rsid w:val="009B6CE4"/>
    <w:rPr>
      <w:rFonts w:cs="Times New Roman"/>
    </w:rPr>
  </w:style>
  <w:style w:type="character" w:customStyle="1" w:styleId="issue">
    <w:name w:val="issue"/>
    <w:rsid w:val="009B6CE4"/>
    <w:rPr>
      <w:rFonts w:cs="Times New Roman"/>
    </w:rPr>
  </w:style>
  <w:style w:type="character" w:customStyle="1" w:styleId="pages">
    <w:name w:val="pages"/>
    <w:rsid w:val="009B6CE4"/>
    <w:rPr>
      <w:rFonts w:cs="Times New Roman"/>
    </w:rPr>
  </w:style>
  <w:style w:type="character" w:styleId="Strong">
    <w:name w:val="Strong"/>
    <w:uiPriority w:val="22"/>
    <w:qFormat/>
    <w:rsid w:val="009B6CE4"/>
    <w:rPr>
      <w:b/>
    </w:rPr>
  </w:style>
  <w:style w:type="character" w:customStyle="1" w:styleId="a7">
    <w:name w:val="Символ нумерации"/>
    <w:rsid w:val="009B6CE4"/>
  </w:style>
  <w:style w:type="character" w:customStyle="1" w:styleId="redtext">
    <w:name w:val="red_text"/>
    <w:rsid w:val="009B6CE4"/>
    <w:rPr>
      <w:rFonts w:cs="Times New Roman"/>
    </w:rPr>
  </w:style>
  <w:style w:type="character" w:styleId="LineNumber">
    <w:name w:val="line number"/>
    <w:basedOn w:val="DefaultParagraphFont"/>
    <w:rsid w:val="009B6CE4"/>
  </w:style>
  <w:style w:type="character" w:customStyle="1" w:styleId="32">
    <w:name w:val="Основной текст с отступом 3 Знак"/>
    <w:rsid w:val="009B6CE4"/>
    <w:rPr>
      <w:sz w:val="16"/>
    </w:rPr>
  </w:style>
  <w:style w:type="character" w:customStyle="1" w:styleId="a8">
    <w:name w:val="Верхний колонтитул Знак"/>
    <w:uiPriority w:val="99"/>
    <w:rsid w:val="009B6CE4"/>
    <w:rPr>
      <w:sz w:val="24"/>
      <w:lang w:val="uk-UA" w:eastAsia="x-none"/>
    </w:rPr>
  </w:style>
  <w:style w:type="character" w:customStyle="1" w:styleId="hl">
    <w:name w:val="hl"/>
    <w:rsid w:val="009B6CE4"/>
    <w:rPr>
      <w:rFonts w:cs="Times New Roman"/>
    </w:rPr>
  </w:style>
  <w:style w:type="paragraph" w:styleId="List">
    <w:name w:val="List"/>
    <w:basedOn w:val="BodyText"/>
    <w:rsid w:val="009B6CE4"/>
    <w:pPr>
      <w:widowControl w:val="0"/>
      <w:suppressAutoHyphens/>
      <w:autoSpaceDE w:val="0"/>
      <w:spacing w:after="0" w:line="240" w:lineRule="auto"/>
    </w:pPr>
    <w:rPr>
      <w:rFonts w:ascii="Arial" w:eastAsia="Calibri" w:hAnsi="Arial" w:cs="Mangal"/>
      <w:sz w:val="28"/>
      <w:szCs w:val="28"/>
      <w:lang w:val="x-none" w:eastAsia="ar-SA"/>
    </w:rPr>
  </w:style>
  <w:style w:type="paragraph" w:customStyle="1" w:styleId="70">
    <w:name w:val="Название7"/>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8">
    <w:name w:val="Указатель8"/>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60">
    <w:name w:val="Название6"/>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71">
    <w:name w:val="Указатель7"/>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50">
    <w:name w:val="Название5"/>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61">
    <w:name w:val="Указатель6"/>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40">
    <w:name w:val="Название4"/>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51">
    <w:name w:val="Указатель5"/>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3">
    <w:name w:val="Название3"/>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41">
    <w:name w:val="Указатель4"/>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22">
    <w:name w:val="Название2"/>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34">
    <w:name w:val="Указатель3"/>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12">
    <w:name w:val="Название1"/>
    <w:basedOn w:val="Normal"/>
    <w:rsid w:val="009B6CE4"/>
    <w:pPr>
      <w:suppressLineNumbers/>
      <w:suppressAutoHyphens/>
      <w:spacing w:before="120" w:after="120" w:line="240" w:lineRule="auto"/>
    </w:pPr>
    <w:rPr>
      <w:rFonts w:ascii="Arial" w:eastAsia="Calibri" w:hAnsi="Arial" w:cs="Mangal"/>
      <w:i/>
      <w:iCs/>
      <w:sz w:val="20"/>
      <w:szCs w:val="24"/>
      <w:lang w:val="uk-UA" w:eastAsia="ar-SA"/>
    </w:rPr>
  </w:style>
  <w:style w:type="paragraph" w:customStyle="1" w:styleId="23">
    <w:name w:val="Указатель2"/>
    <w:basedOn w:val="Normal"/>
    <w:rsid w:val="009B6CE4"/>
    <w:pPr>
      <w:suppressLineNumbers/>
      <w:suppressAutoHyphens/>
      <w:spacing w:after="0" w:line="240" w:lineRule="auto"/>
    </w:pPr>
    <w:rPr>
      <w:rFonts w:ascii="Arial" w:eastAsia="Calibri" w:hAnsi="Arial" w:cs="Mangal"/>
      <w:sz w:val="24"/>
      <w:szCs w:val="24"/>
      <w:lang w:val="uk-UA" w:eastAsia="ar-SA"/>
    </w:rPr>
  </w:style>
  <w:style w:type="paragraph" w:customStyle="1" w:styleId="310">
    <w:name w:val="Основной текст 31"/>
    <w:basedOn w:val="Normal"/>
    <w:rsid w:val="009B6CE4"/>
    <w:pPr>
      <w:suppressAutoHyphens/>
      <w:spacing w:after="0" w:line="360" w:lineRule="auto"/>
      <w:jc w:val="both"/>
    </w:pPr>
    <w:rPr>
      <w:rFonts w:ascii="Times New Roman" w:eastAsia="Calibri" w:hAnsi="Times New Roman" w:cs="Calibri"/>
      <w:sz w:val="28"/>
      <w:szCs w:val="28"/>
      <w:lang w:val="ru-RU" w:eastAsia="ar-SA"/>
    </w:rPr>
  </w:style>
  <w:style w:type="paragraph" w:customStyle="1" w:styleId="210">
    <w:name w:val="Основной текст 21"/>
    <w:basedOn w:val="Normal"/>
    <w:rsid w:val="009B6CE4"/>
    <w:pPr>
      <w:suppressAutoHyphens/>
      <w:spacing w:after="120" w:line="480" w:lineRule="auto"/>
    </w:pPr>
    <w:rPr>
      <w:rFonts w:ascii="Times New Roman" w:eastAsia="Calibri" w:hAnsi="Times New Roman" w:cs="Calibri"/>
      <w:sz w:val="24"/>
      <w:szCs w:val="24"/>
      <w:lang w:val="uk-UA" w:eastAsia="ar-SA"/>
    </w:rPr>
  </w:style>
  <w:style w:type="paragraph" w:styleId="Footer">
    <w:name w:val="footer"/>
    <w:basedOn w:val="Normal"/>
    <w:link w:val="FooterChar"/>
    <w:uiPriority w:val="99"/>
    <w:rsid w:val="009B6CE4"/>
    <w:pPr>
      <w:tabs>
        <w:tab w:val="center" w:pos="4677"/>
        <w:tab w:val="right" w:pos="9355"/>
      </w:tabs>
      <w:suppressAutoHyphens/>
      <w:spacing w:after="0" w:line="240" w:lineRule="auto"/>
    </w:pPr>
    <w:rPr>
      <w:rFonts w:ascii="Calibri" w:eastAsia="Calibri" w:hAnsi="Calibri" w:cs="Calibri"/>
      <w:lang w:val="ru-RU" w:eastAsia="ar-SA"/>
    </w:rPr>
  </w:style>
  <w:style w:type="character" w:customStyle="1" w:styleId="FooterChar">
    <w:name w:val="Footer Char"/>
    <w:basedOn w:val="DefaultParagraphFont"/>
    <w:link w:val="Footer"/>
    <w:uiPriority w:val="99"/>
    <w:rsid w:val="009B6CE4"/>
    <w:rPr>
      <w:rFonts w:ascii="Calibri" w:eastAsia="Calibri" w:hAnsi="Calibri" w:cs="Calibri"/>
      <w:lang w:val="ru-RU" w:eastAsia="ar-SA"/>
    </w:rPr>
  </w:style>
  <w:style w:type="paragraph" w:customStyle="1" w:styleId="lic">
    <w:name w:val="lic"/>
    <w:basedOn w:val="Normal"/>
    <w:rsid w:val="009B6CE4"/>
    <w:pPr>
      <w:suppressAutoHyphens/>
      <w:spacing w:before="40" w:after="40" w:line="240" w:lineRule="auto"/>
      <w:ind w:left="1021" w:right="567" w:hanging="360"/>
      <w:jc w:val="both"/>
    </w:pPr>
    <w:rPr>
      <w:rFonts w:ascii="Verdana" w:eastAsia="Calibri" w:hAnsi="Verdana" w:cs="Times New Roman"/>
      <w:sz w:val="20"/>
      <w:szCs w:val="20"/>
      <w:lang w:val="ru-RU" w:eastAsia="ar-SA"/>
    </w:rPr>
  </w:style>
  <w:style w:type="paragraph" w:customStyle="1" w:styleId="bodyjournal">
    <w:name w:val="bodyjournal"/>
    <w:basedOn w:val="Normal"/>
    <w:rsid w:val="009B6CE4"/>
    <w:pPr>
      <w:suppressAutoHyphens/>
      <w:spacing w:after="180" w:line="240" w:lineRule="auto"/>
      <w:textAlignment w:val="top"/>
    </w:pPr>
    <w:rPr>
      <w:rFonts w:ascii="Arial" w:eastAsia="Calibri" w:hAnsi="Arial" w:cs="Times New Roman"/>
      <w:color w:val="000000"/>
      <w:sz w:val="24"/>
      <w:szCs w:val="24"/>
      <w:lang w:val="ru-RU" w:eastAsia="ar-SA"/>
    </w:rPr>
  </w:style>
  <w:style w:type="paragraph" w:customStyle="1" w:styleId="13">
    <w:name w:val="Указатель1"/>
    <w:basedOn w:val="Normal"/>
    <w:rsid w:val="009B6CE4"/>
    <w:pPr>
      <w:suppressLineNumbers/>
      <w:suppressAutoHyphens/>
      <w:spacing w:after="200" w:line="276" w:lineRule="auto"/>
    </w:pPr>
    <w:rPr>
      <w:rFonts w:ascii="Arial" w:eastAsia="Times New Roman" w:hAnsi="Arial" w:cs="Mangal"/>
      <w:lang w:val="ru-RU" w:eastAsia="ar-SA"/>
    </w:rPr>
  </w:style>
  <w:style w:type="paragraph" w:customStyle="1" w:styleId="a9">
    <w:name w:val="Заголовок таблицы"/>
    <w:basedOn w:val="a1"/>
    <w:rsid w:val="009B6CE4"/>
    <w:pPr>
      <w:jc w:val="center"/>
    </w:pPr>
    <w:rPr>
      <w:rFonts w:eastAsia="Calibri"/>
      <w:b/>
      <w:bCs/>
    </w:rPr>
  </w:style>
  <w:style w:type="paragraph" w:customStyle="1" w:styleId="aa">
    <w:name w:val="Содержимое врезки"/>
    <w:basedOn w:val="BodyText"/>
    <w:rsid w:val="009B6CE4"/>
    <w:pPr>
      <w:widowControl w:val="0"/>
      <w:suppressAutoHyphens/>
      <w:autoSpaceDE w:val="0"/>
      <w:spacing w:after="0" w:line="240" w:lineRule="auto"/>
    </w:pPr>
    <w:rPr>
      <w:rFonts w:ascii="Times New Roman" w:eastAsia="Calibri" w:hAnsi="Times New Roman" w:cs="Calibri"/>
      <w:sz w:val="28"/>
      <w:szCs w:val="28"/>
      <w:lang w:val="x-none" w:eastAsia="ar-SA"/>
    </w:rPr>
  </w:style>
  <w:style w:type="paragraph" w:customStyle="1" w:styleId="311">
    <w:name w:val="Основной текст с отступом 31"/>
    <w:basedOn w:val="Normal"/>
    <w:rsid w:val="009B6CE4"/>
    <w:pPr>
      <w:spacing w:after="120" w:line="240" w:lineRule="auto"/>
      <w:ind w:left="283"/>
    </w:pPr>
    <w:rPr>
      <w:rFonts w:ascii="Times New Roman" w:eastAsia="Calibri" w:hAnsi="Times New Roman" w:cs="Times New Roman"/>
      <w:sz w:val="16"/>
      <w:szCs w:val="16"/>
      <w:lang w:val="ru-RU" w:eastAsia="ar-SA"/>
    </w:rPr>
  </w:style>
  <w:style w:type="paragraph" w:customStyle="1" w:styleId="14">
    <w:name w:val="Обычный1"/>
    <w:rsid w:val="009B6CE4"/>
    <w:pPr>
      <w:suppressAutoHyphens/>
      <w:spacing w:after="0" w:line="360" w:lineRule="auto"/>
    </w:pPr>
    <w:rPr>
      <w:rFonts w:ascii="Times New Roman" w:eastAsia="Times New Roman" w:hAnsi="Times New Roman" w:cs="Times New Roman"/>
      <w:sz w:val="28"/>
      <w:szCs w:val="20"/>
      <w:lang w:val="ru-RU" w:eastAsia="ar-SA"/>
    </w:rPr>
  </w:style>
  <w:style w:type="character" w:customStyle="1" w:styleId="edition">
    <w:name w:val="edition"/>
    <w:rsid w:val="009B6CE4"/>
    <w:rPr>
      <w:rFonts w:cs="Times New Roman"/>
    </w:rPr>
  </w:style>
  <w:style w:type="character" w:customStyle="1" w:styleId="num">
    <w:name w:val="num"/>
    <w:rsid w:val="009B6CE4"/>
    <w:rPr>
      <w:rFonts w:cs="Times New Roman"/>
    </w:rPr>
  </w:style>
  <w:style w:type="character" w:customStyle="1" w:styleId="search-hl">
    <w:name w:val="search-hl"/>
    <w:rsid w:val="009B6CE4"/>
    <w:rPr>
      <w:rFonts w:cs="Times New Roman"/>
    </w:rPr>
  </w:style>
  <w:style w:type="character" w:styleId="FollowedHyperlink">
    <w:name w:val="FollowedHyperlink"/>
    <w:uiPriority w:val="99"/>
    <w:unhideWhenUsed/>
    <w:rsid w:val="009B6CE4"/>
    <w:rPr>
      <w:color w:val="800080"/>
      <w:u w:val="single"/>
    </w:rPr>
  </w:style>
  <w:style w:type="character" w:customStyle="1" w:styleId="rvts6">
    <w:name w:val="rvts6"/>
    <w:rsid w:val="009B6CE4"/>
    <w:rPr>
      <w:rFonts w:ascii="Times New Roman" w:hAnsi="Times New Roman" w:cs="Times New Roman" w:hint="default"/>
      <w:sz w:val="28"/>
      <w:szCs w:val="28"/>
    </w:rPr>
  </w:style>
  <w:style w:type="paragraph" w:customStyle="1" w:styleId="15">
    <w:name w:val="Абзац списка1"/>
    <w:basedOn w:val="Normal"/>
    <w:rsid w:val="009B6CE4"/>
    <w:pPr>
      <w:spacing w:after="0" w:line="240" w:lineRule="auto"/>
      <w:ind w:left="720"/>
    </w:pPr>
    <w:rPr>
      <w:rFonts w:ascii="Times New Roman" w:eastAsia="Calibri" w:hAnsi="Times New Roman" w:cs="Times New Roman"/>
      <w:sz w:val="24"/>
      <w:szCs w:val="24"/>
      <w:lang w:val="ru-RU" w:eastAsia="ru-RU"/>
    </w:rPr>
  </w:style>
  <w:style w:type="character" w:customStyle="1" w:styleId="312">
    <w:name w:val="Знак Знак31"/>
    <w:rsid w:val="009B6CE4"/>
    <w:rPr>
      <w:rFonts w:ascii="Times New Roman" w:eastAsia="Times New Roman" w:hAnsi="Times New Roman" w:cs="Calibri"/>
      <w:sz w:val="28"/>
      <w:szCs w:val="28"/>
      <w:lang w:eastAsia="ar-SA"/>
    </w:rPr>
  </w:style>
  <w:style w:type="character" w:customStyle="1" w:styleId="211">
    <w:name w:val="Знак Знак21"/>
    <w:rsid w:val="009B6CE4"/>
    <w:rPr>
      <w:rFonts w:ascii="Times New Roman" w:eastAsia="Times New Roman" w:hAnsi="Times New Roman" w:cs="Calibri"/>
      <w:b/>
      <w:bCs/>
      <w:caps/>
      <w:sz w:val="30"/>
      <w:szCs w:val="30"/>
      <w:lang w:eastAsia="ar-SA"/>
    </w:rPr>
  </w:style>
  <w:style w:type="character" w:customStyle="1" w:styleId="110">
    <w:name w:val="Знак Знак11"/>
    <w:rsid w:val="009B6CE4"/>
    <w:rPr>
      <w:rFonts w:ascii="Cambria" w:eastAsia="Times New Roman" w:hAnsi="Cambria" w:cs="Times New Roman"/>
      <w:i/>
      <w:iCs/>
      <w:color w:val="4F81BD"/>
      <w:spacing w:val="15"/>
      <w:sz w:val="24"/>
      <w:szCs w:val="24"/>
    </w:rPr>
  </w:style>
  <w:style w:type="character" w:customStyle="1" w:styleId="hpsatn">
    <w:name w:val="hps atn"/>
    <w:rsid w:val="009B6CE4"/>
  </w:style>
  <w:style w:type="paragraph" w:styleId="BodyTextIndent3">
    <w:name w:val="Body Text Indent 3"/>
    <w:basedOn w:val="Normal"/>
    <w:link w:val="BodyTextIndent3Char"/>
    <w:rsid w:val="009B6CE4"/>
    <w:pPr>
      <w:suppressAutoHyphens/>
      <w:spacing w:after="120" w:line="240" w:lineRule="auto"/>
      <w:ind w:left="283"/>
    </w:pPr>
    <w:rPr>
      <w:rFonts w:ascii="Times New Roman" w:eastAsia="Calibri" w:hAnsi="Times New Roman" w:cs="Times New Roman"/>
      <w:sz w:val="16"/>
      <w:szCs w:val="16"/>
      <w:lang w:val="uk-UA" w:eastAsia="ar-SA"/>
    </w:rPr>
  </w:style>
  <w:style w:type="character" w:customStyle="1" w:styleId="BodyTextIndent3Char">
    <w:name w:val="Body Text Indent 3 Char"/>
    <w:basedOn w:val="DefaultParagraphFont"/>
    <w:link w:val="BodyTextIndent3"/>
    <w:rsid w:val="009B6CE4"/>
    <w:rPr>
      <w:rFonts w:ascii="Times New Roman" w:eastAsia="Calibri" w:hAnsi="Times New Roman" w:cs="Times New Roman"/>
      <w:sz w:val="16"/>
      <w:szCs w:val="16"/>
      <w:lang w:val="uk-UA" w:eastAsia="ar-SA"/>
    </w:rPr>
  </w:style>
  <w:style w:type="character" w:customStyle="1" w:styleId="alt-edited">
    <w:name w:val="alt-edited"/>
    <w:basedOn w:val="DefaultParagraphFont"/>
    <w:rsid w:val="009B6CE4"/>
  </w:style>
  <w:style w:type="paragraph" w:customStyle="1" w:styleId="paragraphscx222297874">
    <w:name w:val="paragraph scx222297874"/>
    <w:basedOn w:val="Normal"/>
    <w:rsid w:val="009B6CE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spellingerrorscx222297874">
    <w:name w:val="spellingerror scx222297874"/>
    <w:rsid w:val="009B6CE4"/>
  </w:style>
  <w:style w:type="character" w:customStyle="1" w:styleId="normaltextrunscx222297874">
    <w:name w:val="normaltextrun scx222297874"/>
    <w:rsid w:val="009B6CE4"/>
  </w:style>
  <w:style w:type="character" w:customStyle="1" w:styleId="eopscx222297874">
    <w:name w:val="eop scx222297874"/>
    <w:rsid w:val="009B6CE4"/>
  </w:style>
  <w:style w:type="table" w:customStyle="1" w:styleId="TableGrid2">
    <w:name w:val="Table Grid2"/>
    <w:basedOn w:val="TableNormal"/>
    <w:next w:val="TableGrid"/>
    <w:uiPriority w:val="39"/>
    <w:rsid w:val="00B02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DefaultParagraphFont"/>
    <w:rsid w:val="00D608E8"/>
  </w:style>
  <w:style w:type="character" w:customStyle="1" w:styleId="ref-journal">
    <w:name w:val="ref-journal"/>
    <w:basedOn w:val="DefaultParagraphFont"/>
    <w:rsid w:val="00D608E8"/>
  </w:style>
  <w:style w:type="character" w:customStyle="1" w:styleId="text">
    <w:name w:val="text"/>
    <w:basedOn w:val="DefaultParagraphFont"/>
    <w:rsid w:val="00C8274F"/>
  </w:style>
  <w:style w:type="character" w:customStyle="1" w:styleId="author-ref">
    <w:name w:val="author-ref"/>
    <w:basedOn w:val="DefaultParagraphFont"/>
    <w:rsid w:val="00C8274F"/>
  </w:style>
  <w:style w:type="paragraph" w:customStyle="1" w:styleId="Title1">
    <w:name w:val="Title1"/>
    <w:basedOn w:val="Normal"/>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A12F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A12F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A12F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775">
      <w:bodyDiv w:val="1"/>
      <w:marLeft w:val="0"/>
      <w:marRight w:val="0"/>
      <w:marTop w:val="0"/>
      <w:marBottom w:val="0"/>
      <w:divBdr>
        <w:top w:val="none" w:sz="0" w:space="0" w:color="auto"/>
        <w:left w:val="none" w:sz="0" w:space="0" w:color="auto"/>
        <w:bottom w:val="none" w:sz="0" w:space="0" w:color="auto"/>
        <w:right w:val="none" w:sz="0" w:space="0" w:color="auto"/>
      </w:divBdr>
    </w:div>
    <w:div w:id="2246822">
      <w:bodyDiv w:val="1"/>
      <w:marLeft w:val="0"/>
      <w:marRight w:val="0"/>
      <w:marTop w:val="0"/>
      <w:marBottom w:val="0"/>
      <w:divBdr>
        <w:top w:val="none" w:sz="0" w:space="0" w:color="auto"/>
        <w:left w:val="none" w:sz="0" w:space="0" w:color="auto"/>
        <w:bottom w:val="none" w:sz="0" w:space="0" w:color="auto"/>
        <w:right w:val="none" w:sz="0" w:space="0" w:color="auto"/>
      </w:divBdr>
    </w:div>
    <w:div w:id="4332092">
      <w:bodyDiv w:val="1"/>
      <w:marLeft w:val="0"/>
      <w:marRight w:val="0"/>
      <w:marTop w:val="0"/>
      <w:marBottom w:val="0"/>
      <w:divBdr>
        <w:top w:val="none" w:sz="0" w:space="0" w:color="auto"/>
        <w:left w:val="none" w:sz="0" w:space="0" w:color="auto"/>
        <w:bottom w:val="none" w:sz="0" w:space="0" w:color="auto"/>
        <w:right w:val="none" w:sz="0" w:space="0" w:color="auto"/>
      </w:divBdr>
    </w:div>
    <w:div w:id="4863316">
      <w:bodyDiv w:val="1"/>
      <w:marLeft w:val="0"/>
      <w:marRight w:val="0"/>
      <w:marTop w:val="0"/>
      <w:marBottom w:val="0"/>
      <w:divBdr>
        <w:top w:val="none" w:sz="0" w:space="0" w:color="auto"/>
        <w:left w:val="none" w:sz="0" w:space="0" w:color="auto"/>
        <w:bottom w:val="none" w:sz="0" w:space="0" w:color="auto"/>
        <w:right w:val="none" w:sz="0" w:space="0" w:color="auto"/>
      </w:divBdr>
    </w:div>
    <w:div w:id="5132616">
      <w:bodyDiv w:val="1"/>
      <w:marLeft w:val="0"/>
      <w:marRight w:val="0"/>
      <w:marTop w:val="0"/>
      <w:marBottom w:val="0"/>
      <w:divBdr>
        <w:top w:val="none" w:sz="0" w:space="0" w:color="auto"/>
        <w:left w:val="none" w:sz="0" w:space="0" w:color="auto"/>
        <w:bottom w:val="none" w:sz="0" w:space="0" w:color="auto"/>
        <w:right w:val="none" w:sz="0" w:space="0" w:color="auto"/>
      </w:divBdr>
    </w:div>
    <w:div w:id="6371858">
      <w:bodyDiv w:val="1"/>
      <w:marLeft w:val="0"/>
      <w:marRight w:val="0"/>
      <w:marTop w:val="0"/>
      <w:marBottom w:val="0"/>
      <w:divBdr>
        <w:top w:val="none" w:sz="0" w:space="0" w:color="auto"/>
        <w:left w:val="none" w:sz="0" w:space="0" w:color="auto"/>
        <w:bottom w:val="none" w:sz="0" w:space="0" w:color="auto"/>
        <w:right w:val="none" w:sz="0" w:space="0" w:color="auto"/>
      </w:divBdr>
    </w:div>
    <w:div w:id="6910225">
      <w:bodyDiv w:val="1"/>
      <w:marLeft w:val="0"/>
      <w:marRight w:val="0"/>
      <w:marTop w:val="0"/>
      <w:marBottom w:val="0"/>
      <w:divBdr>
        <w:top w:val="none" w:sz="0" w:space="0" w:color="auto"/>
        <w:left w:val="none" w:sz="0" w:space="0" w:color="auto"/>
        <w:bottom w:val="none" w:sz="0" w:space="0" w:color="auto"/>
        <w:right w:val="none" w:sz="0" w:space="0" w:color="auto"/>
      </w:divBdr>
    </w:div>
    <w:div w:id="7950517">
      <w:bodyDiv w:val="1"/>
      <w:marLeft w:val="0"/>
      <w:marRight w:val="0"/>
      <w:marTop w:val="0"/>
      <w:marBottom w:val="0"/>
      <w:divBdr>
        <w:top w:val="none" w:sz="0" w:space="0" w:color="auto"/>
        <w:left w:val="none" w:sz="0" w:space="0" w:color="auto"/>
        <w:bottom w:val="none" w:sz="0" w:space="0" w:color="auto"/>
        <w:right w:val="none" w:sz="0" w:space="0" w:color="auto"/>
      </w:divBdr>
    </w:div>
    <w:div w:id="8069991">
      <w:bodyDiv w:val="1"/>
      <w:marLeft w:val="0"/>
      <w:marRight w:val="0"/>
      <w:marTop w:val="0"/>
      <w:marBottom w:val="0"/>
      <w:divBdr>
        <w:top w:val="none" w:sz="0" w:space="0" w:color="auto"/>
        <w:left w:val="none" w:sz="0" w:space="0" w:color="auto"/>
        <w:bottom w:val="none" w:sz="0" w:space="0" w:color="auto"/>
        <w:right w:val="none" w:sz="0" w:space="0" w:color="auto"/>
      </w:divBdr>
    </w:div>
    <w:div w:id="11035315">
      <w:bodyDiv w:val="1"/>
      <w:marLeft w:val="0"/>
      <w:marRight w:val="0"/>
      <w:marTop w:val="0"/>
      <w:marBottom w:val="0"/>
      <w:divBdr>
        <w:top w:val="none" w:sz="0" w:space="0" w:color="auto"/>
        <w:left w:val="none" w:sz="0" w:space="0" w:color="auto"/>
        <w:bottom w:val="none" w:sz="0" w:space="0" w:color="auto"/>
        <w:right w:val="none" w:sz="0" w:space="0" w:color="auto"/>
      </w:divBdr>
    </w:div>
    <w:div w:id="12416602">
      <w:bodyDiv w:val="1"/>
      <w:marLeft w:val="0"/>
      <w:marRight w:val="0"/>
      <w:marTop w:val="0"/>
      <w:marBottom w:val="0"/>
      <w:divBdr>
        <w:top w:val="none" w:sz="0" w:space="0" w:color="auto"/>
        <w:left w:val="none" w:sz="0" w:space="0" w:color="auto"/>
        <w:bottom w:val="none" w:sz="0" w:space="0" w:color="auto"/>
        <w:right w:val="none" w:sz="0" w:space="0" w:color="auto"/>
      </w:divBdr>
    </w:div>
    <w:div w:id="15469940">
      <w:bodyDiv w:val="1"/>
      <w:marLeft w:val="0"/>
      <w:marRight w:val="0"/>
      <w:marTop w:val="0"/>
      <w:marBottom w:val="0"/>
      <w:divBdr>
        <w:top w:val="none" w:sz="0" w:space="0" w:color="auto"/>
        <w:left w:val="none" w:sz="0" w:space="0" w:color="auto"/>
        <w:bottom w:val="none" w:sz="0" w:space="0" w:color="auto"/>
        <w:right w:val="none" w:sz="0" w:space="0" w:color="auto"/>
      </w:divBdr>
    </w:div>
    <w:div w:id="18090826">
      <w:bodyDiv w:val="1"/>
      <w:marLeft w:val="0"/>
      <w:marRight w:val="0"/>
      <w:marTop w:val="0"/>
      <w:marBottom w:val="0"/>
      <w:divBdr>
        <w:top w:val="none" w:sz="0" w:space="0" w:color="auto"/>
        <w:left w:val="none" w:sz="0" w:space="0" w:color="auto"/>
        <w:bottom w:val="none" w:sz="0" w:space="0" w:color="auto"/>
        <w:right w:val="none" w:sz="0" w:space="0" w:color="auto"/>
      </w:divBdr>
    </w:div>
    <w:div w:id="19360541">
      <w:bodyDiv w:val="1"/>
      <w:marLeft w:val="0"/>
      <w:marRight w:val="0"/>
      <w:marTop w:val="0"/>
      <w:marBottom w:val="0"/>
      <w:divBdr>
        <w:top w:val="none" w:sz="0" w:space="0" w:color="auto"/>
        <w:left w:val="none" w:sz="0" w:space="0" w:color="auto"/>
        <w:bottom w:val="none" w:sz="0" w:space="0" w:color="auto"/>
        <w:right w:val="none" w:sz="0" w:space="0" w:color="auto"/>
      </w:divBdr>
    </w:div>
    <w:div w:id="21983231">
      <w:bodyDiv w:val="1"/>
      <w:marLeft w:val="0"/>
      <w:marRight w:val="0"/>
      <w:marTop w:val="0"/>
      <w:marBottom w:val="0"/>
      <w:divBdr>
        <w:top w:val="none" w:sz="0" w:space="0" w:color="auto"/>
        <w:left w:val="none" w:sz="0" w:space="0" w:color="auto"/>
        <w:bottom w:val="none" w:sz="0" w:space="0" w:color="auto"/>
        <w:right w:val="none" w:sz="0" w:space="0" w:color="auto"/>
      </w:divBdr>
    </w:div>
    <w:div w:id="26370253">
      <w:bodyDiv w:val="1"/>
      <w:marLeft w:val="0"/>
      <w:marRight w:val="0"/>
      <w:marTop w:val="0"/>
      <w:marBottom w:val="0"/>
      <w:divBdr>
        <w:top w:val="none" w:sz="0" w:space="0" w:color="auto"/>
        <w:left w:val="none" w:sz="0" w:space="0" w:color="auto"/>
        <w:bottom w:val="none" w:sz="0" w:space="0" w:color="auto"/>
        <w:right w:val="none" w:sz="0" w:space="0" w:color="auto"/>
      </w:divBdr>
    </w:div>
    <w:div w:id="26836809">
      <w:bodyDiv w:val="1"/>
      <w:marLeft w:val="0"/>
      <w:marRight w:val="0"/>
      <w:marTop w:val="0"/>
      <w:marBottom w:val="0"/>
      <w:divBdr>
        <w:top w:val="none" w:sz="0" w:space="0" w:color="auto"/>
        <w:left w:val="none" w:sz="0" w:space="0" w:color="auto"/>
        <w:bottom w:val="none" w:sz="0" w:space="0" w:color="auto"/>
        <w:right w:val="none" w:sz="0" w:space="0" w:color="auto"/>
      </w:divBdr>
    </w:div>
    <w:div w:id="28801395">
      <w:bodyDiv w:val="1"/>
      <w:marLeft w:val="0"/>
      <w:marRight w:val="0"/>
      <w:marTop w:val="0"/>
      <w:marBottom w:val="0"/>
      <w:divBdr>
        <w:top w:val="none" w:sz="0" w:space="0" w:color="auto"/>
        <w:left w:val="none" w:sz="0" w:space="0" w:color="auto"/>
        <w:bottom w:val="none" w:sz="0" w:space="0" w:color="auto"/>
        <w:right w:val="none" w:sz="0" w:space="0" w:color="auto"/>
      </w:divBdr>
    </w:div>
    <w:div w:id="30813502">
      <w:bodyDiv w:val="1"/>
      <w:marLeft w:val="0"/>
      <w:marRight w:val="0"/>
      <w:marTop w:val="0"/>
      <w:marBottom w:val="0"/>
      <w:divBdr>
        <w:top w:val="none" w:sz="0" w:space="0" w:color="auto"/>
        <w:left w:val="none" w:sz="0" w:space="0" w:color="auto"/>
        <w:bottom w:val="none" w:sz="0" w:space="0" w:color="auto"/>
        <w:right w:val="none" w:sz="0" w:space="0" w:color="auto"/>
      </w:divBdr>
    </w:div>
    <w:div w:id="35157585">
      <w:bodyDiv w:val="1"/>
      <w:marLeft w:val="0"/>
      <w:marRight w:val="0"/>
      <w:marTop w:val="0"/>
      <w:marBottom w:val="0"/>
      <w:divBdr>
        <w:top w:val="none" w:sz="0" w:space="0" w:color="auto"/>
        <w:left w:val="none" w:sz="0" w:space="0" w:color="auto"/>
        <w:bottom w:val="none" w:sz="0" w:space="0" w:color="auto"/>
        <w:right w:val="none" w:sz="0" w:space="0" w:color="auto"/>
      </w:divBdr>
    </w:div>
    <w:div w:id="39288107">
      <w:bodyDiv w:val="1"/>
      <w:marLeft w:val="0"/>
      <w:marRight w:val="0"/>
      <w:marTop w:val="0"/>
      <w:marBottom w:val="0"/>
      <w:divBdr>
        <w:top w:val="none" w:sz="0" w:space="0" w:color="auto"/>
        <w:left w:val="none" w:sz="0" w:space="0" w:color="auto"/>
        <w:bottom w:val="none" w:sz="0" w:space="0" w:color="auto"/>
        <w:right w:val="none" w:sz="0" w:space="0" w:color="auto"/>
      </w:divBdr>
    </w:div>
    <w:div w:id="39521631">
      <w:bodyDiv w:val="1"/>
      <w:marLeft w:val="0"/>
      <w:marRight w:val="0"/>
      <w:marTop w:val="0"/>
      <w:marBottom w:val="0"/>
      <w:divBdr>
        <w:top w:val="none" w:sz="0" w:space="0" w:color="auto"/>
        <w:left w:val="none" w:sz="0" w:space="0" w:color="auto"/>
        <w:bottom w:val="none" w:sz="0" w:space="0" w:color="auto"/>
        <w:right w:val="none" w:sz="0" w:space="0" w:color="auto"/>
      </w:divBdr>
    </w:div>
    <w:div w:id="41952674">
      <w:bodyDiv w:val="1"/>
      <w:marLeft w:val="0"/>
      <w:marRight w:val="0"/>
      <w:marTop w:val="0"/>
      <w:marBottom w:val="0"/>
      <w:divBdr>
        <w:top w:val="none" w:sz="0" w:space="0" w:color="auto"/>
        <w:left w:val="none" w:sz="0" w:space="0" w:color="auto"/>
        <w:bottom w:val="none" w:sz="0" w:space="0" w:color="auto"/>
        <w:right w:val="none" w:sz="0" w:space="0" w:color="auto"/>
      </w:divBdr>
    </w:div>
    <w:div w:id="42338041">
      <w:bodyDiv w:val="1"/>
      <w:marLeft w:val="0"/>
      <w:marRight w:val="0"/>
      <w:marTop w:val="0"/>
      <w:marBottom w:val="0"/>
      <w:divBdr>
        <w:top w:val="none" w:sz="0" w:space="0" w:color="auto"/>
        <w:left w:val="none" w:sz="0" w:space="0" w:color="auto"/>
        <w:bottom w:val="none" w:sz="0" w:space="0" w:color="auto"/>
        <w:right w:val="none" w:sz="0" w:space="0" w:color="auto"/>
      </w:divBdr>
    </w:div>
    <w:div w:id="42680435">
      <w:bodyDiv w:val="1"/>
      <w:marLeft w:val="0"/>
      <w:marRight w:val="0"/>
      <w:marTop w:val="0"/>
      <w:marBottom w:val="0"/>
      <w:divBdr>
        <w:top w:val="none" w:sz="0" w:space="0" w:color="auto"/>
        <w:left w:val="none" w:sz="0" w:space="0" w:color="auto"/>
        <w:bottom w:val="none" w:sz="0" w:space="0" w:color="auto"/>
        <w:right w:val="none" w:sz="0" w:space="0" w:color="auto"/>
      </w:divBdr>
    </w:div>
    <w:div w:id="44835717">
      <w:bodyDiv w:val="1"/>
      <w:marLeft w:val="0"/>
      <w:marRight w:val="0"/>
      <w:marTop w:val="0"/>
      <w:marBottom w:val="0"/>
      <w:divBdr>
        <w:top w:val="none" w:sz="0" w:space="0" w:color="auto"/>
        <w:left w:val="none" w:sz="0" w:space="0" w:color="auto"/>
        <w:bottom w:val="none" w:sz="0" w:space="0" w:color="auto"/>
        <w:right w:val="none" w:sz="0" w:space="0" w:color="auto"/>
      </w:divBdr>
    </w:div>
    <w:div w:id="50614993">
      <w:bodyDiv w:val="1"/>
      <w:marLeft w:val="0"/>
      <w:marRight w:val="0"/>
      <w:marTop w:val="0"/>
      <w:marBottom w:val="0"/>
      <w:divBdr>
        <w:top w:val="none" w:sz="0" w:space="0" w:color="auto"/>
        <w:left w:val="none" w:sz="0" w:space="0" w:color="auto"/>
        <w:bottom w:val="none" w:sz="0" w:space="0" w:color="auto"/>
        <w:right w:val="none" w:sz="0" w:space="0" w:color="auto"/>
      </w:divBdr>
    </w:div>
    <w:div w:id="50661317">
      <w:bodyDiv w:val="1"/>
      <w:marLeft w:val="0"/>
      <w:marRight w:val="0"/>
      <w:marTop w:val="0"/>
      <w:marBottom w:val="0"/>
      <w:divBdr>
        <w:top w:val="none" w:sz="0" w:space="0" w:color="auto"/>
        <w:left w:val="none" w:sz="0" w:space="0" w:color="auto"/>
        <w:bottom w:val="none" w:sz="0" w:space="0" w:color="auto"/>
        <w:right w:val="none" w:sz="0" w:space="0" w:color="auto"/>
      </w:divBdr>
    </w:div>
    <w:div w:id="52121259">
      <w:bodyDiv w:val="1"/>
      <w:marLeft w:val="0"/>
      <w:marRight w:val="0"/>
      <w:marTop w:val="0"/>
      <w:marBottom w:val="0"/>
      <w:divBdr>
        <w:top w:val="none" w:sz="0" w:space="0" w:color="auto"/>
        <w:left w:val="none" w:sz="0" w:space="0" w:color="auto"/>
        <w:bottom w:val="none" w:sz="0" w:space="0" w:color="auto"/>
        <w:right w:val="none" w:sz="0" w:space="0" w:color="auto"/>
      </w:divBdr>
    </w:div>
    <w:div w:id="52315275">
      <w:bodyDiv w:val="1"/>
      <w:marLeft w:val="0"/>
      <w:marRight w:val="0"/>
      <w:marTop w:val="0"/>
      <w:marBottom w:val="0"/>
      <w:divBdr>
        <w:top w:val="none" w:sz="0" w:space="0" w:color="auto"/>
        <w:left w:val="none" w:sz="0" w:space="0" w:color="auto"/>
        <w:bottom w:val="none" w:sz="0" w:space="0" w:color="auto"/>
        <w:right w:val="none" w:sz="0" w:space="0" w:color="auto"/>
      </w:divBdr>
    </w:div>
    <w:div w:id="54665545">
      <w:bodyDiv w:val="1"/>
      <w:marLeft w:val="0"/>
      <w:marRight w:val="0"/>
      <w:marTop w:val="0"/>
      <w:marBottom w:val="0"/>
      <w:divBdr>
        <w:top w:val="none" w:sz="0" w:space="0" w:color="auto"/>
        <w:left w:val="none" w:sz="0" w:space="0" w:color="auto"/>
        <w:bottom w:val="none" w:sz="0" w:space="0" w:color="auto"/>
        <w:right w:val="none" w:sz="0" w:space="0" w:color="auto"/>
      </w:divBdr>
    </w:div>
    <w:div w:id="55471042">
      <w:bodyDiv w:val="1"/>
      <w:marLeft w:val="0"/>
      <w:marRight w:val="0"/>
      <w:marTop w:val="0"/>
      <w:marBottom w:val="0"/>
      <w:divBdr>
        <w:top w:val="none" w:sz="0" w:space="0" w:color="auto"/>
        <w:left w:val="none" w:sz="0" w:space="0" w:color="auto"/>
        <w:bottom w:val="none" w:sz="0" w:space="0" w:color="auto"/>
        <w:right w:val="none" w:sz="0" w:space="0" w:color="auto"/>
      </w:divBdr>
    </w:div>
    <w:div w:id="56629823">
      <w:bodyDiv w:val="1"/>
      <w:marLeft w:val="0"/>
      <w:marRight w:val="0"/>
      <w:marTop w:val="0"/>
      <w:marBottom w:val="0"/>
      <w:divBdr>
        <w:top w:val="none" w:sz="0" w:space="0" w:color="auto"/>
        <w:left w:val="none" w:sz="0" w:space="0" w:color="auto"/>
        <w:bottom w:val="none" w:sz="0" w:space="0" w:color="auto"/>
        <w:right w:val="none" w:sz="0" w:space="0" w:color="auto"/>
      </w:divBdr>
    </w:div>
    <w:div w:id="57048313">
      <w:bodyDiv w:val="1"/>
      <w:marLeft w:val="0"/>
      <w:marRight w:val="0"/>
      <w:marTop w:val="0"/>
      <w:marBottom w:val="0"/>
      <w:divBdr>
        <w:top w:val="none" w:sz="0" w:space="0" w:color="auto"/>
        <w:left w:val="none" w:sz="0" w:space="0" w:color="auto"/>
        <w:bottom w:val="none" w:sz="0" w:space="0" w:color="auto"/>
        <w:right w:val="none" w:sz="0" w:space="0" w:color="auto"/>
      </w:divBdr>
    </w:div>
    <w:div w:id="60518459">
      <w:bodyDiv w:val="1"/>
      <w:marLeft w:val="0"/>
      <w:marRight w:val="0"/>
      <w:marTop w:val="0"/>
      <w:marBottom w:val="0"/>
      <w:divBdr>
        <w:top w:val="none" w:sz="0" w:space="0" w:color="auto"/>
        <w:left w:val="none" w:sz="0" w:space="0" w:color="auto"/>
        <w:bottom w:val="none" w:sz="0" w:space="0" w:color="auto"/>
        <w:right w:val="none" w:sz="0" w:space="0" w:color="auto"/>
      </w:divBdr>
    </w:div>
    <w:div w:id="63182375">
      <w:bodyDiv w:val="1"/>
      <w:marLeft w:val="0"/>
      <w:marRight w:val="0"/>
      <w:marTop w:val="0"/>
      <w:marBottom w:val="0"/>
      <w:divBdr>
        <w:top w:val="none" w:sz="0" w:space="0" w:color="auto"/>
        <w:left w:val="none" w:sz="0" w:space="0" w:color="auto"/>
        <w:bottom w:val="none" w:sz="0" w:space="0" w:color="auto"/>
        <w:right w:val="none" w:sz="0" w:space="0" w:color="auto"/>
      </w:divBdr>
    </w:div>
    <w:div w:id="64423482">
      <w:bodyDiv w:val="1"/>
      <w:marLeft w:val="0"/>
      <w:marRight w:val="0"/>
      <w:marTop w:val="0"/>
      <w:marBottom w:val="0"/>
      <w:divBdr>
        <w:top w:val="none" w:sz="0" w:space="0" w:color="auto"/>
        <w:left w:val="none" w:sz="0" w:space="0" w:color="auto"/>
        <w:bottom w:val="none" w:sz="0" w:space="0" w:color="auto"/>
        <w:right w:val="none" w:sz="0" w:space="0" w:color="auto"/>
      </w:divBdr>
    </w:div>
    <w:div w:id="67845287">
      <w:bodyDiv w:val="1"/>
      <w:marLeft w:val="0"/>
      <w:marRight w:val="0"/>
      <w:marTop w:val="0"/>
      <w:marBottom w:val="0"/>
      <w:divBdr>
        <w:top w:val="none" w:sz="0" w:space="0" w:color="auto"/>
        <w:left w:val="none" w:sz="0" w:space="0" w:color="auto"/>
        <w:bottom w:val="none" w:sz="0" w:space="0" w:color="auto"/>
        <w:right w:val="none" w:sz="0" w:space="0" w:color="auto"/>
      </w:divBdr>
    </w:div>
    <w:div w:id="70548442">
      <w:bodyDiv w:val="1"/>
      <w:marLeft w:val="0"/>
      <w:marRight w:val="0"/>
      <w:marTop w:val="0"/>
      <w:marBottom w:val="0"/>
      <w:divBdr>
        <w:top w:val="none" w:sz="0" w:space="0" w:color="auto"/>
        <w:left w:val="none" w:sz="0" w:space="0" w:color="auto"/>
        <w:bottom w:val="none" w:sz="0" w:space="0" w:color="auto"/>
        <w:right w:val="none" w:sz="0" w:space="0" w:color="auto"/>
      </w:divBdr>
    </w:div>
    <w:div w:id="74018553">
      <w:bodyDiv w:val="1"/>
      <w:marLeft w:val="0"/>
      <w:marRight w:val="0"/>
      <w:marTop w:val="0"/>
      <w:marBottom w:val="0"/>
      <w:divBdr>
        <w:top w:val="none" w:sz="0" w:space="0" w:color="auto"/>
        <w:left w:val="none" w:sz="0" w:space="0" w:color="auto"/>
        <w:bottom w:val="none" w:sz="0" w:space="0" w:color="auto"/>
        <w:right w:val="none" w:sz="0" w:space="0" w:color="auto"/>
      </w:divBdr>
    </w:div>
    <w:div w:id="74059398">
      <w:bodyDiv w:val="1"/>
      <w:marLeft w:val="0"/>
      <w:marRight w:val="0"/>
      <w:marTop w:val="0"/>
      <w:marBottom w:val="0"/>
      <w:divBdr>
        <w:top w:val="none" w:sz="0" w:space="0" w:color="auto"/>
        <w:left w:val="none" w:sz="0" w:space="0" w:color="auto"/>
        <w:bottom w:val="none" w:sz="0" w:space="0" w:color="auto"/>
        <w:right w:val="none" w:sz="0" w:space="0" w:color="auto"/>
      </w:divBdr>
    </w:div>
    <w:div w:id="78216575">
      <w:bodyDiv w:val="1"/>
      <w:marLeft w:val="0"/>
      <w:marRight w:val="0"/>
      <w:marTop w:val="0"/>
      <w:marBottom w:val="0"/>
      <w:divBdr>
        <w:top w:val="none" w:sz="0" w:space="0" w:color="auto"/>
        <w:left w:val="none" w:sz="0" w:space="0" w:color="auto"/>
        <w:bottom w:val="none" w:sz="0" w:space="0" w:color="auto"/>
        <w:right w:val="none" w:sz="0" w:space="0" w:color="auto"/>
      </w:divBdr>
    </w:div>
    <w:div w:id="78412814">
      <w:bodyDiv w:val="1"/>
      <w:marLeft w:val="0"/>
      <w:marRight w:val="0"/>
      <w:marTop w:val="0"/>
      <w:marBottom w:val="0"/>
      <w:divBdr>
        <w:top w:val="none" w:sz="0" w:space="0" w:color="auto"/>
        <w:left w:val="none" w:sz="0" w:space="0" w:color="auto"/>
        <w:bottom w:val="none" w:sz="0" w:space="0" w:color="auto"/>
        <w:right w:val="none" w:sz="0" w:space="0" w:color="auto"/>
      </w:divBdr>
    </w:div>
    <w:div w:id="81269613">
      <w:bodyDiv w:val="1"/>
      <w:marLeft w:val="0"/>
      <w:marRight w:val="0"/>
      <w:marTop w:val="0"/>
      <w:marBottom w:val="0"/>
      <w:divBdr>
        <w:top w:val="none" w:sz="0" w:space="0" w:color="auto"/>
        <w:left w:val="none" w:sz="0" w:space="0" w:color="auto"/>
        <w:bottom w:val="none" w:sz="0" w:space="0" w:color="auto"/>
        <w:right w:val="none" w:sz="0" w:space="0" w:color="auto"/>
      </w:divBdr>
    </w:div>
    <w:div w:id="83839702">
      <w:bodyDiv w:val="1"/>
      <w:marLeft w:val="0"/>
      <w:marRight w:val="0"/>
      <w:marTop w:val="0"/>
      <w:marBottom w:val="0"/>
      <w:divBdr>
        <w:top w:val="none" w:sz="0" w:space="0" w:color="auto"/>
        <w:left w:val="none" w:sz="0" w:space="0" w:color="auto"/>
        <w:bottom w:val="none" w:sz="0" w:space="0" w:color="auto"/>
        <w:right w:val="none" w:sz="0" w:space="0" w:color="auto"/>
      </w:divBdr>
      <w:divsChild>
        <w:div w:id="270481525">
          <w:marLeft w:val="0"/>
          <w:marRight w:val="0"/>
          <w:marTop w:val="0"/>
          <w:marBottom w:val="0"/>
          <w:divBdr>
            <w:top w:val="none" w:sz="0" w:space="0" w:color="auto"/>
            <w:left w:val="none" w:sz="0" w:space="0" w:color="auto"/>
            <w:bottom w:val="none" w:sz="0" w:space="0" w:color="auto"/>
            <w:right w:val="none" w:sz="0" w:space="0" w:color="auto"/>
          </w:divBdr>
        </w:div>
      </w:divsChild>
    </w:div>
    <w:div w:id="83964229">
      <w:bodyDiv w:val="1"/>
      <w:marLeft w:val="0"/>
      <w:marRight w:val="0"/>
      <w:marTop w:val="0"/>
      <w:marBottom w:val="0"/>
      <w:divBdr>
        <w:top w:val="none" w:sz="0" w:space="0" w:color="auto"/>
        <w:left w:val="none" w:sz="0" w:space="0" w:color="auto"/>
        <w:bottom w:val="none" w:sz="0" w:space="0" w:color="auto"/>
        <w:right w:val="none" w:sz="0" w:space="0" w:color="auto"/>
      </w:divBdr>
    </w:div>
    <w:div w:id="85924191">
      <w:bodyDiv w:val="1"/>
      <w:marLeft w:val="0"/>
      <w:marRight w:val="0"/>
      <w:marTop w:val="0"/>
      <w:marBottom w:val="0"/>
      <w:divBdr>
        <w:top w:val="none" w:sz="0" w:space="0" w:color="auto"/>
        <w:left w:val="none" w:sz="0" w:space="0" w:color="auto"/>
        <w:bottom w:val="none" w:sz="0" w:space="0" w:color="auto"/>
        <w:right w:val="none" w:sz="0" w:space="0" w:color="auto"/>
      </w:divBdr>
    </w:div>
    <w:div w:id="87195578">
      <w:bodyDiv w:val="1"/>
      <w:marLeft w:val="0"/>
      <w:marRight w:val="0"/>
      <w:marTop w:val="0"/>
      <w:marBottom w:val="0"/>
      <w:divBdr>
        <w:top w:val="none" w:sz="0" w:space="0" w:color="auto"/>
        <w:left w:val="none" w:sz="0" w:space="0" w:color="auto"/>
        <w:bottom w:val="none" w:sz="0" w:space="0" w:color="auto"/>
        <w:right w:val="none" w:sz="0" w:space="0" w:color="auto"/>
      </w:divBdr>
    </w:div>
    <w:div w:id="87390043">
      <w:bodyDiv w:val="1"/>
      <w:marLeft w:val="0"/>
      <w:marRight w:val="0"/>
      <w:marTop w:val="0"/>
      <w:marBottom w:val="0"/>
      <w:divBdr>
        <w:top w:val="none" w:sz="0" w:space="0" w:color="auto"/>
        <w:left w:val="none" w:sz="0" w:space="0" w:color="auto"/>
        <w:bottom w:val="none" w:sz="0" w:space="0" w:color="auto"/>
        <w:right w:val="none" w:sz="0" w:space="0" w:color="auto"/>
      </w:divBdr>
    </w:div>
    <w:div w:id="91097074">
      <w:bodyDiv w:val="1"/>
      <w:marLeft w:val="0"/>
      <w:marRight w:val="0"/>
      <w:marTop w:val="0"/>
      <w:marBottom w:val="0"/>
      <w:divBdr>
        <w:top w:val="none" w:sz="0" w:space="0" w:color="auto"/>
        <w:left w:val="none" w:sz="0" w:space="0" w:color="auto"/>
        <w:bottom w:val="none" w:sz="0" w:space="0" w:color="auto"/>
        <w:right w:val="none" w:sz="0" w:space="0" w:color="auto"/>
      </w:divBdr>
    </w:div>
    <w:div w:id="96951449">
      <w:bodyDiv w:val="1"/>
      <w:marLeft w:val="0"/>
      <w:marRight w:val="0"/>
      <w:marTop w:val="0"/>
      <w:marBottom w:val="0"/>
      <w:divBdr>
        <w:top w:val="none" w:sz="0" w:space="0" w:color="auto"/>
        <w:left w:val="none" w:sz="0" w:space="0" w:color="auto"/>
        <w:bottom w:val="none" w:sz="0" w:space="0" w:color="auto"/>
        <w:right w:val="none" w:sz="0" w:space="0" w:color="auto"/>
      </w:divBdr>
    </w:div>
    <w:div w:id="100419530">
      <w:bodyDiv w:val="1"/>
      <w:marLeft w:val="0"/>
      <w:marRight w:val="0"/>
      <w:marTop w:val="0"/>
      <w:marBottom w:val="0"/>
      <w:divBdr>
        <w:top w:val="none" w:sz="0" w:space="0" w:color="auto"/>
        <w:left w:val="none" w:sz="0" w:space="0" w:color="auto"/>
        <w:bottom w:val="none" w:sz="0" w:space="0" w:color="auto"/>
        <w:right w:val="none" w:sz="0" w:space="0" w:color="auto"/>
      </w:divBdr>
    </w:div>
    <w:div w:id="102116040">
      <w:bodyDiv w:val="1"/>
      <w:marLeft w:val="0"/>
      <w:marRight w:val="0"/>
      <w:marTop w:val="0"/>
      <w:marBottom w:val="0"/>
      <w:divBdr>
        <w:top w:val="none" w:sz="0" w:space="0" w:color="auto"/>
        <w:left w:val="none" w:sz="0" w:space="0" w:color="auto"/>
        <w:bottom w:val="none" w:sz="0" w:space="0" w:color="auto"/>
        <w:right w:val="none" w:sz="0" w:space="0" w:color="auto"/>
      </w:divBdr>
    </w:div>
    <w:div w:id="103573087">
      <w:bodyDiv w:val="1"/>
      <w:marLeft w:val="0"/>
      <w:marRight w:val="0"/>
      <w:marTop w:val="0"/>
      <w:marBottom w:val="0"/>
      <w:divBdr>
        <w:top w:val="none" w:sz="0" w:space="0" w:color="auto"/>
        <w:left w:val="none" w:sz="0" w:space="0" w:color="auto"/>
        <w:bottom w:val="none" w:sz="0" w:space="0" w:color="auto"/>
        <w:right w:val="none" w:sz="0" w:space="0" w:color="auto"/>
      </w:divBdr>
    </w:div>
    <w:div w:id="105468582">
      <w:bodyDiv w:val="1"/>
      <w:marLeft w:val="0"/>
      <w:marRight w:val="0"/>
      <w:marTop w:val="0"/>
      <w:marBottom w:val="0"/>
      <w:divBdr>
        <w:top w:val="none" w:sz="0" w:space="0" w:color="auto"/>
        <w:left w:val="none" w:sz="0" w:space="0" w:color="auto"/>
        <w:bottom w:val="none" w:sz="0" w:space="0" w:color="auto"/>
        <w:right w:val="none" w:sz="0" w:space="0" w:color="auto"/>
      </w:divBdr>
    </w:div>
    <w:div w:id="105472320">
      <w:bodyDiv w:val="1"/>
      <w:marLeft w:val="0"/>
      <w:marRight w:val="0"/>
      <w:marTop w:val="0"/>
      <w:marBottom w:val="0"/>
      <w:divBdr>
        <w:top w:val="none" w:sz="0" w:space="0" w:color="auto"/>
        <w:left w:val="none" w:sz="0" w:space="0" w:color="auto"/>
        <w:bottom w:val="none" w:sz="0" w:space="0" w:color="auto"/>
        <w:right w:val="none" w:sz="0" w:space="0" w:color="auto"/>
      </w:divBdr>
    </w:div>
    <w:div w:id="107628851">
      <w:bodyDiv w:val="1"/>
      <w:marLeft w:val="0"/>
      <w:marRight w:val="0"/>
      <w:marTop w:val="0"/>
      <w:marBottom w:val="0"/>
      <w:divBdr>
        <w:top w:val="none" w:sz="0" w:space="0" w:color="auto"/>
        <w:left w:val="none" w:sz="0" w:space="0" w:color="auto"/>
        <w:bottom w:val="none" w:sz="0" w:space="0" w:color="auto"/>
        <w:right w:val="none" w:sz="0" w:space="0" w:color="auto"/>
      </w:divBdr>
    </w:div>
    <w:div w:id="107966692">
      <w:bodyDiv w:val="1"/>
      <w:marLeft w:val="0"/>
      <w:marRight w:val="0"/>
      <w:marTop w:val="0"/>
      <w:marBottom w:val="0"/>
      <w:divBdr>
        <w:top w:val="none" w:sz="0" w:space="0" w:color="auto"/>
        <w:left w:val="none" w:sz="0" w:space="0" w:color="auto"/>
        <w:bottom w:val="none" w:sz="0" w:space="0" w:color="auto"/>
        <w:right w:val="none" w:sz="0" w:space="0" w:color="auto"/>
      </w:divBdr>
    </w:div>
    <w:div w:id="108742398">
      <w:bodyDiv w:val="1"/>
      <w:marLeft w:val="0"/>
      <w:marRight w:val="0"/>
      <w:marTop w:val="0"/>
      <w:marBottom w:val="0"/>
      <w:divBdr>
        <w:top w:val="none" w:sz="0" w:space="0" w:color="auto"/>
        <w:left w:val="none" w:sz="0" w:space="0" w:color="auto"/>
        <w:bottom w:val="none" w:sz="0" w:space="0" w:color="auto"/>
        <w:right w:val="none" w:sz="0" w:space="0" w:color="auto"/>
      </w:divBdr>
    </w:div>
    <w:div w:id="110590213">
      <w:bodyDiv w:val="1"/>
      <w:marLeft w:val="0"/>
      <w:marRight w:val="0"/>
      <w:marTop w:val="0"/>
      <w:marBottom w:val="0"/>
      <w:divBdr>
        <w:top w:val="none" w:sz="0" w:space="0" w:color="auto"/>
        <w:left w:val="none" w:sz="0" w:space="0" w:color="auto"/>
        <w:bottom w:val="none" w:sz="0" w:space="0" w:color="auto"/>
        <w:right w:val="none" w:sz="0" w:space="0" w:color="auto"/>
      </w:divBdr>
    </w:div>
    <w:div w:id="114443462">
      <w:bodyDiv w:val="1"/>
      <w:marLeft w:val="0"/>
      <w:marRight w:val="0"/>
      <w:marTop w:val="0"/>
      <w:marBottom w:val="0"/>
      <w:divBdr>
        <w:top w:val="none" w:sz="0" w:space="0" w:color="auto"/>
        <w:left w:val="none" w:sz="0" w:space="0" w:color="auto"/>
        <w:bottom w:val="none" w:sz="0" w:space="0" w:color="auto"/>
        <w:right w:val="none" w:sz="0" w:space="0" w:color="auto"/>
      </w:divBdr>
    </w:div>
    <w:div w:id="114907103">
      <w:bodyDiv w:val="1"/>
      <w:marLeft w:val="0"/>
      <w:marRight w:val="0"/>
      <w:marTop w:val="0"/>
      <w:marBottom w:val="0"/>
      <w:divBdr>
        <w:top w:val="none" w:sz="0" w:space="0" w:color="auto"/>
        <w:left w:val="none" w:sz="0" w:space="0" w:color="auto"/>
        <w:bottom w:val="none" w:sz="0" w:space="0" w:color="auto"/>
        <w:right w:val="none" w:sz="0" w:space="0" w:color="auto"/>
      </w:divBdr>
    </w:div>
    <w:div w:id="117376233">
      <w:bodyDiv w:val="1"/>
      <w:marLeft w:val="0"/>
      <w:marRight w:val="0"/>
      <w:marTop w:val="0"/>
      <w:marBottom w:val="0"/>
      <w:divBdr>
        <w:top w:val="none" w:sz="0" w:space="0" w:color="auto"/>
        <w:left w:val="none" w:sz="0" w:space="0" w:color="auto"/>
        <w:bottom w:val="none" w:sz="0" w:space="0" w:color="auto"/>
        <w:right w:val="none" w:sz="0" w:space="0" w:color="auto"/>
      </w:divBdr>
    </w:div>
    <w:div w:id="117532923">
      <w:bodyDiv w:val="1"/>
      <w:marLeft w:val="0"/>
      <w:marRight w:val="0"/>
      <w:marTop w:val="0"/>
      <w:marBottom w:val="0"/>
      <w:divBdr>
        <w:top w:val="none" w:sz="0" w:space="0" w:color="auto"/>
        <w:left w:val="none" w:sz="0" w:space="0" w:color="auto"/>
        <w:bottom w:val="none" w:sz="0" w:space="0" w:color="auto"/>
        <w:right w:val="none" w:sz="0" w:space="0" w:color="auto"/>
      </w:divBdr>
    </w:div>
    <w:div w:id="119691012">
      <w:bodyDiv w:val="1"/>
      <w:marLeft w:val="0"/>
      <w:marRight w:val="0"/>
      <w:marTop w:val="0"/>
      <w:marBottom w:val="0"/>
      <w:divBdr>
        <w:top w:val="none" w:sz="0" w:space="0" w:color="auto"/>
        <w:left w:val="none" w:sz="0" w:space="0" w:color="auto"/>
        <w:bottom w:val="none" w:sz="0" w:space="0" w:color="auto"/>
        <w:right w:val="none" w:sz="0" w:space="0" w:color="auto"/>
      </w:divBdr>
    </w:div>
    <w:div w:id="120077377">
      <w:bodyDiv w:val="1"/>
      <w:marLeft w:val="0"/>
      <w:marRight w:val="0"/>
      <w:marTop w:val="0"/>
      <w:marBottom w:val="0"/>
      <w:divBdr>
        <w:top w:val="none" w:sz="0" w:space="0" w:color="auto"/>
        <w:left w:val="none" w:sz="0" w:space="0" w:color="auto"/>
        <w:bottom w:val="none" w:sz="0" w:space="0" w:color="auto"/>
        <w:right w:val="none" w:sz="0" w:space="0" w:color="auto"/>
      </w:divBdr>
    </w:div>
    <w:div w:id="126508042">
      <w:bodyDiv w:val="1"/>
      <w:marLeft w:val="0"/>
      <w:marRight w:val="0"/>
      <w:marTop w:val="0"/>
      <w:marBottom w:val="0"/>
      <w:divBdr>
        <w:top w:val="none" w:sz="0" w:space="0" w:color="auto"/>
        <w:left w:val="none" w:sz="0" w:space="0" w:color="auto"/>
        <w:bottom w:val="none" w:sz="0" w:space="0" w:color="auto"/>
        <w:right w:val="none" w:sz="0" w:space="0" w:color="auto"/>
      </w:divBdr>
    </w:div>
    <w:div w:id="127600324">
      <w:bodyDiv w:val="1"/>
      <w:marLeft w:val="0"/>
      <w:marRight w:val="0"/>
      <w:marTop w:val="0"/>
      <w:marBottom w:val="0"/>
      <w:divBdr>
        <w:top w:val="none" w:sz="0" w:space="0" w:color="auto"/>
        <w:left w:val="none" w:sz="0" w:space="0" w:color="auto"/>
        <w:bottom w:val="none" w:sz="0" w:space="0" w:color="auto"/>
        <w:right w:val="none" w:sz="0" w:space="0" w:color="auto"/>
      </w:divBdr>
    </w:div>
    <w:div w:id="127869194">
      <w:bodyDiv w:val="1"/>
      <w:marLeft w:val="0"/>
      <w:marRight w:val="0"/>
      <w:marTop w:val="0"/>
      <w:marBottom w:val="0"/>
      <w:divBdr>
        <w:top w:val="none" w:sz="0" w:space="0" w:color="auto"/>
        <w:left w:val="none" w:sz="0" w:space="0" w:color="auto"/>
        <w:bottom w:val="none" w:sz="0" w:space="0" w:color="auto"/>
        <w:right w:val="none" w:sz="0" w:space="0" w:color="auto"/>
      </w:divBdr>
    </w:div>
    <w:div w:id="130250183">
      <w:bodyDiv w:val="1"/>
      <w:marLeft w:val="0"/>
      <w:marRight w:val="0"/>
      <w:marTop w:val="0"/>
      <w:marBottom w:val="0"/>
      <w:divBdr>
        <w:top w:val="none" w:sz="0" w:space="0" w:color="auto"/>
        <w:left w:val="none" w:sz="0" w:space="0" w:color="auto"/>
        <w:bottom w:val="none" w:sz="0" w:space="0" w:color="auto"/>
        <w:right w:val="none" w:sz="0" w:space="0" w:color="auto"/>
      </w:divBdr>
    </w:div>
    <w:div w:id="131408873">
      <w:bodyDiv w:val="1"/>
      <w:marLeft w:val="0"/>
      <w:marRight w:val="0"/>
      <w:marTop w:val="0"/>
      <w:marBottom w:val="0"/>
      <w:divBdr>
        <w:top w:val="none" w:sz="0" w:space="0" w:color="auto"/>
        <w:left w:val="none" w:sz="0" w:space="0" w:color="auto"/>
        <w:bottom w:val="none" w:sz="0" w:space="0" w:color="auto"/>
        <w:right w:val="none" w:sz="0" w:space="0" w:color="auto"/>
      </w:divBdr>
    </w:div>
    <w:div w:id="140932072">
      <w:bodyDiv w:val="1"/>
      <w:marLeft w:val="0"/>
      <w:marRight w:val="0"/>
      <w:marTop w:val="0"/>
      <w:marBottom w:val="0"/>
      <w:divBdr>
        <w:top w:val="none" w:sz="0" w:space="0" w:color="auto"/>
        <w:left w:val="none" w:sz="0" w:space="0" w:color="auto"/>
        <w:bottom w:val="none" w:sz="0" w:space="0" w:color="auto"/>
        <w:right w:val="none" w:sz="0" w:space="0" w:color="auto"/>
      </w:divBdr>
    </w:div>
    <w:div w:id="143402310">
      <w:bodyDiv w:val="1"/>
      <w:marLeft w:val="0"/>
      <w:marRight w:val="0"/>
      <w:marTop w:val="0"/>
      <w:marBottom w:val="0"/>
      <w:divBdr>
        <w:top w:val="none" w:sz="0" w:space="0" w:color="auto"/>
        <w:left w:val="none" w:sz="0" w:space="0" w:color="auto"/>
        <w:bottom w:val="none" w:sz="0" w:space="0" w:color="auto"/>
        <w:right w:val="none" w:sz="0" w:space="0" w:color="auto"/>
      </w:divBdr>
    </w:div>
    <w:div w:id="148836676">
      <w:bodyDiv w:val="1"/>
      <w:marLeft w:val="0"/>
      <w:marRight w:val="0"/>
      <w:marTop w:val="0"/>
      <w:marBottom w:val="0"/>
      <w:divBdr>
        <w:top w:val="none" w:sz="0" w:space="0" w:color="auto"/>
        <w:left w:val="none" w:sz="0" w:space="0" w:color="auto"/>
        <w:bottom w:val="none" w:sz="0" w:space="0" w:color="auto"/>
        <w:right w:val="none" w:sz="0" w:space="0" w:color="auto"/>
      </w:divBdr>
    </w:div>
    <w:div w:id="151222483">
      <w:bodyDiv w:val="1"/>
      <w:marLeft w:val="0"/>
      <w:marRight w:val="0"/>
      <w:marTop w:val="0"/>
      <w:marBottom w:val="0"/>
      <w:divBdr>
        <w:top w:val="none" w:sz="0" w:space="0" w:color="auto"/>
        <w:left w:val="none" w:sz="0" w:space="0" w:color="auto"/>
        <w:bottom w:val="none" w:sz="0" w:space="0" w:color="auto"/>
        <w:right w:val="none" w:sz="0" w:space="0" w:color="auto"/>
      </w:divBdr>
    </w:div>
    <w:div w:id="153958753">
      <w:bodyDiv w:val="1"/>
      <w:marLeft w:val="0"/>
      <w:marRight w:val="0"/>
      <w:marTop w:val="0"/>
      <w:marBottom w:val="0"/>
      <w:divBdr>
        <w:top w:val="none" w:sz="0" w:space="0" w:color="auto"/>
        <w:left w:val="none" w:sz="0" w:space="0" w:color="auto"/>
        <w:bottom w:val="none" w:sz="0" w:space="0" w:color="auto"/>
        <w:right w:val="none" w:sz="0" w:space="0" w:color="auto"/>
      </w:divBdr>
    </w:div>
    <w:div w:id="154416643">
      <w:bodyDiv w:val="1"/>
      <w:marLeft w:val="0"/>
      <w:marRight w:val="0"/>
      <w:marTop w:val="0"/>
      <w:marBottom w:val="0"/>
      <w:divBdr>
        <w:top w:val="none" w:sz="0" w:space="0" w:color="auto"/>
        <w:left w:val="none" w:sz="0" w:space="0" w:color="auto"/>
        <w:bottom w:val="none" w:sz="0" w:space="0" w:color="auto"/>
        <w:right w:val="none" w:sz="0" w:space="0" w:color="auto"/>
      </w:divBdr>
    </w:div>
    <w:div w:id="155388249">
      <w:bodyDiv w:val="1"/>
      <w:marLeft w:val="0"/>
      <w:marRight w:val="0"/>
      <w:marTop w:val="0"/>
      <w:marBottom w:val="0"/>
      <w:divBdr>
        <w:top w:val="none" w:sz="0" w:space="0" w:color="auto"/>
        <w:left w:val="none" w:sz="0" w:space="0" w:color="auto"/>
        <w:bottom w:val="none" w:sz="0" w:space="0" w:color="auto"/>
        <w:right w:val="none" w:sz="0" w:space="0" w:color="auto"/>
      </w:divBdr>
    </w:div>
    <w:div w:id="155537204">
      <w:bodyDiv w:val="1"/>
      <w:marLeft w:val="0"/>
      <w:marRight w:val="0"/>
      <w:marTop w:val="0"/>
      <w:marBottom w:val="0"/>
      <w:divBdr>
        <w:top w:val="none" w:sz="0" w:space="0" w:color="auto"/>
        <w:left w:val="none" w:sz="0" w:space="0" w:color="auto"/>
        <w:bottom w:val="none" w:sz="0" w:space="0" w:color="auto"/>
        <w:right w:val="none" w:sz="0" w:space="0" w:color="auto"/>
      </w:divBdr>
    </w:div>
    <w:div w:id="156190237">
      <w:bodyDiv w:val="1"/>
      <w:marLeft w:val="0"/>
      <w:marRight w:val="0"/>
      <w:marTop w:val="0"/>
      <w:marBottom w:val="0"/>
      <w:divBdr>
        <w:top w:val="none" w:sz="0" w:space="0" w:color="auto"/>
        <w:left w:val="none" w:sz="0" w:space="0" w:color="auto"/>
        <w:bottom w:val="none" w:sz="0" w:space="0" w:color="auto"/>
        <w:right w:val="none" w:sz="0" w:space="0" w:color="auto"/>
      </w:divBdr>
    </w:div>
    <w:div w:id="165755595">
      <w:bodyDiv w:val="1"/>
      <w:marLeft w:val="0"/>
      <w:marRight w:val="0"/>
      <w:marTop w:val="0"/>
      <w:marBottom w:val="0"/>
      <w:divBdr>
        <w:top w:val="none" w:sz="0" w:space="0" w:color="auto"/>
        <w:left w:val="none" w:sz="0" w:space="0" w:color="auto"/>
        <w:bottom w:val="none" w:sz="0" w:space="0" w:color="auto"/>
        <w:right w:val="none" w:sz="0" w:space="0" w:color="auto"/>
      </w:divBdr>
    </w:div>
    <w:div w:id="167138667">
      <w:bodyDiv w:val="1"/>
      <w:marLeft w:val="0"/>
      <w:marRight w:val="0"/>
      <w:marTop w:val="0"/>
      <w:marBottom w:val="0"/>
      <w:divBdr>
        <w:top w:val="none" w:sz="0" w:space="0" w:color="auto"/>
        <w:left w:val="none" w:sz="0" w:space="0" w:color="auto"/>
        <w:bottom w:val="none" w:sz="0" w:space="0" w:color="auto"/>
        <w:right w:val="none" w:sz="0" w:space="0" w:color="auto"/>
      </w:divBdr>
    </w:div>
    <w:div w:id="169300127">
      <w:bodyDiv w:val="1"/>
      <w:marLeft w:val="0"/>
      <w:marRight w:val="0"/>
      <w:marTop w:val="0"/>
      <w:marBottom w:val="0"/>
      <w:divBdr>
        <w:top w:val="none" w:sz="0" w:space="0" w:color="auto"/>
        <w:left w:val="none" w:sz="0" w:space="0" w:color="auto"/>
        <w:bottom w:val="none" w:sz="0" w:space="0" w:color="auto"/>
        <w:right w:val="none" w:sz="0" w:space="0" w:color="auto"/>
      </w:divBdr>
    </w:div>
    <w:div w:id="170686686">
      <w:bodyDiv w:val="1"/>
      <w:marLeft w:val="0"/>
      <w:marRight w:val="0"/>
      <w:marTop w:val="0"/>
      <w:marBottom w:val="0"/>
      <w:divBdr>
        <w:top w:val="none" w:sz="0" w:space="0" w:color="auto"/>
        <w:left w:val="none" w:sz="0" w:space="0" w:color="auto"/>
        <w:bottom w:val="none" w:sz="0" w:space="0" w:color="auto"/>
        <w:right w:val="none" w:sz="0" w:space="0" w:color="auto"/>
      </w:divBdr>
    </w:div>
    <w:div w:id="172837814">
      <w:bodyDiv w:val="1"/>
      <w:marLeft w:val="0"/>
      <w:marRight w:val="0"/>
      <w:marTop w:val="0"/>
      <w:marBottom w:val="0"/>
      <w:divBdr>
        <w:top w:val="none" w:sz="0" w:space="0" w:color="auto"/>
        <w:left w:val="none" w:sz="0" w:space="0" w:color="auto"/>
        <w:bottom w:val="none" w:sz="0" w:space="0" w:color="auto"/>
        <w:right w:val="none" w:sz="0" w:space="0" w:color="auto"/>
      </w:divBdr>
    </w:div>
    <w:div w:id="174157376">
      <w:bodyDiv w:val="1"/>
      <w:marLeft w:val="0"/>
      <w:marRight w:val="0"/>
      <w:marTop w:val="0"/>
      <w:marBottom w:val="0"/>
      <w:divBdr>
        <w:top w:val="none" w:sz="0" w:space="0" w:color="auto"/>
        <w:left w:val="none" w:sz="0" w:space="0" w:color="auto"/>
        <w:bottom w:val="none" w:sz="0" w:space="0" w:color="auto"/>
        <w:right w:val="none" w:sz="0" w:space="0" w:color="auto"/>
      </w:divBdr>
    </w:div>
    <w:div w:id="176698683">
      <w:bodyDiv w:val="1"/>
      <w:marLeft w:val="0"/>
      <w:marRight w:val="0"/>
      <w:marTop w:val="0"/>
      <w:marBottom w:val="0"/>
      <w:divBdr>
        <w:top w:val="none" w:sz="0" w:space="0" w:color="auto"/>
        <w:left w:val="none" w:sz="0" w:space="0" w:color="auto"/>
        <w:bottom w:val="none" w:sz="0" w:space="0" w:color="auto"/>
        <w:right w:val="none" w:sz="0" w:space="0" w:color="auto"/>
      </w:divBdr>
    </w:div>
    <w:div w:id="182088688">
      <w:bodyDiv w:val="1"/>
      <w:marLeft w:val="0"/>
      <w:marRight w:val="0"/>
      <w:marTop w:val="0"/>
      <w:marBottom w:val="0"/>
      <w:divBdr>
        <w:top w:val="none" w:sz="0" w:space="0" w:color="auto"/>
        <w:left w:val="none" w:sz="0" w:space="0" w:color="auto"/>
        <w:bottom w:val="none" w:sz="0" w:space="0" w:color="auto"/>
        <w:right w:val="none" w:sz="0" w:space="0" w:color="auto"/>
      </w:divBdr>
    </w:div>
    <w:div w:id="182324887">
      <w:bodyDiv w:val="1"/>
      <w:marLeft w:val="0"/>
      <w:marRight w:val="0"/>
      <w:marTop w:val="0"/>
      <w:marBottom w:val="0"/>
      <w:divBdr>
        <w:top w:val="none" w:sz="0" w:space="0" w:color="auto"/>
        <w:left w:val="none" w:sz="0" w:space="0" w:color="auto"/>
        <w:bottom w:val="none" w:sz="0" w:space="0" w:color="auto"/>
        <w:right w:val="none" w:sz="0" w:space="0" w:color="auto"/>
      </w:divBdr>
    </w:div>
    <w:div w:id="185679254">
      <w:bodyDiv w:val="1"/>
      <w:marLeft w:val="0"/>
      <w:marRight w:val="0"/>
      <w:marTop w:val="0"/>
      <w:marBottom w:val="0"/>
      <w:divBdr>
        <w:top w:val="none" w:sz="0" w:space="0" w:color="auto"/>
        <w:left w:val="none" w:sz="0" w:space="0" w:color="auto"/>
        <w:bottom w:val="none" w:sz="0" w:space="0" w:color="auto"/>
        <w:right w:val="none" w:sz="0" w:space="0" w:color="auto"/>
      </w:divBdr>
    </w:div>
    <w:div w:id="186910025">
      <w:bodyDiv w:val="1"/>
      <w:marLeft w:val="0"/>
      <w:marRight w:val="0"/>
      <w:marTop w:val="0"/>
      <w:marBottom w:val="0"/>
      <w:divBdr>
        <w:top w:val="none" w:sz="0" w:space="0" w:color="auto"/>
        <w:left w:val="none" w:sz="0" w:space="0" w:color="auto"/>
        <w:bottom w:val="none" w:sz="0" w:space="0" w:color="auto"/>
        <w:right w:val="none" w:sz="0" w:space="0" w:color="auto"/>
      </w:divBdr>
    </w:div>
    <w:div w:id="195774045">
      <w:bodyDiv w:val="1"/>
      <w:marLeft w:val="0"/>
      <w:marRight w:val="0"/>
      <w:marTop w:val="0"/>
      <w:marBottom w:val="0"/>
      <w:divBdr>
        <w:top w:val="none" w:sz="0" w:space="0" w:color="auto"/>
        <w:left w:val="none" w:sz="0" w:space="0" w:color="auto"/>
        <w:bottom w:val="none" w:sz="0" w:space="0" w:color="auto"/>
        <w:right w:val="none" w:sz="0" w:space="0" w:color="auto"/>
      </w:divBdr>
    </w:div>
    <w:div w:id="197595443">
      <w:bodyDiv w:val="1"/>
      <w:marLeft w:val="0"/>
      <w:marRight w:val="0"/>
      <w:marTop w:val="0"/>
      <w:marBottom w:val="0"/>
      <w:divBdr>
        <w:top w:val="none" w:sz="0" w:space="0" w:color="auto"/>
        <w:left w:val="none" w:sz="0" w:space="0" w:color="auto"/>
        <w:bottom w:val="none" w:sz="0" w:space="0" w:color="auto"/>
        <w:right w:val="none" w:sz="0" w:space="0" w:color="auto"/>
      </w:divBdr>
    </w:div>
    <w:div w:id="199781998">
      <w:bodyDiv w:val="1"/>
      <w:marLeft w:val="0"/>
      <w:marRight w:val="0"/>
      <w:marTop w:val="0"/>
      <w:marBottom w:val="0"/>
      <w:divBdr>
        <w:top w:val="none" w:sz="0" w:space="0" w:color="auto"/>
        <w:left w:val="none" w:sz="0" w:space="0" w:color="auto"/>
        <w:bottom w:val="none" w:sz="0" w:space="0" w:color="auto"/>
        <w:right w:val="none" w:sz="0" w:space="0" w:color="auto"/>
      </w:divBdr>
    </w:div>
    <w:div w:id="200242464">
      <w:bodyDiv w:val="1"/>
      <w:marLeft w:val="0"/>
      <w:marRight w:val="0"/>
      <w:marTop w:val="0"/>
      <w:marBottom w:val="0"/>
      <w:divBdr>
        <w:top w:val="none" w:sz="0" w:space="0" w:color="auto"/>
        <w:left w:val="none" w:sz="0" w:space="0" w:color="auto"/>
        <w:bottom w:val="none" w:sz="0" w:space="0" w:color="auto"/>
        <w:right w:val="none" w:sz="0" w:space="0" w:color="auto"/>
      </w:divBdr>
    </w:div>
    <w:div w:id="200482976">
      <w:bodyDiv w:val="1"/>
      <w:marLeft w:val="0"/>
      <w:marRight w:val="0"/>
      <w:marTop w:val="0"/>
      <w:marBottom w:val="0"/>
      <w:divBdr>
        <w:top w:val="none" w:sz="0" w:space="0" w:color="auto"/>
        <w:left w:val="none" w:sz="0" w:space="0" w:color="auto"/>
        <w:bottom w:val="none" w:sz="0" w:space="0" w:color="auto"/>
        <w:right w:val="none" w:sz="0" w:space="0" w:color="auto"/>
      </w:divBdr>
    </w:div>
    <w:div w:id="201138032">
      <w:bodyDiv w:val="1"/>
      <w:marLeft w:val="0"/>
      <w:marRight w:val="0"/>
      <w:marTop w:val="0"/>
      <w:marBottom w:val="0"/>
      <w:divBdr>
        <w:top w:val="none" w:sz="0" w:space="0" w:color="auto"/>
        <w:left w:val="none" w:sz="0" w:space="0" w:color="auto"/>
        <w:bottom w:val="none" w:sz="0" w:space="0" w:color="auto"/>
        <w:right w:val="none" w:sz="0" w:space="0" w:color="auto"/>
      </w:divBdr>
    </w:div>
    <w:div w:id="204757242">
      <w:bodyDiv w:val="1"/>
      <w:marLeft w:val="0"/>
      <w:marRight w:val="0"/>
      <w:marTop w:val="0"/>
      <w:marBottom w:val="0"/>
      <w:divBdr>
        <w:top w:val="none" w:sz="0" w:space="0" w:color="auto"/>
        <w:left w:val="none" w:sz="0" w:space="0" w:color="auto"/>
        <w:bottom w:val="none" w:sz="0" w:space="0" w:color="auto"/>
        <w:right w:val="none" w:sz="0" w:space="0" w:color="auto"/>
      </w:divBdr>
    </w:div>
    <w:div w:id="206457448">
      <w:bodyDiv w:val="1"/>
      <w:marLeft w:val="0"/>
      <w:marRight w:val="0"/>
      <w:marTop w:val="0"/>
      <w:marBottom w:val="0"/>
      <w:divBdr>
        <w:top w:val="none" w:sz="0" w:space="0" w:color="auto"/>
        <w:left w:val="none" w:sz="0" w:space="0" w:color="auto"/>
        <w:bottom w:val="none" w:sz="0" w:space="0" w:color="auto"/>
        <w:right w:val="none" w:sz="0" w:space="0" w:color="auto"/>
      </w:divBdr>
    </w:div>
    <w:div w:id="207498132">
      <w:bodyDiv w:val="1"/>
      <w:marLeft w:val="0"/>
      <w:marRight w:val="0"/>
      <w:marTop w:val="0"/>
      <w:marBottom w:val="0"/>
      <w:divBdr>
        <w:top w:val="none" w:sz="0" w:space="0" w:color="auto"/>
        <w:left w:val="none" w:sz="0" w:space="0" w:color="auto"/>
        <w:bottom w:val="none" w:sz="0" w:space="0" w:color="auto"/>
        <w:right w:val="none" w:sz="0" w:space="0" w:color="auto"/>
      </w:divBdr>
    </w:div>
    <w:div w:id="207962302">
      <w:bodyDiv w:val="1"/>
      <w:marLeft w:val="0"/>
      <w:marRight w:val="0"/>
      <w:marTop w:val="0"/>
      <w:marBottom w:val="0"/>
      <w:divBdr>
        <w:top w:val="none" w:sz="0" w:space="0" w:color="auto"/>
        <w:left w:val="none" w:sz="0" w:space="0" w:color="auto"/>
        <w:bottom w:val="none" w:sz="0" w:space="0" w:color="auto"/>
        <w:right w:val="none" w:sz="0" w:space="0" w:color="auto"/>
      </w:divBdr>
    </w:div>
    <w:div w:id="208811195">
      <w:bodyDiv w:val="1"/>
      <w:marLeft w:val="0"/>
      <w:marRight w:val="0"/>
      <w:marTop w:val="0"/>
      <w:marBottom w:val="0"/>
      <w:divBdr>
        <w:top w:val="none" w:sz="0" w:space="0" w:color="auto"/>
        <w:left w:val="none" w:sz="0" w:space="0" w:color="auto"/>
        <w:bottom w:val="none" w:sz="0" w:space="0" w:color="auto"/>
        <w:right w:val="none" w:sz="0" w:space="0" w:color="auto"/>
      </w:divBdr>
    </w:div>
    <w:div w:id="212036883">
      <w:bodyDiv w:val="1"/>
      <w:marLeft w:val="0"/>
      <w:marRight w:val="0"/>
      <w:marTop w:val="0"/>
      <w:marBottom w:val="0"/>
      <w:divBdr>
        <w:top w:val="none" w:sz="0" w:space="0" w:color="auto"/>
        <w:left w:val="none" w:sz="0" w:space="0" w:color="auto"/>
        <w:bottom w:val="none" w:sz="0" w:space="0" w:color="auto"/>
        <w:right w:val="none" w:sz="0" w:space="0" w:color="auto"/>
      </w:divBdr>
    </w:div>
    <w:div w:id="213663933">
      <w:bodyDiv w:val="1"/>
      <w:marLeft w:val="0"/>
      <w:marRight w:val="0"/>
      <w:marTop w:val="0"/>
      <w:marBottom w:val="0"/>
      <w:divBdr>
        <w:top w:val="none" w:sz="0" w:space="0" w:color="auto"/>
        <w:left w:val="none" w:sz="0" w:space="0" w:color="auto"/>
        <w:bottom w:val="none" w:sz="0" w:space="0" w:color="auto"/>
        <w:right w:val="none" w:sz="0" w:space="0" w:color="auto"/>
      </w:divBdr>
    </w:div>
    <w:div w:id="214582970">
      <w:bodyDiv w:val="1"/>
      <w:marLeft w:val="0"/>
      <w:marRight w:val="0"/>
      <w:marTop w:val="0"/>
      <w:marBottom w:val="0"/>
      <w:divBdr>
        <w:top w:val="none" w:sz="0" w:space="0" w:color="auto"/>
        <w:left w:val="none" w:sz="0" w:space="0" w:color="auto"/>
        <w:bottom w:val="none" w:sz="0" w:space="0" w:color="auto"/>
        <w:right w:val="none" w:sz="0" w:space="0" w:color="auto"/>
      </w:divBdr>
    </w:div>
    <w:div w:id="215553081">
      <w:bodyDiv w:val="1"/>
      <w:marLeft w:val="0"/>
      <w:marRight w:val="0"/>
      <w:marTop w:val="0"/>
      <w:marBottom w:val="0"/>
      <w:divBdr>
        <w:top w:val="none" w:sz="0" w:space="0" w:color="auto"/>
        <w:left w:val="none" w:sz="0" w:space="0" w:color="auto"/>
        <w:bottom w:val="none" w:sz="0" w:space="0" w:color="auto"/>
        <w:right w:val="none" w:sz="0" w:space="0" w:color="auto"/>
      </w:divBdr>
    </w:div>
    <w:div w:id="216626458">
      <w:bodyDiv w:val="1"/>
      <w:marLeft w:val="0"/>
      <w:marRight w:val="0"/>
      <w:marTop w:val="0"/>
      <w:marBottom w:val="0"/>
      <w:divBdr>
        <w:top w:val="none" w:sz="0" w:space="0" w:color="auto"/>
        <w:left w:val="none" w:sz="0" w:space="0" w:color="auto"/>
        <w:bottom w:val="none" w:sz="0" w:space="0" w:color="auto"/>
        <w:right w:val="none" w:sz="0" w:space="0" w:color="auto"/>
      </w:divBdr>
    </w:div>
    <w:div w:id="217516533">
      <w:bodyDiv w:val="1"/>
      <w:marLeft w:val="0"/>
      <w:marRight w:val="0"/>
      <w:marTop w:val="0"/>
      <w:marBottom w:val="0"/>
      <w:divBdr>
        <w:top w:val="none" w:sz="0" w:space="0" w:color="auto"/>
        <w:left w:val="none" w:sz="0" w:space="0" w:color="auto"/>
        <w:bottom w:val="none" w:sz="0" w:space="0" w:color="auto"/>
        <w:right w:val="none" w:sz="0" w:space="0" w:color="auto"/>
      </w:divBdr>
    </w:div>
    <w:div w:id="218825801">
      <w:bodyDiv w:val="1"/>
      <w:marLeft w:val="0"/>
      <w:marRight w:val="0"/>
      <w:marTop w:val="0"/>
      <w:marBottom w:val="0"/>
      <w:divBdr>
        <w:top w:val="none" w:sz="0" w:space="0" w:color="auto"/>
        <w:left w:val="none" w:sz="0" w:space="0" w:color="auto"/>
        <w:bottom w:val="none" w:sz="0" w:space="0" w:color="auto"/>
        <w:right w:val="none" w:sz="0" w:space="0" w:color="auto"/>
      </w:divBdr>
    </w:div>
    <w:div w:id="219555603">
      <w:bodyDiv w:val="1"/>
      <w:marLeft w:val="0"/>
      <w:marRight w:val="0"/>
      <w:marTop w:val="0"/>
      <w:marBottom w:val="0"/>
      <w:divBdr>
        <w:top w:val="none" w:sz="0" w:space="0" w:color="auto"/>
        <w:left w:val="none" w:sz="0" w:space="0" w:color="auto"/>
        <w:bottom w:val="none" w:sz="0" w:space="0" w:color="auto"/>
        <w:right w:val="none" w:sz="0" w:space="0" w:color="auto"/>
      </w:divBdr>
    </w:div>
    <w:div w:id="219827135">
      <w:bodyDiv w:val="1"/>
      <w:marLeft w:val="0"/>
      <w:marRight w:val="0"/>
      <w:marTop w:val="0"/>
      <w:marBottom w:val="0"/>
      <w:divBdr>
        <w:top w:val="none" w:sz="0" w:space="0" w:color="auto"/>
        <w:left w:val="none" w:sz="0" w:space="0" w:color="auto"/>
        <w:bottom w:val="none" w:sz="0" w:space="0" w:color="auto"/>
        <w:right w:val="none" w:sz="0" w:space="0" w:color="auto"/>
      </w:divBdr>
    </w:div>
    <w:div w:id="223369924">
      <w:bodyDiv w:val="1"/>
      <w:marLeft w:val="0"/>
      <w:marRight w:val="0"/>
      <w:marTop w:val="0"/>
      <w:marBottom w:val="0"/>
      <w:divBdr>
        <w:top w:val="none" w:sz="0" w:space="0" w:color="auto"/>
        <w:left w:val="none" w:sz="0" w:space="0" w:color="auto"/>
        <w:bottom w:val="none" w:sz="0" w:space="0" w:color="auto"/>
        <w:right w:val="none" w:sz="0" w:space="0" w:color="auto"/>
      </w:divBdr>
    </w:div>
    <w:div w:id="223879061">
      <w:bodyDiv w:val="1"/>
      <w:marLeft w:val="0"/>
      <w:marRight w:val="0"/>
      <w:marTop w:val="0"/>
      <w:marBottom w:val="0"/>
      <w:divBdr>
        <w:top w:val="none" w:sz="0" w:space="0" w:color="auto"/>
        <w:left w:val="none" w:sz="0" w:space="0" w:color="auto"/>
        <w:bottom w:val="none" w:sz="0" w:space="0" w:color="auto"/>
        <w:right w:val="none" w:sz="0" w:space="0" w:color="auto"/>
      </w:divBdr>
    </w:div>
    <w:div w:id="225802995">
      <w:bodyDiv w:val="1"/>
      <w:marLeft w:val="0"/>
      <w:marRight w:val="0"/>
      <w:marTop w:val="0"/>
      <w:marBottom w:val="0"/>
      <w:divBdr>
        <w:top w:val="none" w:sz="0" w:space="0" w:color="auto"/>
        <w:left w:val="none" w:sz="0" w:space="0" w:color="auto"/>
        <w:bottom w:val="none" w:sz="0" w:space="0" w:color="auto"/>
        <w:right w:val="none" w:sz="0" w:space="0" w:color="auto"/>
      </w:divBdr>
    </w:div>
    <w:div w:id="228347853">
      <w:bodyDiv w:val="1"/>
      <w:marLeft w:val="0"/>
      <w:marRight w:val="0"/>
      <w:marTop w:val="0"/>
      <w:marBottom w:val="0"/>
      <w:divBdr>
        <w:top w:val="none" w:sz="0" w:space="0" w:color="auto"/>
        <w:left w:val="none" w:sz="0" w:space="0" w:color="auto"/>
        <w:bottom w:val="none" w:sz="0" w:space="0" w:color="auto"/>
        <w:right w:val="none" w:sz="0" w:space="0" w:color="auto"/>
      </w:divBdr>
    </w:div>
    <w:div w:id="232547557">
      <w:bodyDiv w:val="1"/>
      <w:marLeft w:val="0"/>
      <w:marRight w:val="0"/>
      <w:marTop w:val="0"/>
      <w:marBottom w:val="0"/>
      <w:divBdr>
        <w:top w:val="none" w:sz="0" w:space="0" w:color="auto"/>
        <w:left w:val="none" w:sz="0" w:space="0" w:color="auto"/>
        <w:bottom w:val="none" w:sz="0" w:space="0" w:color="auto"/>
        <w:right w:val="none" w:sz="0" w:space="0" w:color="auto"/>
      </w:divBdr>
    </w:div>
    <w:div w:id="235213926">
      <w:bodyDiv w:val="1"/>
      <w:marLeft w:val="0"/>
      <w:marRight w:val="0"/>
      <w:marTop w:val="0"/>
      <w:marBottom w:val="0"/>
      <w:divBdr>
        <w:top w:val="none" w:sz="0" w:space="0" w:color="auto"/>
        <w:left w:val="none" w:sz="0" w:space="0" w:color="auto"/>
        <w:bottom w:val="none" w:sz="0" w:space="0" w:color="auto"/>
        <w:right w:val="none" w:sz="0" w:space="0" w:color="auto"/>
      </w:divBdr>
    </w:div>
    <w:div w:id="235631094">
      <w:bodyDiv w:val="1"/>
      <w:marLeft w:val="0"/>
      <w:marRight w:val="0"/>
      <w:marTop w:val="0"/>
      <w:marBottom w:val="0"/>
      <w:divBdr>
        <w:top w:val="none" w:sz="0" w:space="0" w:color="auto"/>
        <w:left w:val="none" w:sz="0" w:space="0" w:color="auto"/>
        <w:bottom w:val="none" w:sz="0" w:space="0" w:color="auto"/>
        <w:right w:val="none" w:sz="0" w:space="0" w:color="auto"/>
      </w:divBdr>
    </w:div>
    <w:div w:id="238100834">
      <w:bodyDiv w:val="1"/>
      <w:marLeft w:val="0"/>
      <w:marRight w:val="0"/>
      <w:marTop w:val="0"/>
      <w:marBottom w:val="0"/>
      <w:divBdr>
        <w:top w:val="none" w:sz="0" w:space="0" w:color="auto"/>
        <w:left w:val="none" w:sz="0" w:space="0" w:color="auto"/>
        <w:bottom w:val="none" w:sz="0" w:space="0" w:color="auto"/>
        <w:right w:val="none" w:sz="0" w:space="0" w:color="auto"/>
      </w:divBdr>
    </w:div>
    <w:div w:id="240405742">
      <w:bodyDiv w:val="1"/>
      <w:marLeft w:val="0"/>
      <w:marRight w:val="0"/>
      <w:marTop w:val="0"/>
      <w:marBottom w:val="0"/>
      <w:divBdr>
        <w:top w:val="none" w:sz="0" w:space="0" w:color="auto"/>
        <w:left w:val="none" w:sz="0" w:space="0" w:color="auto"/>
        <w:bottom w:val="none" w:sz="0" w:space="0" w:color="auto"/>
        <w:right w:val="none" w:sz="0" w:space="0" w:color="auto"/>
      </w:divBdr>
    </w:div>
    <w:div w:id="244992654">
      <w:bodyDiv w:val="1"/>
      <w:marLeft w:val="0"/>
      <w:marRight w:val="0"/>
      <w:marTop w:val="0"/>
      <w:marBottom w:val="0"/>
      <w:divBdr>
        <w:top w:val="none" w:sz="0" w:space="0" w:color="auto"/>
        <w:left w:val="none" w:sz="0" w:space="0" w:color="auto"/>
        <w:bottom w:val="none" w:sz="0" w:space="0" w:color="auto"/>
        <w:right w:val="none" w:sz="0" w:space="0" w:color="auto"/>
      </w:divBdr>
    </w:div>
    <w:div w:id="250360827">
      <w:bodyDiv w:val="1"/>
      <w:marLeft w:val="0"/>
      <w:marRight w:val="0"/>
      <w:marTop w:val="0"/>
      <w:marBottom w:val="0"/>
      <w:divBdr>
        <w:top w:val="none" w:sz="0" w:space="0" w:color="auto"/>
        <w:left w:val="none" w:sz="0" w:space="0" w:color="auto"/>
        <w:bottom w:val="none" w:sz="0" w:space="0" w:color="auto"/>
        <w:right w:val="none" w:sz="0" w:space="0" w:color="auto"/>
      </w:divBdr>
    </w:div>
    <w:div w:id="254166764">
      <w:bodyDiv w:val="1"/>
      <w:marLeft w:val="0"/>
      <w:marRight w:val="0"/>
      <w:marTop w:val="0"/>
      <w:marBottom w:val="0"/>
      <w:divBdr>
        <w:top w:val="none" w:sz="0" w:space="0" w:color="auto"/>
        <w:left w:val="none" w:sz="0" w:space="0" w:color="auto"/>
        <w:bottom w:val="none" w:sz="0" w:space="0" w:color="auto"/>
        <w:right w:val="none" w:sz="0" w:space="0" w:color="auto"/>
      </w:divBdr>
    </w:div>
    <w:div w:id="255136309">
      <w:bodyDiv w:val="1"/>
      <w:marLeft w:val="0"/>
      <w:marRight w:val="0"/>
      <w:marTop w:val="0"/>
      <w:marBottom w:val="0"/>
      <w:divBdr>
        <w:top w:val="none" w:sz="0" w:space="0" w:color="auto"/>
        <w:left w:val="none" w:sz="0" w:space="0" w:color="auto"/>
        <w:bottom w:val="none" w:sz="0" w:space="0" w:color="auto"/>
        <w:right w:val="none" w:sz="0" w:space="0" w:color="auto"/>
      </w:divBdr>
    </w:div>
    <w:div w:id="257255479">
      <w:bodyDiv w:val="1"/>
      <w:marLeft w:val="0"/>
      <w:marRight w:val="0"/>
      <w:marTop w:val="0"/>
      <w:marBottom w:val="0"/>
      <w:divBdr>
        <w:top w:val="none" w:sz="0" w:space="0" w:color="auto"/>
        <w:left w:val="none" w:sz="0" w:space="0" w:color="auto"/>
        <w:bottom w:val="none" w:sz="0" w:space="0" w:color="auto"/>
        <w:right w:val="none" w:sz="0" w:space="0" w:color="auto"/>
      </w:divBdr>
    </w:div>
    <w:div w:id="257367840">
      <w:bodyDiv w:val="1"/>
      <w:marLeft w:val="0"/>
      <w:marRight w:val="0"/>
      <w:marTop w:val="0"/>
      <w:marBottom w:val="0"/>
      <w:divBdr>
        <w:top w:val="none" w:sz="0" w:space="0" w:color="auto"/>
        <w:left w:val="none" w:sz="0" w:space="0" w:color="auto"/>
        <w:bottom w:val="none" w:sz="0" w:space="0" w:color="auto"/>
        <w:right w:val="none" w:sz="0" w:space="0" w:color="auto"/>
      </w:divBdr>
    </w:div>
    <w:div w:id="264775220">
      <w:bodyDiv w:val="1"/>
      <w:marLeft w:val="0"/>
      <w:marRight w:val="0"/>
      <w:marTop w:val="0"/>
      <w:marBottom w:val="0"/>
      <w:divBdr>
        <w:top w:val="none" w:sz="0" w:space="0" w:color="auto"/>
        <w:left w:val="none" w:sz="0" w:space="0" w:color="auto"/>
        <w:bottom w:val="none" w:sz="0" w:space="0" w:color="auto"/>
        <w:right w:val="none" w:sz="0" w:space="0" w:color="auto"/>
      </w:divBdr>
    </w:div>
    <w:div w:id="265698283">
      <w:bodyDiv w:val="1"/>
      <w:marLeft w:val="0"/>
      <w:marRight w:val="0"/>
      <w:marTop w:val="0"/>
      <w:marBottom w:val="0"/>
      <w:divBdr>
        <w:top w:val="none" w:sz="0" w:space="0" w:color="auto"/>
        <w:left w:val="none" w:sz="0" w:space="0" w:color="auto"/>
        <w:bottom w:val="none" w:sz="0" w:space="0" w:color="auto"/>
        <w:right w:val="none" w:sz="0" w:space="0" w:color="auto"/>
      </w:divBdr>
    </w:div>
    <w:div w:id="265891624">
      <w:bodyDiv w:val="1"/>
      <w:marLeft w:val="0"/>
      <w:marRight w:val="0"/>
      <w:marTop w:val="0"/>
      <w:marBottom w:val="0"/>
      <w:divBdr>
        <w:top w:val="none" w:sz="0" w:space="0" w:color="auto"/>
        <w:left w:val="none" w:sz="0" w:space="0" w:color="auto"/>
        <w:bottom w:val="none" w:sz="0" w:space="0" w:color="auto"/>
        <w:right w:val="none" w:sz="0" w:space="0" w:color="auto"/>
      </w:divBdr>
    </w:div>
    <w:div w:id="266275915">
      <w:bodyDiv w:val="1"/>
      <w:marLeft w:val="0"/>
      <w:marRight w:val="0"/>
      <w:marTop w:val="0"/>
      <w:marBottom w:val="0"/>
      <w:divBdr>
        <w:top w:val="none" w:sz="0" w:space="0" w:color="auto"/>
        <w:left w:val="none" w:sz="0" w:space="0" w:color="auto"/>
        <w:bottom w:val="none" w:sz="0" w:space="0" w:color="auto"/>
        <w:right w:val="none" w:sz="0" w:space="0" w:color="auto"/>
      </w:divBdr>
    </w:div>
    <w:div w:id="268120168">
      <w:bodyDiv w:val="1"/>
      <w:marLeft w:val="0"/>
      <w:marRight w:val="0"/>
      <w:marTop w:val="0"/>
      <w:marBottom w:val="0"/>
      <w:divBdr>
        <w:top w:val="none" w:sz="0" w:space="0" w:color="auto"/>
        <w:left w:val="none" w:sz="0" w:space="0" w:color="auto"/>
        <w:bottom w:val="none" w:sz="0" w:space="0" w:color="auto"/>
        <w:right w:val="none" w:sz="0" w:space="0" w:color="auto"/>
      </w:divBdr>
    </w:div>
    <w:div w:id="269237628">
      <w:bodyDiv w:val="1"/>
      <w:marLeft w:val="0"/>
      <w:marRight w:val="0"/>
      <w:marTop w:val="0"/>
      <w:marBottom w:val="0"/>
      <w:divBdr>
        <w:top w:val="none" w:sz="0" w:space="0" w:color="auto"/>
        <w:left w:val="none" w:sz="0" w:space="0" w:color="auto"/>
        <w:bottom w:val="none" w:sz="0" w:space="0" w:color="auto"/>
        <w:right w:val="none" w:sz="0" w:space="0" w:color="auto"/>
      </w:divBdr>
    </w:div>
    <w:div w:id="269704623">
      <w:bodyDiv w:val="1"/>
      <w:marLeft w:val="0"/>
      <w:marRight w:val="0"/>
      <w:marTop w:val="0"/>
      <w:marBottom w:val="0"/>
      <w:divBdr>
        <w:top w:val="none" w:sz="0" w:space="0" w:color="auto"/>
        <w:left w:val="none" w:sz="0" w:space="0" w:color="auto"/>
        <w:bottom w:val="none" w:sz="0" w:space="0" w:color="auto"/>
        <w:right w:val="none" w:sz="0" w:space="0" w:color="auto"/>
      </w:divBdr>
    </w:div>
    <w:div w:id="271665968">
      <w:bodyDiv w:val="1"/>
      <w:marLeft w:val="0"/>
      <w:marRight w:val="0"/>
      <w:marTop w:val="0"/>
      <w:marBottom w:val="0"/>
      <w:divBdr>
        <w:top w:val="none" w:sz="0" w:space="0" w:color="auto"/>
        <w:left w:val="none" w:sz="0" w:space="0" w:color="auto"/>
        <w:bottom w:val="none" w:sz="0" w:space="0" w:color="auto"/>
        <w:right w:val="none" w:sz="0" w:space="0" w:color="auto"/>
      </w:divBdr>
    </w:div>
    <w:div w:id="275871044">
      <w:bodyDiv w:val="1"/>
      <w:marLeft w:val="0"/>
      <w:marRight w:val="0"/>
      <w:marTop w:val="0"/>
      <w:marBottom w:val="0"/>
      <w:divBdr>
        <w:top w:val="none" w:sz="0" w:space="0" w:color="auto"/>
        <w:left w:val="none" w:sz="0" w:space="0" w:color="auto"/>
        <w:bottom w:val="none" w:sz="0" w:space="0" w:color="auto"/>
        <w:right w:val="none" w:sz="0" w:space="0" w:color="auto"/>
      </w:divBdr>
    </w:div>
    <w:div w:id="277873961">
      <w:bodyDiv w:val="1"/>
      <w:marLeft w:val="0"/>
      <w:marRight w:val="0"/>
      <w:marTop w:val="0"/>
      <w:marBottom w:val="0"/>
      <w:divBdr>
        <w:top w:val="none" w:sz="0" w:space="0" w:color="auto"/>
        <w:left w:val="none" w:sz="0" w:space="0" w:color="auto"/>
        <w:bottom w:val="none" w:sz="0" w:space="0" w:color="auto"/>
        <w:right w:val="none" w:sz="0" w:space="0" w:color="auto"/>
      </w:divBdr>
    </w:div>
    <w:div w:id="279382108">
      <w:bodyDiv w:val="1"/>
      <w:marLeft w:val="0"/>
      <w:marRight w:val="0"/>
      <w:marTop w:val="0"/>
      <w:marBottom w:val="0"/>
      <w:divBdr>
        <w:top w:val="none" w:sz="0" w:space="0" w:color="auto"/>
        <w:left w:val="none" w:sz="0" w:space="0" w:color="auto"/>
        <w:bottom w:val="none" w:sz="0" w:space="0" w:color="auto"/>
        <w:right w:val="none" w:sz="0" w:space="0" w:color="auto"/>
      </w:divBdr>
    </w:div>
    <w:div w:id="281231229">
      <w:bodyDiv w:val="1"/>
      <w:marLeft w:val="0"/>
      <w:marRight w:val="0"/>
      <w:marTop w:val="0"/>
      <w:marBottom w:val="0"/>
      <w:divBdr>
        <w:top w:val="none" w:sz="0" w:space="0" w:color="auto"/>
        <w:left w:val="none" w:sz="0" w:space="0" w:color="auto"/>
        <w:bottom w:val="none" w:sz="0" w:space="0" w:color="auto"/>
        <w:right w:val="none" w:sz="0" w:space="0" w:color="auto"/>
      </w:divBdr>
    </w:div>
    <w:div w:id="282461525">
      <w:bodyDiv w:val="1"/>
      <w:marLeft w:val="0"/>
      <w:marRight w:val="0"/>
      <w:marTop w:val="0"/>
      <w:marBottom w:val="0"/>
      <w:divBdr>
        <w:top w:val="none" w:sz="0" w:space="0" w:color="auto"/>
        <w:left w:val="none" w:sz="0" w:space="0" w:color="auto"/>
        <w:bottom w:val="none" w:sz="0" w:space="0" w:color="auto"/>
        <w:right w:val="none" w:sz="0" w:space="0" w:color="auto"/>
      </w:divBdr>
    </w:div>
    <w:div w:id="286283586">
      <w:bodyDiv w:val="1"/>
      <w:marLeft w:val="0"/>
      <w:marRight w:val="0"/>
      <w:marTop w:val="0"/>
      <w:marBottom w:val="0"/>
      <w:divBdr>
        <w:top w:val="none" w:sz="0" w:space="0" w:color="auto"/>
        <w:left w:val="none" w:sz="0" w:space="0" w:color="auto"/>
        <w:bottom w:val="none" w:sz="0" w:space="0" w:color="auto"/>
        <w:right w:val="none" w:sz="0" w:space="0" w:color="auto"/>
      </w:divBdr>
    </w:div>
    <w:div w:id="290210615">
      <w:bodyDiv w:val="1"/>
      <w:marLeft w:val="0"/>
      <w:marRight w:val="0"/>
      <w:marTop w:val="0"/>
      <w:marBottom w:val="0"/>
      <w:divBdr>
        <w:top w:val="none" w:sz="0" w:space="0" w:color="auto"/>
        <w:left w:val="none" w:sz="0" w:space="0" w:color="auto"/>
        <w:bottom w:val="none" w:sz="0" w:space="0" w:color="auto"/>
        <w:right w:val="none" w:sz="0" w:space="0" w:color="auto"/>
      </w:divBdr>
    </w:div>
    <w:div w:id="292291746">
      <w:bodyDiv w:val="1"/>
      <w:marLeft w:val="0"/>
      <w:marRight w:val="0"/>
      <w:marTop w:val="0"/>
      <w:marBottom w:val="0"/>
      <w:divBdr>
        <w:top w:val="none" w:sz="0" w:space="0" w:color="auto"/>
        <w:left w:val="none" w:sz="0" w:space="0" w:color="auto"/>
        <w:bottom w:val="none" w:sz="0" w:space="0" w:color="auto"/>
        <w:right w:val="none" w:sz="0" w:space="0" w:color="auto"/>
      </w:divBdr>
    </w:div>
    <w:div w:id="294679003">
      <w:bodyDiv w:val="1"/>
      <w:marLeft w:val="0"/>
      <w:marRight w:val="0"/>
      <w:marTop w:val="0"/>
      <w:marBottom w:val="0"/>
      <w:divBdr>
        <w:top w:val="none" w:sz="0" w:space="0" w:color="auto"/>
        <w:left w:val="none" w:sz="0" w:space="0" w:color="auto"/>
        <w:bottom w:val="none" w:sz="0" w:space="0" w:color="auto"/>
        <w:right w:val="none" w:sz="0" w:space="0" w:color="auto"/>
      </w:divBdr>
    </w:div>
    <w:div w:id="294798490">
      <w:bodyDiv w:val="1"/>
      <w:marLeft w:val="0"/>
      <w:marRight w:val="0"/>
      <w:marTop w:val="0"/>
      <w:marBottom w:val="0"/>
      <w:divBdr>
        <w:top w:val="none" w:sz="0" w:space="0" w:color="auto"/>
        <w:left w:val="none" w:sz="0" w:space="0" w:color="auto"/>
        <w:bottom w:val="none" w:sz="0" w:space="0" w:color="auto"/>
        <w:right w:val="none" w:sz="0" w:space="0" w:color="auto"/>
      </w:divBdr>
    </w:div>
    <w:div w:id="294873478">
      <w:bodyDiv w:val="1"/>
      <w:marLeft w:val="0"/>
      <w:marRight w:val="0"/>
      <w:marTop w:val="0"/>
      <w:marBottom w:val="0"/>
      <w:divBdr>
        <w:top w:val="none" w:sz="0" w:space="0" w:color="auto"/>
        <w:left w:val="none" w:sz="0" w:space="0" w:color="auto"/>
        <w:bottom w:val="none" w:sz="0" w:space="0" w:color="auto"/>
        <w:right w:val="none" w:sz="0" w:space="0" w:color="auto"/>
      </w:divBdr>
    </w:div>
    <w:div w:id="295764640">
      <w:bodyDiv w:val="1"/>
      <w:marLeft w:val="0"/>
      <w:marRight w:val="0"/>
      <w:marTop w:val="0"/>
      <w:marBottom w:val="0"/>
      <w:divBdr>
        <w:top w:val="none" w:sz="0" w:space="0" w:color="auto"/>
        <w:left w:val="none" w:sz="0" w:space="0" w:color="auto"/>
        <w:bottom w:val="none" w:sz="0" w:space="0" w:color="auto"/>
        <w:right w:val="none" w:sz="0" w:space="0" w:color="auto"/>
      </w:divBdr>
    </w:div>
    <w:div w:id="296448443">
      <w:bodyDiv w:val="1"/>
      <w:marLeft w:val="0"/>
      <w:marRight w:val="0"/>
      <w:marTop w:val="0"/>
      <w:marBottom w:val="0"/>
      <w:divBdr>
        <w:top w:val="none" w:sz="0" w:space="0" w:color="auto"/>
        <w:left w:val="none" w:sz="0" w:space="0" w:color="auto"/>
        <w:bottom w:val="none" w:sz="0" w:space="0" w:color="auto"/>
        <w:right w:val="none" w:sz="0" w:space="0" w:color="auto"/>
      </w:divBdr>
    </w:div>
    <w:div w:id="297611388">
      <w:bodyDiv w:val="1"/>
      <w:marLeft w:val="0"/>
      <w:marRight w:val="0"/>
      <w:marTop w:val="0"/>
      <w:marBottom w:val="0"/>
      <w:divBdr>
        <w:top w:val="none" w:sz="0" w:space="0" w:color="auto"/>
        <w:left w:val="none" w:sz="0" w:space="0" w:color="auto"/>
        <w:bottom w:val="none" w:sz="0" w:space="0" w:color="auto"/>
        <w:right w:val="none" w:sz="0" w:space="0" w:color="auto"/>
      </w:divBdr>
    </w:div>
    <w:div w:id="303390776">
      <w:bodyDiv w:val="1"/>
      <w:marLeft w:val="0"/>
      <w:marRight w:val="0"/>
      <w:marTop w:val="0"/>
      <w:marBottom w:val="0"/>
      <w:divBdr>
        <w:top w:val="none" w:sz="0" w:space="0" w:color="auto"/>
        <w:left w:val="none" w:sz="0" w:space="0" w:color="auto"/>
        <w:bottom w:val="none" w:sz="0" w:space="0" w:color="auto"/>
        <w:right w:val="none" w:sz="0" w:space="0" w:color="auto"/>
      </w:divBdr>
    </w:div>
    <w:div w:id="304434243">
      <w:bodyDiv w:val="1"/>
      <w:marLeft w:val="0"/>
      <w:marRight w:val="0"/>
      <w:marTop w:val="0"/>
      <w:marBottom w:val="0"/>
      <w:divBdr>
        <w:top w:val="none" w:sz="0" w:space="0" w:color="auto"/>
        <w:left w:val="none" w:sz="0" w:space="0" w:color="auto"/>
        <w:bottom w:val="none" w:sz="0" w:space="0" w:color="auto"/>
        <w:right w:val="none" w:sz="0" w:space="0" w:color="auto"/>
      </w:divBdr>
    </w:div>
    <w:div w:id="306517186">
      <w:bodyDiv w:val="1"/>
      <w:marLeft w:val="0"/>
      <w:marRight w:val="0"/>
      <w:marTop w:val="0"/>
      <w:marBottom w:val="0"/>
      <w:divBdr>
        <w:top w:val="none" w:sz="0" w:space="0" w:color="auto"/>
        <w:left w:val="none" w:sz="0" w:space="0" w:color="auto"/>
        <w:bottom w:val="none" w:sz="0" w:space="0" w:color="auto"/>
        <w:right w:val="none" w:sz="0" w:space="0" w:color="auto"/>
      </w:divBdr>
    </w:div>
    <w:div w:id="310797095">
      <w:bodyDiv w:val="1"/>
      <w:marLeft w:val="0"/>
      <w:marRight w:val="0"/>
      <w:marTop w:val="0"/>
      <w:marBottom w:val="0"/>
      <w:divBdr>
        <w:top w:val="none" w:sz="0" w:space="0" w:color="auto"/>
        <w:left w:val="none" w:sz="0" w:space="0" w:color="auto"/>
        <w:bottom w:val="none" w:sz="0" w:space="0" w:color="auto"/>
        <w:right w:val="none" w:sz="0" w:space="0" w:color="auto"/>
      </w:divBdr>
    </w:div>
    <w:div w:id="311058213">
      <w:bodyDiv w:val="1"/>
      <w:marLeft w:val="0"/>
      <w:marRight w:val="0"/>
      <w:marTop w:val="0"/>
      <w:marBottom w:val="0"/>
      <w:divBdr>
        <w:top w:val="none" w:sz="0" w:space="0" w:color="auto"/>
        <w:left w:val="none" w:sz="0" w:space="0" w:color="auto"/>
        <w:bottom w:val="none" w:sz="0" w:space="0" w:color="auto"/>
        <w:right w:val="none" w:sz="0" w:space="0" w:color="auto"/>
      </w:divBdr>
    </w:div>
    <w:div w:id="313993981">
      <w:bodyDiv w:val="1"/>
      <w:marLeft w:val="0"/>
      <w:marRight w:val="0"/>
      <w:marTop w:val="0"/>
      <w:marBottom w:val="0"/>
      <w:divBdr>
        <w:top w:val="none" w:sz="0" w:space="0" w:color="auto"/>
        <w:left w:val="none" w:sz="0" w:space="0" w:color="auto"/>
        <w:bottom w:val="none" w:sz="0" w:space="0" w:color="auto"/>
        <w:right w:val="none" w:sz="0" w:space="0" w:color="auto"/>
      </w:divBdr>
    </w:div>
    <w:div w:id="316154590">
      <w:bodyDiv w:val="1"/>
      <w:marLeft w:val="0"/>
      <w:marRight w:val="0"/>
      <w:marTop w:val="0"/>
      <w:marBottom w:val="0"/>
      <w:divBdr>
        <w:top w:val="none" w:sz="0" w:space="0" w:color="auto"/>
        <w:left w:val="none" w:sz="0" w:space="0" w:color="auto"/>
        <w:bottom w:val="none" w:sz="0" w:space="0" w:color="auto"/>
        <w:right w:val="none" w:sz="0" w:space="0" w:color="auto"/>
      </w:divBdr>
    </w:div>
    <w:div w:id="317343721">
      <w:bodyDiv w:val="1"/>
      <w:marLeft w:val="0"/>
      <w:marRight w:val="0"/>
      <w:marTop w:val="0"/>
      <w:marBottom w:val="0"/>
      <w:divBdr>
        <w:top w:val="none" w:sz="0" w:space="0" w:color="auto"/>
        <w:left w:val="none" w:sz="0" w:space="0" w:color="auto"/>
        <w:bottom w:val="none" w:sz="0" w:space="0" w:color="auto"/>
        <w:right w:val="none" w:sz="0" w:space="0" w:color="auto"/>
      </w:divBdr>
    </w:div>
    <w:div w:id="319039727">
      <w:bodyDiv w:val="1"/>
      <w:marLeft w:val="0"/>
      <w:marRight w:val="0"/>
      <w:marTop w:val="0"/>
      <w:marBottom w:val="0"/>
      <w:divBdr>
        <w:top w:val="none" w:sz="0" w:space="0" w:color="auto"/>
        <w:left w:val="none" w:sz="0" w:space="0" w:color="auto"/>
        <w:bottom w:val="none" w:sz="0" w:space="0" w:color="auto"/>
        <w:right w:val="none" w:sz="0" w:space="0" w:color="auto"/>
      </w:divBdr>
    </w:div>
    <w:div w:id="319307236">
      <w:bodyDiv w:val="1"/>
      <w:marLeft w:val="0"/>
      <w:marRight w:val="0"/>
      <w:marTop w:val="0"/>
      <w:marBottom w:val="0"/>
      <w:divBdr>
        <w:top w:val="none" w:sz="0" w:space="0" w:color="auto"/>
        <w:left w:val="none" w:sz="0" w:space="0" w:color="auto"/>
        <w:bottom w:val="none" w:sz="0" w:space="0" w:color="auto"/>
        <w:right w:val="none" w:sz="0" w:space="0" w:color="auto"/>
      </w:divBdr>
    </w:div>
    <w:div w:id="319433217">
      <w:bodyDiv w:val="1"/>
      <w:marLeft w:val="0"/>
      <w:marRight w:val="0"/>
      <w:marTop w:val="0"/>
      <w:marBottom w:val="0"/>
      <w:divBdr>
        <w:top w:val="none" w:sz="0" w:space="0" w:color="auto"/>
        <w:left w:val="none" w:sz="0" w:space="0" w:color="auto"/>
        <w:bottom w:val="none" w:sz="0" w:space="0" w:color="auto"/>
        <w:right w:val="none" w:sz="0" w:space="0" w:color="auto"/>
      </w:divBdr>
    </w:div>
    <w:div w:id="320355743">
      <w:bodyDiv w:val="1"/>
      <w:marLeft w:val="0"/>
      <w:marRight w:val="0"/>
      <w:marTop w:val="0"/>
      <w:marBottom w:val="0"/>
      <w:divBdr>
        <w:top w:val="none" w:sz="0" w:space="0" w:color="auto"/>
        <w:left w:val="none" w:sz="0" w:space="0" w:color="auto"/>
        <w:bottom w:val="none" w:sz="0" w:space="0" w:color="auto"/>
        <w:right w:val="none" w:sz="0" w:space="0" w:color="auto"/>
      </w:divBdr>
    </w:div>
    <w:div w:id="324356226">
      <w:bodyDiv w:val="1"/>
      <w:marLeft w:val="0"/>
      <w:marRight w:val="0"/>
      <w:marTop w:val="0"/>
      <w:marBottom w:val="0"/>
      <w:divBdr>
        <w:top w:val="none" w:sz="0" w:space="0" w:color="auto"/>
        <w:left w:val="none" w:sz="0" w:space="0" w:color="auto"/>
        <w:bottom w:val="none" w:sz="0" w:space="0" w:color="auto"/>
        <w:right w:val="none" w:sz="0" w:space="0" w:color="auto"/>
      </w:divBdr>
    </w:div>
    <w:div w:id="325397184">
      <w:bodyDiv w:val="1"/>
      <w:marLeft w:val="0"/>
      <w:marRight w:val="0"/>
      <w:marTop w:val="0"/>
      <w:marBottom w:val="0"/>
      <w:divBdr>
        <w:top w:val="none" w:sz="0" w:space="0" w:color="auto"/>
        <w:left w:val="none" w:sz="0" w:space="0" w:color="auto"/>
        <w:bottom w:val="none" w:sz="0" w:space="0" w:color="auto"/>
        <w:right w:val="none" w:sz="0" w:space="0" w:color="auto"/>
      </w:divBdr>
    </w:div>
    <w:div w:id="327366678">
      <w:bodyDiv w:val="1"/>
      <w:marLeft w:val="0"/>
      <w:marRight w:val="0"/>
      <w:marTop w:val="0"/>
      <w:marBottom w:val="0"/>
      <w:divBdr>
        <w:top w:val="none" w:sz="0" w:space="0" w:color="auto"/>
        <w:left w:val="none" w:sz="0" w:space="0" w:color="auto"/>
        <w:bottom w:val="none" w:sz="0" w:space="0" w:color="auto"/>
        <w:right w:val="none" w:sz="0" w:space="0" w:color="auto"/>
      </w:divBdr>
    </w:div>
    <w:div w:id="327755465">
      <w:bodyDiv w:val="1"/>
      <w:marLeft w:val="0"/>
      <w:marRight w:val="0"/>
      <w:marTop w:val="0"/>
      <w:marBottom w:val="0"/>
      <w:divBdr>
        <w:top w:val="none" w:sz="0" w:space="0" w:color="auto"/>
        <w:left w:val="none" w:sz="0" w:space="0" w:color="auto"/>
        <w:bottom w:val="none" w:sz="0" w:space="0" w:color="auto"/>
        <w:right w:val="none" w:sz="0" w:space="0" w:color="auto"/>
      </w:divBdr>
    </w:div>
    <w:div w:id="328290887">
      <w:bodyDiv w:val="1"/>
      <w:marLeft w:val="0"/>
      <w:marRight w:val="0"/>
      <w:marTop w:val="0"/>
      <w:marBottom w:val="0"/>
      <w:divBdr>
        <w:top w:val="none" w:sz="0" w:space="0" w:color="auto"/>
        <w:left w:val="none" w:sz="0" w:space="0" w:color="auto"/>
        <w:bottom w:val="none" w:sz="0" w:space="0" w:color="auto"/>
        <w:right w:val="none" w:sz="0" w:space="0" w:color="auto"/>
      </w:divBdr>
      <w:divsChild>
        <w:div w:id="150490918">
          <w:marLeft w:val="0"/>
          <w:marRight w:val="0"/>
          <w:marTop w:val="0"/>
          <w:marBottom w:val="0"/>
          <w:divBdr>
            <w:top w:val="none" w:sz="0" w:space="0" w:color="auto"/>
            <w:left w:val="none" w:sz="0" w:space="0" w:color="auto"/>
            <w:bottom w:val="none" w:sz="0" w:space="0" w:color="auto"/>
            <w:right w:val="none" w:sz="0" w:space="0" w:color="auto"/>
          </w:divBdr>
        </w:div>
      </w:divsChild>
    </w:div>
    <w:div w:id="328292402">
      <w:bodyDiv w:val="1"/>
      <w:marLeft w:val="0"/>
      <w:marRight w:val="0"/>
      <w:marTop w:val="0"/>
      <w:marBottom w:val="0"/>
      <w:divBdr>
        <w:top w:val="none" w:sz="0" w:space="0" w:color="auto"/>
        <w:left w:val="none" w:sz="0" w:space="0" w:color="auto"/>
        <w:bottom w:val="none" w:sz="0" w:space="0" w:color="auto"/>
        <w:right w:val="none" w:sz="0" w:space="0" w:color="auto"/>
      </w:divBdr>
    </w:div>
    <w:div w:id="331183219">
      <w:bodyDiv w:val="1"/>
      <w:marLeft w:val="0"/>
      <w:marRight w:val="0"/>
      <w:marTop w:val="0"/>
      <w:marBottom w:val="0"/>
      <w:divBdr>
        <w:top w:val="none" w:sz="0" w:space="0" w:color="auto"/>
        <w:left w:val="none" w:sz="0" w:space="0" w:color="auto"/>
        <w:bottom w:val="none" w:sz="0" w:space="0" w:color="auto"/>
        <w:right w:val="none" w:sz="0" w:space="0" w:color="auto"/>
      </w:divBdr>
    </w:div>
    <w:div w:id="334264126">
      <w:bodyDiv w:val="1"/>
      <w:marLeft w:val="0"/>
      <w:marRight w:val="0"/>
      <w:marTop w:val="0"/>
      <w:marBottom w:val="0"/>
      <w:divBdr>
        <w:top w:val="none" w:sz="0" w:space="0" w:color="auto"/>
        <w:left w:val="none" w:sz="0" w:space="0" w:color="auto"/>
        <w:bottom w:val="none" w:sz="0" w:space="0" w:color="auto"/>
        <w:right w:val="none" w:sz="0" w:space="0" w:color="auto"/>
      </w:divBdr>
    </w:div>
    <w:div w:id="334769678">
      <w:bodyDiv w:val="1"/>
      <w:marLeft w:val="0"/>
      <w:marRight w:val="0"/>
      <w:marTop w:val="0"/>
      <w:marBottom w:val="0"/>
      <w:divBdr>
        <w:top w:val="none" w:sz="0" w:space="0" w:color="auto"/>
        <w:left w:val="none" w:sz="0" w:space="0" w:color="auto"/>
        <w:bottom w:val="none" w:sz="0" w:space="0" w:color="auto"/>
        <w:right w:val="none" w:sz="0" w:space="0" w:color="auto"/>
      </w:divBdr>
    </w:div>
    <w:div w:id="334959698">
      <w:bodyDiv w:val="1"/>
      <w:marLeft w:val="0"/>
      <w:marRight w:val="0"/>
      <w:marTop w:val="0"/>
      <w:marBottom w:val="0"/>
      <w:divBdr>
        <w:top w:val="none" w:sz="0" w:space="0" w:color="auto"/>
        <w:left w:val="none" w:sz="0" w:space="0" w:color="auto"/>
        <w:bottom w:val="none" w:sz="0" w:space="0" w:color="auto"/>
        <w:right w:val="none" w:sz="0" w:space="0" w:color="auto"/>
      </w:divBdr>
    </w:div>
    <w:div w:id="335110076">
      <w:bodyDiv w:val="1"/>
      <w:marLeft w:val="0"/>
      <w:marRight w:val="0"/>
      <w:marTop w:val="0"/>
      <w:marBottom w:val="0"/>
      <w:divBdr>
        <w:top w:val="none" w:sz="0" w:space="0" w:color="auto"/>
        <w:left w:val="none" w:sz="0" w:space="0" w:color="auto"/>
        <w:bottom w:val="none" w:sz="0" w:space="0" w:color="auto"/>
        <w:right w:val="none" w:sz="0" w:space="0" w:color="auto"/>
      </w:divBdr>
    </w:div>
    <w:div w:id="337149926">
      <w:bodyDiv w:val="1"/>
      <w:marLeft w:val="0"/>
      <w:marRight w:val="0"/>
      <w:marTop w:val="0"/>
      <w:marBottom w:val="0"/>
      <w:divBdr>
        <w:top w:val="none" w:sz="0" w:space="0" w:color="auto"/>
        <w:left w:val="none" w:sz="0" w:space="0" w:color="auto"/>
        <w:bottom w:val="none" w:sz="0" w:space="0" w:color="auto"/>
        <w:right w:val="none" w:sz="0" w:space="0" w:color="auto"/>
      </w:divBdr>
    </w:div>
    <w:div w:id="338506186">
      <w:bodyDiv w:val="1"/>
      <w:marLeft w:val="0"/>
      <w:marRight w:val="0"/>
      <w:marTop w:val="0"/>
      <w:marBottom w:val="0"/>
      <w:divBdr>
        <w:top w:val="none" w:sz="0" w:space="0" w:color="auto"/>
        <w:left w:val="none" w:sz="0" w:space="0" w:color="auto"/>
        <w:bottom w:val="none" w:sz="0" w:space="0" w:color="auto"/>
        <w:right w:val="none" w:sz="0" w:space="0" w:color="auto"/>
      </w:divBdr>
    </w:div>
    <w:div w:id="339936083">
      <w:bodyDiv w:val="1"/>
      <w:marLeft w:val="0"/>
      <w:marRight w:val="0"/>
      <w:marTop w:val="0"/>
      <w:marBottom w:val="0"/>
      <w:divBdr>
        <w:top w:val="none" w:sz="0" w:space="0" w:color="auto"/>
        <w:left w:val="none" w:sz="0" w:space="0" w:color="auto"/>
        <w:bottom w:val="none" w:sz="0" w:space="0" w:color="auto"/>
        <w:right w:val="none" w:sz="0" w:space="0" w:color="auto"/>
      </w:divBdr>
    </w:div>
    <w:div w:id="342318672">
      <w:bodyDiv w:val="1"/>
      <w:marLeft w:val="0"/>
      <w:marRight w:val="0"/>
      <w:marTop w:val="0"/>
      <w:marBottom w:val="0"/>
      <w:divBdr>
        <w:top w:val="none" w:sz="0" w:space="0" w:color="auto"/>
        <w:left w:val="none" w:sz="0" w:space="0" w:color="auto"/>
        <w:bottom w:val="none" w:sz="0" w:space="0" w:color="auto"/>
        <w:right w:val="none" w:sz="0" w:space="0" w:color="auto"/>
      </w:divBdr>
      <w:divsChild>
        <w:div w:id="1368532455">
          <w:marLeft w:val="0"/>
          <w:marRight w:val="95"/>
          <w:marTop w:val="0"/>
          <w:marBottom w:val="0"/>
          <w:divBdr>
            <w:top w:val="none" w:sz="0" w:space="0" w:color="auto"/>
            <w:left w:val="none" w:sz="0" w:space="0" w:color="auto"/>
            <w:bottom w:val="none" w:sz="0" w:space="0" w:color="auto"/>
            <w:right w:val="none" w:sz="0" w:space="0" w:color="auto"/>
          </w:divBdr>
        </w:div>
      </w:divsChild>
    </w:div>
    <w:div w:id="347633758">
      <w:bodyDiv w:val="1"/>
      <w:marLeft w:val="0"/>
      <w:marRight w:val="0"/>
      <w:marTop w:val="0"/>
      <w:marBottom w:val="0"/>
      <w:divBdr>
        <w:top w:val="none" w:sz="0" w:space="0" w:color="auto"/>
        <w:left w:val="none" w:sz="0" w:space="0" w:color="auto"/>
        <w:bottom w:val="none" w:sz="0" w:space="0" w:color="auto"/>
        <w:right w:val="none" w:sz="0" w:space="0" w:color="auto"/>
      </w:divBdr>
    </w:div>
    <w:div w:id="350113141">
      <w:bodyDiv w:val="1"/>
      <w:marLeft w:val="0"/>
      <w:marRight w:val="0"/>
      <w:marTop w:val="0"/>
      <w:marBottom w:val="0"/>
      <w:divBdr>
        <w:top w:val="none" w:sz="0" w:space="0" w:color="auto"/>
        <w:left w:val="none" w:sz="0" w:space="0" w:color="auto"/>
        <w:bottom w:val="none" w:sz="0" w:space="0" w:color="auto"/>
        <w:right w:val="none" w:sz="0" w:space="0" w:color="auto"/>
      </w:divBdr>
    </w:div>
    <w:div w:id="352848176">
      <w:bodyDiv w:val="1"/>
      <w:marLeft w:val="0"/>
      <w:marRight w:val="0"/>
      <w:marTop w:val="0"/>
      <w:marBottom w:val="0"/>
      <w:divBdr>
        <w:top w:val="none" w:sz="0" w:space="0" w:color="auto"/>
        <w:left w:val="none" w:sz="0" w:space="0" w:color="auto"/>
        <w:bottom w:val="none" w:sz="0" w:space="0" w:color="auto"/>
        <w:right w:val="none" w:sz="0" w:space="0" w:color="auto"/>
      </w:divBdr>
    </w:div>
    <w:div w:id="353074329">
      <w:bodyDiv w:val="1"/>
      <w:marLeft w:val="0"/>
      <w:marRight w:val="0"/>
      <w:marTop w:val="0"/>
      <w:marBottom w:val="0"/>
      <w:divBdr>
        <w:top w:val="none" w:sz="0" w:space="0" w:color="auto"/>
        <w:left w:val="none" w:sz="0" w:space="0" w:color="auto"/>
        <w:bottom w:val="none" w:sz="0" w:space="0" w:color="auto"/>
        <w:right w:val="none" w:sz="0" w:space="0" w:color="auto"/>
      </w:divBdr>
    </w:div>
    <w:div w:id="353729861">
      <w:bodyDiv w:val="1"/>
      <w:marLeft w:val="0"/>
      <w:marRight w:val="0"/>
      <w:marTop w:val="0"/>
      <w:marBottom w:val="0"/>
      <w:divBdr>
        <w:top w:val="none" w:sz="0" w:space="0" w:color="auto"/>
        <w:left w:val="none" w:sz="0" w:space="0" w:color="auto"/>
        <w:bottom w:val="none" w:sz="0" w:space="0" w:color="auto"/>
        <w:right w:val="none" w:sz="0" w:space="0" w:color="auto"/>
      </w:divBdr>
    </w:div>
    <w:div w:id="356277691">
      <w:bodyDiv w:val="1"/>
      <w:marLeft w:val="0"/>
      <w:marRight w:val="0"/>
      <w:marTop w:val="0"/>
      <w:marBottom w:val="0"/>
      <w:divBdr>
        <w:top w:val="none" w:sz="0" w:space="0" w:color="auto"/>
        <w:left w:val="none" w:sz="0" w:space="0" w:color="auto"/>
        <w:bottom w:val="none" w:sz="0" w:space="0" w:color="auto"/>
        <w:right w:val="none" w:sz="0" w:space="0" w:color="auto"/>
      </w:divBdr>
    </w:div>
    <w:div w:id="356928080">
      <w:bodyDiv w:val="1"/>
      <w:marLeft w:val="0"/>
      <w:marRight w:val="0"/>
      <w:marTop w:val="0"/>
      <w:marBottom w:val="0"/>
      <w:divBdr>
        <w:top w:val="none" w:sz="0" w:space="0" w:color="auto"/>
        <w:left w:val="none" w:sz="0" w:space="0" w:color="auto"/>
        <w:bottom w:val="none" w:sz="0" w:space="0" w:color="auto"/>
        <w:right w:val="none" w:sz="0" w:space="0" w:color="auto"/>
      </w:divBdr>
    </w:div>
    <w:div w:id="366488675">
      <w:bodyDiv w:val="1"/>
      <w:marLeft w:val="0"/>
      <w:marRight w:val="0"/>
      <w:marTop w:val="0"/>
      <w:marBottom w:val="0"/>
      <w:divBdr>
        <w:top w:val="none" w:sz="0" w:space="0" w:color="auto"/>
        <w:left w:val="none" w:sz="0" w:space="0" w:color="auto"/>
        <w:bottom w:val="none" w:sz="0" w:space="0" w:color="auto"/>
        <w:right w:val="none" w:sz="0" w:space="0" w:color="auto"/>
      </w:divBdr>
    </w:div>
    <w:div w:id="367920430">
      <w:bodyDiv w:val="1"/>
      <w:marLeft w:val="0"/>
      <w:marRight w:val="0"/>
      <w:marTop w:val="0"/>
      <w:marBottom w:val="0"/>
      <w:divBdr>
        <w:top w:val="none" w:sz="0" w:space="0" w:color="auto"/>
        <w:left w:val="none" w:sz="0" w:space="0" w:color="auto"/>
        <w:bottom w:val="none" w:sz="0" w:space="0" w:color="auto"/>
        <w:right w:val="none" w:sz="0" w:space="0" w:color="auto"/>
      </w:divBdr>
    </w:div>
    <w:div w:id="368574509">
      <w:bodyDiv w:val="1"/>
      <w:marLeft w:val="0"/>
      <w:marRight w:val="0"/>
      <w:marTop w:val="0"/>
      <w:marBottom w:val="0"/>
      <w:divBdr>
        <w:top w:val="none" w:sz="0" w:space="0" w:color="auto"/>
        <w:left w:val="none" w:sz="0" w:space="0" w:color="auto"/>
        <w:bottom w:val="none" w:sz="0" w:space="0" w:color="auto"/>
        <w:right w:val="none" w:sz="0" w:space="0" w:color="auto"/>
      </w:divBdr>
    </w:div>
    <w:div w:id="373042280">
      <w:bodyDiv w:val="1"/>
      <w:marLeft w:val="0"/>
      <w:marRight w:val="0"/>
      <w:marTop w:val="0"/>
      <w:marBottom w:val="0"/>
      <w:divBdr>
        <w:top w:val="none" w:sz="0" w:space="0" w:color="auto"/>
        <w:left w:val="none" w:sz="0" w:space="0" w:color="auto"/>
        <w:bottom w:val="none" w:sz="0" w:space="0" w:color="auto"/>
        <w:right w:val="none" w:sz="0" w:space="0" w:color="auto"/>
      </w:divBdr>
    </w:div>
    <w:div w:id="375666441">
      <w:bodyDiv w:val="1"/>
      <w:marLeft w:val="0"/>
      <w:marRight w:val="0"/>
      <w:marTop w:val="0"/>
      <w:marBottom w:val="0"/>
      <w:divBdr>
        <w:top w:val="none" w:sz="0" w:space="0" w:color="auto"/>
        <w:left w:val="none" w:sz="0" w:space="0" w:color="auto"/>
        <w:bottom w:val="none" w:sz="0" w:space="0" w:color="auto"/>
        <w:right w:val="none" w:sz="0" w:space="0" w:color="auto"/>
      </w:divBdr>
    </w:div>
    <w:div w:id="380055244">
      <w:bodyDiv w:val="1"/>
      <w:marLeft w:val="0"/>
      <w:marRight w:val="0"/>
      <w:marTop w:val="0"/>
      <w:marBottom w:val="0"/>
      <w:divBdr>
        <w:top w:val="none" w:sz="0" w:space="0" w:color="auto"/>
        <w:left w:val="none" w:sz="0" w:space="0" w:color="auto"/>
        <w:bottom w:val="none" w:sz="0" w:space="0" w:color="auto"/>
        <w:right w:val="none" w:sz="0" w:space="0" w:color="auto"/>
      </w:divBdr>
    </w:div>
    <w:div w:id="381633702">
      <w:bodyDiv w:val="1"/>
      <w:marLeft w:val="0"/>
      <w:marRight w:val="0"/>
      <w:marTop w:val="0"/>
      <w:marBottom w:val="0"/>
      <w:divBdr>
        <w:top w:val="none" w:sz="0" w:space="0" w:color="auto"/>
        <w:left w:val="none" w:sz="0" w:space="0" w:color="auto"/>
        <w:bottom w:val="none" w:sz="0" w:space="0" w:color="auto"/>
        <w:right w:val="none" w:sz="0" w:space="0" w:color="auto"/>
      </w:divBdr>
    </w:div>
    <w:div w:id="384456000">
      <w:bodyDiv w:val="1"/>
      <w:marLeft w:val="0"/>
      <w:marRight w:val="0"/>
      <w:marTop w:val="0"/>
      <w:marBottom w:val="0"/>
      <w:divBdr>
        <w:top w:val="none" w:sz="0" w:space="0" w:color="auto"/>
        <w:left w:val="none" w:sz="0" w:space="0" w:color="auto"/>
        <w:bottom w:val="none" w:sz="0" w:space="0" w:color="auto"/>
        <w:right w:val="none" w:sz="0" w:space="0" w:color="auto"/>
      </w:divBdr>
    </w:div>
    <w:div w:id="384721514">
      <w:bodyDiv w:val="1"/>
      <w:marLeft w:val="0"/>
      <w:marRight w:val="0"/>
      <w:marTop w:val="0"/>
      <w:marBottom w:val="0"/>
      <w:divBdr>
        <w:top w:val="none" w:sz="0" w:space="0" w:color="auto"/>
        <w:left w:val="none" w:sz="0" w:space="0" w:color="auto"/>
        <w:bottom w:val="none" w:sz="0" w:space="0" w:color="auto"/>
        <w:right w:val="none" w:sz="0" w:space="0" w:color="auto"/>
      </w:divBdr>
    </w:div>
    <w:div w:id="390157036">
      <w:bodyDiv w:val="1"/>
      <w:marLeft w:val="0"/>
      <w:marRight w:val="0"/>
      <w:marTop w:val="0"/>
      <w:marBottom w:val="0"/>
      <w:divBdr>
        <w:top w:val="none" w:sz="0" w:space="0" w:color="auto"/>
        <w:left w:val="none" w:sz="0" w:space="0" w:color="auto"/>
        <w:bottom w:val="none" w:sz="0" w:space="0" w:color="auto"/>
        <w:right w:val="none" w:sz="0" w:space="0" w:color="auto"/>
      </w:divBdr>
    </w:div>
    <w:div w:id="390421538">
      <w:bodyDiv w:val="1"/>
      <w:marLeft w:val="0"/>
      <w:marRight w:val="0"/>
      <w:marTop w:val="0"/>
      <w:marBottom w:val="0"/>
      <w:divBdr>
        <w:top w:val="none" w:sz="0" w:space="0" w:color="auto"/>
        <w:left w:val="none" w:sz="0" w:space="0" w:color="auto"/>
        <w:bottom w:val="none" w:sz="0" w:space="0" w:color="auto"/>
        <w:right w:val="none" w:sz="0" w:space="0" w:color="auto"/>
      </w:divBdr>
    </w:div>
    <w:div w:id="390858479">
      <w:bodyDiv w:val="1"/>
      <w:marLeft w:val="0"/>
      <w:marRight w:val="0"/>
      <w:marTop w:val="0"/>
      <w:marBottom w:val="0"/>
      <w:divBdr>
        <w:top w:val="none" w:sz="0" w:space="0" w:color="auto"/>
        <w:left w:val="none" w:sz="0" w:space="0" w:color="auto"/>
        <w:bottom w:val="none" w:sz="0" w:space="0" w:color="auto"/>
        <w:right w:val="none" w:sz="0" w:space="0" w:color="auto"/>
      </w:divBdr>
    </w:div>
    <w:div w:id="391587990">
      <w:bodyDiv w:val="1"/>
      <w:marLeft w:val="0"/>
      <w:marRight w:val="0"/>
      <w:marTop w:val="0"/>
      <w:marBottom w:val="0"/>
      <w:divBdr>
        <w:top w:val="none" w:sz="0" w:space="0" w:color="auto"/>
        <w:left w:val="none" w:sz="0" w:space="0" w:color="auto"/>
        <w:bottom w:val="none" w:sz="0" w:space="0" w:color="auto"/>
        <w:right w:val="none" w:sz="0" w:space="0" w:color="auto"/>
      </w:divBdr>
    </w:div>
    <w:div w:id="392629995">
      <w:bodyDiv w:val="1"/>
      <w:marLeft w:val="0"/>
      <w:marRight w:val="0"/>
      <w:marTop w:val="0"/>
      <w:marBottom w:val="0"/>
      <w:divBdr>
        <w:top w:val="none" w:sz="0" w:space="0" w:color="auto"/>
        <w:left w:val="none" w:sz="0" w:space="0" w:color="auto"/>
        <w:bottom w:val="none" w:sz="0" w:space="0" w:color="auto"/>
        <w:right w:val="none" w:sz="0" w:space="0" w:color="auto"/>
      </w:divBdr>
    </w:div>
    <w:div w:id="393771352">
      <w:bodyDiv w:val="1"/>
      <w:marLeft w:val="0"/>
      <w:marRight w:val="0"/>
      <w:marTop w:val="0"/>
      <w:marBottom w:val="0"/>
      <w:divBdr>
        <w:top w:val="none" w:sz="0" w:space="0" w:color="auto"/>
        <w:left w:val="none" w:sz="0" w:space="0" w:color="auto"/>
        <w:bottom w:val="none" w:sz="0" w:space="0" w:color="auto"/>
        <w:right w:val="none" w:sz="0" w:space="0" w:color="auto"/>
      </w:divBdr>
    </w:div>
    <w:div w:id="394356124">
      <w:bodyDiv w:val="1"/>
      <w:marLeft w:val="0"/>
      <w:marRight w:val="0"/>
      <w:marTop w:val="0"/>
      <w:marBottom w:val="0"/>
      <w:divBdr>
        <w:top w:val="none" w:sz="0" w:space="0" w:color="auto"/>
        <w:left w:val="none" w:sz="0" w:space="0" w:color="auto"/>
        <w:bottom w:val="none" w:sz="0" w:space="0" w:color="auto"/>
        <w:right w:val="none" w:sz="0" w:space="0" w:color="auto"/>
      </w:divBdr>
    </w:div>
    <w:div w:id="395788645">
      <w:bodyDiv w:val="1"/>
      <w:marLeft w:val="0"/>
      <w:marRight w:val="0"/>
      <w:marTop w:val="0"/>
      <w:marBottom w:val="0"/>
      <w:divBdr>
        <w:top w:val="none" w:sz="0" w:space="0" w:color="auto"/>
        <w:left w:val="none" w:sz="0" w:space="0" w:color="auto"/>
        <w:bottom w:val="none" w:sz="0" w:space="0" w:color="auto"/>
        <w:right w:val="none" w:sz="0" w:space="0" w:color="auto"/>
      </w:divBdr>
    </w:div>
    <w:div w:id="405038018">
      <w:bodyDiv w:val="1"/>
      <w:marLeft w:val="0"/>
      <w:marRight w:val="0"/>
      <w:marTop w:val="0"/>
      <w:marBottom w:val="0"/>
      <w:divBdr>
        <w:top w:val="none" w:sz="0" w:space="0" w:color="auto"/>
        <w:left w:val="none" w:sz="0" w:space="0" w:color="auto"/>
        <w:bottom w:val="none" w:sz="0" w:space="0" w:color="auto"/>
        <w:right w:val="none" w:sz="0" w:space="0" w:color="auto"/>
      </w:divBdr>
    </w:div>
    <w:div w:id="412166502">
      <w:bodyDiv w:val="1"/>
      <w:marLeft w:val="0"/>
      <w:marRight w:val="0"/>
      <w:marTop w:val="0"/>
      <w:marBottom w:val="0"/>
      <w:divBdr>
        <w:top w:val="none" w:sz="0" w:space="0" w:color="auto"/>
        <w:left w:val="none" w:sz="0" w:space="0" w:color="auto"/>
        <w:bottom w:val="none" w:sz="0" w:space="0" w:color="auto"/>
        <w:right w:val="none" w:sz="0" w:space="0" w:color="auto"/>
      </w:divBdr>
    </w:div>
    <w:div w:id="412358656">
      <w:bodyDiv w:val="1"/>
      <w:marLeft w:val="0"/>
      <w:marRight w:val="0"/>
      <w:marTop w:val="0"/>
      <w:marBottom w:val="0"/>
      <w:divBdr>
        <w:top w:val="none" w:sz="0" w:space="0" w:color="auto"/>
        <w:left w:val="none" w:sz="0" w:space="0" w:color="auto"/>
        <w:bottom w:val="none" w:sz="0" w:space="0" w:color="auto"/>
        <w:right w:val="none" w:sz="0" w:space="0" w:color="auto"/>
      </w:divBdr>
    </w:div>
    <w:div w:id="413085770">
      <w:bodyDiv w:val="1"/>
      <w:marLeft w:val="0"/>
      <w:marRight w:val="0"/>
      <w:marTop w:val="0"/>
      <w:marBottom w:val="0"/>
      <w:divBdr>
        <w:top w:val="none" w:sz="0" w:space="0" w:color="auto"/>
        <w:left w:val="none" w:sz="0" w:space="0" w:color="auto"/>
        <w:bottom w:val="none" w:sz="0" w:space="0" w:color="auto"/>
        <w:right w:val="none" w:sz="0" w:space="0" w:color="auto"/>
      </w:divBdr>
    </w:div>
    <w:div w:id="414016717">
      <w:bodyDiv w:val="1"/>
      <w:marLeft w:val="0"/>
      <w:marRight w:val="0"/>
      <w:marTop w:val="0"/>
      <w:marBottom w:val="0"/>
      <w:divBdr>
        <w:top w:val="none" w:sz="0" w:space="0" w:color="auto"/>
        <w:left w:val="none" w:sz="0" w:space="0" w:color="auto"/>
        <w:bottom w:val="none" w:sz="0" w:space="0" w:color="auto"/>
        <w:right w:val="none" w:sz="0" w:space="0" w:color="auto"/>
      </w:divBdr>
    </w:div>
    <w:div w:id="418063529">
      <w:bodyDiv w:val="1"/>
      <w:marLeft w:val="0"/>
      <w:marRight w:val="0"/>
      <w:marTop w:val="0"/>
      <w:marBottom w:val="0"/>
      <w:divBdr>
        <w:top w:val="none" w:sz="0" w:space="0" w:color="auto"/>
        <w:left w:val="none" w:sz="0" w:space="0" w:color="auto"/>
        <w:bottom w:val="none" w:sz="0" w:space="0" w:color="auto"/>
        <w:right w:val="none" w:sz="0" w:space="0" w:color="auto"/>
      </w:divBdr>
    </w:div>
    <w:div w:id="422914439">
      <w:bodyDiv w:val="1"/>
      <w:marLeft w:val="0"/>
      <w:marRight w:val="0"/>
      <w:marTop w:val="0"/>
      <w:marBottom w:val="0"/>
      <w:divBdr>
        <w:top w:val="none" w:sz="0" w:space="0" w:color="auto"/>
        <w:left w:val="none" w:sz="0" w:space="0" w:color="auto"/>
        <w:bottom w:val="none" w:sz="0" w:space="0" w:color="auto"/>
        <w:right w:val="none" w:sz="0" w:space="0" w:color="auto"/>
      </w:divBdr>
    </w:div>
    <w:div w:id="424302274">
      <w:bodyDiv w:val="1"/>
      <w:marLeft w:val="0"/>
      <w:marRight w:val="0"/>
      <w:marTop w:val="0"/>
      <w:marBottom w:val="0"/>
      <w:divBdr>
        <w:top w:val="none" w:sz="0" w:space="0" w:color="auto"/>
        <w:left w:val="none" w:sz="0" w:space="0" w:color="auto"/>
        <w:bottom w:val="none" w:sz="0" w:space="0" w:color="auto"/>
        <w:right w:val="none" w:sz="0" w:space="0" w:color="auto"/>
      </w:divBdr>
    </w:div>
    <w:div w:id="424420828">
      <w:bodyDiv w:val="1"/>
      <w:marLeft w:val="0"/>
      <w:marRight w:val="0"/>
      <w:marTop w:val="0"/>
      <w:marBottom w:val="0"/>
      <w:divBdr>
        <w:top w:val="none" w:sz="0" w:space="0" w:color="auto"/>
        <w:left w:val="none" w:sz="0" w:space="0" w:color="auto"/>
        <w:bottom w:val="none" w:sz="0" w:space="0" w:color="auto"/>
        <w:right w:val="none" w:sz="0" w:space="0" w:color="auto"/>
      </w:divBdr>
    </w:div>
    <w:div w:id="424617456">
      <w:bodyDiv w:val="1"/>
      <w:marLeft w:val="0"/>
      <w:marRight w:val="0"/>
      <w:marTop w:val="0"/>
      <w:marBottom w:val="0"/>
      <w:divBdr>
        <w:top w:val="none" w:sz="0" w:space="0" w:color="auto"/>
        <w:left w:val="none" w:sz="0" w:space="0" w:color="auto"/>
        <w:bottom w:val="none" w:sz="0" w:space="0" w:color="auto"/>
        <w:right w:val="none" w:sz="0" w:space="0" w:color="auto"/>
      </w:divBdr>
    </w:div>
    <w:div w:id="424694986">
      <w:bodyDiv w:val="1"/>
      <w:marLeft w:val="0"/>
      <w:marRight w:val="0"/>
      <w:marTop w:val="0"/>
      <w:marBottom w:val="0"/>
      <w:divBdr>
        <w:top w:val="none" w:sz="0" w:space="0" w:color="auto"/>
        <w:left w:val="none" w:sz="0" w:space="0" w:color="auto"/>
        <w:bottom w:val="none" w:sz="0" w:space="0" w:color="auto"/>
        <w:right w:val="none" w:sz="0" w:space="0" w:color="auto"/>
      </w:divBdr>
    </w:div>
    <w:div w:id="425736288">
      <w:bodyDiv w:val="1"/>
      <w:marLeft w:val="0"/>
      <w:marRight w:val="0"/>
      <w:marTop w:val="0"/>
      <w:marBottom w:val="0"/>
      <w:divBdr>
        <w:top w:val="none" w:sz="0" w:space="0" w:color="auto"/>
        <w:left w:val="none" w:sz="0" w:space="0" w:color="auto"/>
        <w:bottom w:val="none" w:sz="0" w:space="0" w:color="auto"/>
        <w:right w:val="none" w:sz="0" w:space="0" w:color="auto"/>
      </w:divBdr>
    </w:div>
    <w:div w:id="426124407">
      <w:bodyDiv w:val="1"/>
      <w:marLeft w:val="0"/>
      <w:marRight w:val="0"/>
      <w:marTop w:val="0"/>
      <w:marBottom w:val="0"/>
      <w:divBdr>
        <w:top w:val="none" w:sz="0" w:space="0" w:color="auto"/>
        <w:left w:val="none" w:sz="0" w:space="0" w:color="auto"/>
        <w:bottom w:val="none" w:sz="0" w:space="0" w:color="auto"/>
        <w:right w:val="none" w:sz="0" w:space="0" w:color="auto"/>
      </w:divBdr>
    </w:div>
    <w:div w:id="430395455">
      <w:bodyDiv w:val="1"/>
      <w:marLeft w:val="0"/>
      <w:marRight w:val="0"/>
      <w:marTop w:val="0"/>
      <w:marBottom w:val="0"/>
      <w:divBdr>
        <w:top w:val="none" w:sz="0" w:space="0" w:color="auto"/>
        <w:left w:val="none" w:sz="0" w:space="0" w:color="auto"/>
        <w:bottom w:val="none" w:sz="0" w:space="0" w:color="auto"/>
        <w:right w:val="none" w:sz="0" w:space="0" w:color="auto"/>
      </w:divBdr>
    </w:div>
    <w:div w:id="432936635">
      <w:bodyDiv w:val="1"/>
      <w:marLeft w:val="0"/>
      <w:marRight w:val="0"/>
      <w:marTop w:val="0"/>
      <w:marBottom w:val="0"/>
      <w:divBdr>
        <w:top w:val="none" w:sz="0" w:space="0" w:color="auto"/>
        <w:left w:val="none" w:sz="0" w:space="0" w:color="auto"/>
        <w:bottom w:val="none" w:sz="0" w:space="0" w:color="auto"/>
        <w:right w:val="none" w:sz="0" w:space="0" w:color="auto"/>
      </w:divBdr>
    </w:div>
    <w:div w:id="436101806">
      <w:bodyDiv w:val="1"/>
      <w:marLeft w:val="0"/>
      <w:marRight w:val="0"/>
      <w:marTop w:val="0"/>
      <w:marBottom w:val="0"/>
      <w:divBdr>
        <w:top w:val="none" w:sz="0" w:space="0" w:color="auto"/>
        <w:left w:val="none" w:sz="0" w:space="0" w:color="auto"/>
        <w:bottom w:val="none" w:sz="0" w:space="0" w:color="auto"/>
        <w:right w:val="none" w:sz="0" w:space="0" w:color="auto"/>
      </w:divBdr>
    </w:div>
    <w:div w:id="436413487">
      <w:bodyDiv w:val="1"/>
      <w:marLeft w:val="0"/>
      <w:marRight w:val="0"/>
      <w:marTop w:val="0"/>
      <w:marBottom w:val="0"/>
      <w:divBdr>
        <w:top w:val="none" w:sz="0" w:space="0" w:color="auto"/>
        <w:left w:val="none" w:sz="0" w:space="0" w:color="auto"/>
        <w:bottom w:val="none" w:sz="0" w:space="0" w:color="auto"/>
        <w:right w:val="none" w:sz="0" w:space="0" w:color="auto"/>
      </w:divBdr>
    </w:div>
    <w:div w:id="438986887">
      <w:bodyDiv w:val="1"/>
      <w:marLeft w:val="0"/>
      <w:marRight w:val="0"/>
      <w:marTop w:val="0"/>
      <w:marBottom w:val="0"/>
      <w:divBdr>
        <w:top w:val="none" w:sz="0" w:space="0" w:color="auto"/>
        <w:left w:val="none" w:sz="0" w:space="0" w:color="auto"/>
        <w:bottom w:val="none" w:sz="0" w:space="0" w:color="auto"/>
        <w:right w:val="none" w:sz="0" w:space="0" w:color="auto"/>
      </w:divBdr>
    </w:div>
    <w:div w:id="439685933">
      <w:bodyDiv w:val="1"/>
      <w:marLeft w:val="0"/>
      <w:marRight w:val="0"/>
      <w:marTop w:val="0"/>
      <w:marBottom w:val="0"/>
      <w:divBdr>
        <w:top w:val="none" w:sz="0" w:space="0" w:color="auto"/>
        <w:left w:val="none" w:sz="0" w:space="0" w:color="auto"/>
        <w:bottom w:val="none" w:sz="0" w:space="0" w:color="auto"/>
        <w:right w:val="none" w:sz="0" w:space="0" w:color="auto"/>
      </w:divBdr>
    </w:div>
    <w:div w:id="443769133">
      <w:bodyDiv w:val="1"/>
      <w:marLeft w:val="0"/>
      <w:marRight w:val="0"/>
      <w:marTop w:val="0"/>
      <w:marBottom w:val="0"/>
      <w:divBdr>
        <w:top w:val="none" w:sz="0" w:space="0" w:color="auto"/>
        <w:left w:val="none" w:sz="0" w:space="0" w:color="auto"/>
        <w:bottom w:val="none" w:sz="0" w:space="0" w:color="auto"/>
        <w:right w:val="none" w:sz="0" w:space="0" w:color="auto"/>
      </w:divBdr>
    </w:div>
    <w:div w:id="445858258">
      <w:bodyDiv w:val="1"/>
      <w:marLeft w:val="0"/>
      <w:marRight w:val="0"/>
      <w:marTop w:val="0"/>
      <w:marBottom w:val="0"/>
      <w:divBdr>
        <w:top w:val="none" w:sz="0" w:space="0" w:color="auto"/>
        <w:left w:val="none" w:sz="0" w:space="0" w:color="auto"/>
        <w:bottom w:val="none" w:sz="0" w:space="0" w:color="auto"/>
        <w:right w:val="none" w:sz="0" w:space="0" w:color="auto"/>
      </w:divBdr>
    </w:div>
    <w:div w:id="446192808">
      <w:bodyDiv w:val="1"/>
      <w:marLeft w:val="0"/>
      <w:marRight w:val="0"/>
      <w:marTop w:val="0"/>
      <w:marBottom w:val="0"/>
      <w:divBdr>
        <w:top w:val="none" w:sz="0" w:space="0" w:color="auto"/>
        <w:left w:val="none" w:sz="0" w:space="0" w:color="auto"/>
        <w:bottom w:val="none" w:sz="0" w:space="0" w:color="auto"/>
        <w:right w:val="none" w:sz="0" w:space="0" w:color="auto"/>
      </w:divBdr>
    </w:div>
    <w:div w:id="448088647">
      <w:bodyDiv w:val="1"/>
      <w:marLeft w:val="0"/>
      <w:marRight w:val="0"/>
      <w:marTop w:val="0"/>
      <w:marBottom w:val="0"/>
      <w:divBdr>
        <w:top w:val="none" w:sz="0" w:space="0" w:color="auto"/>
        <w:left w:val="none" w:sz="0" w:space="0" w:color="auto"/>
        <w:bottom w:val="none" w:sz="0" w:space="0" w:color="auto"/>
        <w:right w:val="none" w:sz="0" w:space="0" w:color="auto"/>
      </w:divBdr>
    </w:div>
    <w:div w:id="448205316">
      <w:bodyDiv w:val="1"/>
      <w:marLeft w:val="0"/>
      <w:marRight w:val="0"/>
      <w:marTop w:val="0"/>
      <w:marBottom w:val="0"/>
      <w:divBdr>
        <w:top w:val="none" w:sz="0" w:space="0" w:color="auto"/>
        <w:left w:val="none" w:sz="0" w:space="0" w:color="auto"/>
        <w:bottom w:val="none" w:sz="0" w:space="0" w:color="auto"/>
        <w:right w:val="none" w:sz="0" w:space="0" w:color="auto"/>
      </w:divBdr>
    </w:div>
    <w:div w:id="453065787">
      <w:bodyDiv w:val="1"/>
      <w:marLeft w:val="0"/>
      <w:marRight w:val="0"/>
      <w:marTop w:val="0"/>
      <w:marBottom w:val="0"/>
      <w:divBdr>
        <w:top w:val="none" w:sz="0" w:space="0" w:color="auto"/>
        <w:left w:val="none" w:sz="0" w:space="0" w:color="auto"/>
        <w:bottom w:val="none" w:sz="0" w:space="0" w:color="auto"/>
        <w:right w:val="none" w:sz="0" w:space="0" w:color="auto"/>
      </w:divBdr>
    </w:div>
    <w:div w:id="456804071">
      <w:bodyDiv w:val="1"/>
      <w:marLeft w:val="0"/>
      <w:marRight w:val="0"/>
      <w:marTop w:val="0"/>
      <w:marBottom w:val="0"/>
      <w:divBdr>
        <w:top w:val="none" w:sz="0" w:space="0" w:color="auto"/>
        <w:left w:val="none" w:sz="0" w:space="0" w:color="auto"/>
        <w:bottom w:val="none" w:sz="0" w:space="0" w:color="auto"/>
        <w:right w:val="none" w:sz="0" w:space="0" w:color="auto"/>
      </w:divBdr>
    </w:div>
    <w:div w:id="460735132">
      <w:bodyDiv w:val="1"/>
      <w:marLeft w:val="0"/>
      <w:marRight w:val="0"/>
      <w:marTop w:val="0"/>
      <w:marBottom w:val="0"/>
      <w:divBdr>
        <w:top w:val="none" w:sz="0" w:space="0" w:color="auto"/>
        <w:left w:val="none" w:sz="0" w:space="0" w:color="auto"/>
        <w:bottom w:val="none" w:sz="0" w:space="0" w:color="auto"/>
        <w:right w:val="none" w:sz="0" w:space="0" w:color="auto"/>
      </w:divBdr>
    </w:div>
    <w:div w:id="461075466">
      <w:bodyDiv w:val="1"/>
      <w:marLeft w:val="0"/>
      <w:marRight w:val="0"/>
      <w:marTop w:val="0"/>
      <w:marBottom w:val="0"/>
      <w:divBdr>
        <w:top w:val="none" w:sz="0" w:space="0" w:color="auto"/>
        <w:left w:val="none" w:sz="0" w:space="0" w:color="auto"/>
        <w:bottom w:val="none" w:sz="0" w:space="0" w:color="auto"/>
        <w:right w:val="none" w:sz="0" w:space="0" w:color="auto"/>
      </w:divBdr>
    </w:div>
    <w:div w:id="463351915">
      <w:bodyDiv w:val="1"/>
      <w:marLeft w:val="0"/>
      <w:marRight w:val="0"/>
      <w:marTop w:val="0"/>
      <w:marBottom w:val="0"/>
      <w:divBdr>
        <w:top w:val="none" w:sz="0" w:space="0" w:color="auto"/>
        <w:left w:val="none" w:sz="0" w:space="0" w:color="auto"/>
        <w:bottom w:val="none" w:sz="0" w:space="0" w:color="auto"/>
        <w:right w:val="none" w:sz="0" w:space="0" w:color="auto"/>
      </w:divBdr>
    </w:div>
    <w:div w:id="467015804">
      <w:bodyDiv w:val="1"/>
      <w:marLeft w:val="0"/>
      <w:marRight w:val="0"/>
      <w:marTop w:val="0"/>
      <w:marBottom w:val="0"/>
      <w:divBdr>
        <w:top w:val="none" w:sz="0" w:space="0" w:color="auto"/>
        <w:left w:val="none" w:sz="0" w:space="0" w:color="auto"/>
        <w:bottom w:val="none" w:sz="0" w:space="0" w:color="auto"/>
        <w:right w:val="none" w:sz="0" w:space="0" w:color="auto"/>
      </w:divBdr>
    </w:div>
    <w:div w:id="467089840">
      <w:bodyDiv w:val="1"/>
      <w:marLeft w:val="0"/>
      <w:marRight w:val="0"/>
      <w:marTop w:val="0"/>
      <w:marBottom w:val="0"/>
      <w:divBdr>
        <w:top w:val="none" w:sz="0" w:space="0" w:color="auto"/>
        <w:left w:val="none" w:sz="0" w:space="0" w:color="auto"/>
        <w:bottom w:val="none" w:sz="0" w:space="0" w:color="auto"/>
        <w:right w:val="none" w:sz="0" w:space="0" w:color="auto"/>
      </w:divBdr>
    </w:div>
    <w:div w:id="471597775">
      <w:bodyDiv w:val="1"/>
      <w:marLeft w:val="0"/>
      <w:marRight w:val="0"/>
      <w:marTop w:val="0"/>
      <w:marBottom w:val="0"/>
      <w:divBdr>
        <w:top w:val="none" w:sz="0" w:space="0" w:color="auto"/>
        <w:left w:val="none" w:sz="0" w:space="0" w:color="auto"/>
        <w:bottom w:val="none" w:sz="0" w:space="0" w:color="auto"/>
        <w:right w:val="none" w:sz="0" w:space="0" w:color="auto"/>
      </w:divBdr>
    </w:div>
    <w:div w:id="471605330">
      <w:bodyDiv w:val="1"/>
      <w:marLeft w:val="0"/>
      <w:marRight w:val="0"/>
      <w:marTop w:val="0"/>
      <w:marBottom w:val="0"/>
      <w:divBdr>
        <w:top w:val="none" w:sz="0" w:space="0" w:color="auto"/>
        <w:left w:val="none" w:sz="0" w:space="0" w:color="auto"/>
        <w:bottom w:val="none" w:sz="0" w:space="0" w:color="auto"/>
        <w:right w:val="none" w:sz="0" w:space="0" w:color="auto"/>
      </w:divBdr>
    </w:div>
    <w:div w:id="472022067">
      <w:bodyDiv w:val="1"/>
      <w:marLeft w:val="0"/>
      <w:marRight w:val="0"/>
      <w:marTop w:val="0"/>
      <w:marBottom w:val="0"/>
      <w:divBdr>
        <w:top w:val="none" w:sz="0" w:space="0" w:color="auto"/>
        <w:left w:val="none" w:sz="0" w:space="0" w:color="auto"/>
        <w:bottom w:val="none" w:sz="0" w:space="0" w:color="auto"/>
        <w:right w:val="none" w:sz="0" w:space="0" w:color="auto"/>
      </w:divBdr>
    </w:div>
    <w:div w:id="472479683">
      <w:bodyDiv w:val="1"/>
      <w:marLeft w:val="0"/>
      <w:marRight w:val="0"/>
      <w:marTop w:val="0"/>
      <w:marBottom w:val="0"/>
      <w:divBdr>
        <w:top w:val="none" w:sz="0" w:space="0" w:color="auto"/>
        <w:left w:val="none" w:sz="0" w:space="0" w:color="auto"/>
        <w:bottom w:val="none" w:sz="0" w:space="0" w:color="auto"/>
        <w:right w:val="none" w:sz="0" w:space="0" w:color="auto"/>
      </w:divBdr>
    </w:div>
    <w:div w:id="472791472">
      <w:bodyDiv w:val="1"/>
      <w:marLeft w:val="0"/>
      <w:marRight w:val="0"/>
      <w:marTop w:val="0"/>
      <w:marBottom w:val="0"/>
      <w:divBdr>
        <w:top w:val="none" w:sz="0" w:space="0" w:color="auto"/>
        <w:left w:val="none" w:sz="0" w:space="0" w:color="auto"/>
        <w:bottom w:val="none" w:sz="0" w:space="0" w:color="auto"/>
        <w:right w:val="none" w:sz="0" w:space="0" w:color="auto"/>
      </w:divBdr>
    </w:div>
    <w:div w:id="472792520">
      <w:bodyDiv w:val="1"/>
      <w:marLeft w:val="0"/>
      <w:marRight w:val="0"/>
      <w:marTop w:val="0"/>
      <w:marBottom w:val="0"/>
      <w:divBdr>
        <w:top w:val="none" w:sz="0" w:space="0" w:color="auto"/>
        <w:left w:val="none" w:sz="0" w:space="0" w:color="auto"/>
        <w:bottom w:val="none" w:sz="0" w:space="0" w:color="auto"/>
        <w:right w:val="none" w:sz="0" w:space="0" w:color="auto"/>
      </w:divBdr>
    </w:div>
    <w:div w:id="475295652">
      <w:bodyDiv w:val="1"/>
      <w:marLeft w:val="0"/>
      <w:marRight w:val="0"/>
      <w:marTop w:val="0"/>
      <w:marBottom w:val="0"/>
      <w:divBdr>
        <w:top w:val="none" w:sz="0" w:space="0" w:color="auto"/>
        <w:left w:val="none" w:sz="0" w:space="0" w:color="auto"/>
        <w:bottom w:val="none" w:sz="0" w:space="0" w:color="auto"/>
        <w:right w:val="none" w:sz="0" w:space="0" w:color="auto"/>
      </w:divBdr>
    </w:div>
    <w:div w:id="476148619">
      <w:bodyDiv w:val="1"/>
      <w:marLeft w:val="0"/>
      <w:marRight w:val="0"/>
      <w:marTop w:val="0"/>
      <w:marBottom w:val="0"/>
      <w:divBdr>
        <w:top w:val="none" w:sz="0" w:space="0" w:color="auto"/>
        <w:left w:val="none" w:sz="0" w:space="0" w:color="auto"/>
        <w:bottom w:val="none" w:sz="0" w:space="0" w:color="auto"/>
        <w:right w:val="none" w:sz="0" w:space="0" w:color="auto"/>
      </w:divBdr>
    </w:div>
    <w:div w:id="476651054">
      <w:bodyDiv w:val="1"/>
      <w:marLeft w:val="0"/>
      <w:marRight w:val="0"/>
      <w:marTop w:val="0"/>
      <w:marBottom w:val="0"/>
      <w:divBdr>
        <w:top w:val="none" w:sz="0" w:space="0" w:color="auto"/>
        <w:left w:val="none" w:sz="0" w:space="0" w:color="auto"/>
        <w:bottom w:val="none" w:sz="0" w:space="0" w:color="auto"/>
        <w:right w:val="none" w:sz="0" w:space="0" w:color="auto"/>
      </w:divBdr>
    </w:div>
    <w:div w:id="479929100">
      <w:bodyDiv w:val="1"/>
      <w:marLeft w:val="0"/>
      <w:marRight w:val="0"/>
      <w:marTop w:val="0"/>
      <w:marBottom w:val="0"/>
      <w:divBdr>
        <w:top w:val="none" w:sz="0" w:space="0" w:color="auto"/>
        <w:left w:val="none" w:sz="0" w:space="0" w:color="auto"/>
        <w:bottom w:val="none" w:sz="0" w:space="0" w:color="auto"/>
        <w:right w:val="none" w:sz="0" w:space="0" w:color="auto"/>
      </w:divBdr>
    </w:div>
    <w:div w:id="481195048">
      <w:bodyDiv w:val="1"/>
      <w:marLeft w:val="0"/>
      <w:marRight w:val="0"/>
      <w:marTop w:val="0"/>
      <w:marBottom w:val="0"/>
      <w:divBdr>
        <w:top w:val="none" w:sz="0" w:space="0" w:color="auto"/>
        <w:left w:val="none" w:sz="0" w:space="0" w:color="auto"/>
        <w:bottom w:val="none" w:sz="0" w:space="0" w:color="auto"/>
        <w:right w:val="none" w:sz="0" w:space="0" w:color="auto"/>
      </w:divBdr>
    </w:div>
    <w:div w:id="481308924">
      <w:bodyDiv w:val="1"/>
      <w:marLeft w:val="0"/>
      <w:marRight w:val="0"/>
      <w:marTop w:val="0"/>
      <w:marBottom w:val="0"/>
      <w:divBdr>
        <w:top w:val="none" w:sz="0" w:space="0" w:color="auto"/>
        <w:left w:val="none" w:sz="0" w:space="0" w:color="auto"/>
        <w:bottom w:val="none" w:sz="0" w:space="0" w:color="auto"/>
        <w:right w:val="none" w:sz="0" w:space="0" w:color="auto"/>
      </w:divBdr>
    </w:div>
    <w:div w:id="483856121">
      <w:bodyDiv w:val="1"/>
      <w:marLeft w:val="0"/>
      <w:marRight w:val="0"/>
      <w:marTop w:val="0"/>
      <w:marBottom w:val="0"/>
      <w:divBdr>
        <w:top w:val="none" w:sz="0" w:space="0" w:color="auto"/>
        <w:left w:val="none" w:sz="0" w:space="0" w:color="auto"/>
        <w:bottom w:val="none" w:sz="0" w:space="0" w:color="auto"/>
        <w:right w:val="none" w:sz="0" w:space="0" w:color="auto"/>
      </w:divBdr>
    </w:div>
    <w:div w:id="487330155">
      <w:bodyDiv w:val="1"/>
      <w:marLeft w:val="0"/>
      <w:marRight w:val="0"/>
      <w:marTop w:val="0"/>
      <w:marBottom w:val="0"/>
      <w:divBdr>
        <w:top w:val="none" w:sz="0" w:space="0" w:color="auto"/>
        <w:left w:val="none" w:sz="0" w:space="0" w:color="auto"/>
        <w:bottom w:val="none" w:sz="0" w:space="0" w:color="auto"/>
        <w:right w:val="none" w:sz="0" w:space="0" w:color="auto"/>
      </w:divBdr>
    </w:div>
    <w:div w:id="488450675">
      <w:bodyDiv w:val="1"/>
      <w:marLeft w:val="0"/>
      <w:marRight w:val="0"/>
      <w:marTop w:val="0"/>
      <w:marBottom w:val="0"/>
      <w:divBdr>
        <w:top w:val="none" w:sz="0" w:space="0" w:color="auto"/>
        <w:left w:val="none" w:sz="0" w:space="0" w:color="auto"/>
        <w:bottom w:val="none" w:sz="0" w:space="0" w:color="auto"/>
        <w:right w:val="none" w:sz="0" w:space="0" w:color="auto"/>
      </w:divBdr>
    </w:div>
    <w:div w:id="493840872">
      <w:bodyDiv w:val="1"/>
      <w:marLeft w:val="0"/>
      <w:marRight w:val="0"/>
      <w:marTop w:val="0"/>
      <w:marBottom w:val="0"/>
      <w:divBdr>
        <w:top w:val="none" w:sz="0" w:space="0" w:color="auto"/>
        <w:left w:val="none" w:sz="0" w:space="0" w:color="auto"/>
        <w:bottom w:val="none" w:sz="0" w:space="0" w:color="auto"/>
        <w:right w:val="none" w:sz="0" w:space="0" w:color="auto"/>
      </w:divBdr>
    </w:div>
    <w:div w:id="494612439">
      <w:bodyDiv w:val="1"/>
      <w:marLeft w:val="0"/>
      <w:marRight w:val="0"/>
      <w:marTop w:val="0"/>
      <w:marBottom w:val="0"/>
      <w:divBdr>
        <w:top w:val="none" w:sz="0" w:space="0" w:color="auto"/>
        <w:left w:val="none" w:sz="0" w:space="0" w:color="auto"/>
        <w:bottom w:val="none" w:sz="0" w:space="0" w:color="auto"/>
        <w:right w:val="none" w:sz="0" w:space="0" w:color="auto"/>
      </w:divBdr>
    </w:div>
    <w:div w:id="495923566">
      <w:bodyDiv w:val="1"/>
      <w:marLeft w:val="0"/>
      <w:marRight w:val="0"/>
      <w:marTop w:val="0"/>
      <w:marBottom w:val="0"/>
      <w:divBdr>
        <w:top w:val="none" w:sz="0" w:space="0" w:color="auto"/>
        <w:left w:val="none" w:sz="0" w:space="0" w:color="auto"/>
        <w:bottom w:val="none" w:sz="0" w:space="0" w:color="auto"/>
        <w:right w:val="none" w:sz="0" w:space="0" w:color="auto"/>
      </w:divBdr>
    </w:div>
    <w:div w:id="496580791">
      <w:bodyDiv w:val="1"/>
      <w:marLeft w:val="0"/>
      <w:marRight w:val="0"/>
      <w:marTop w:val="0"/>
      <w:marBottom w:val="0"/>
      <w:divBdr>
        <w:top w:val="none" w:sz="0" w:space="0" w:color="auto"/>
        <w:left w:val="none" w:sz="0" w:space="0" w:color="auto"/>
        <w:bottom w:val="none" w:sz="0" w:space="0" w:color="auto"/>
        <w:right w:val="none" w:sz="0" w:space="0" w:color="auto"/>
      </w:divBdr>
    </w:div>
    <w:div w:id="503862345">
      <w:bodyDiv w:val="1"/>
      <w:marLeft w:val="0"/>
      <w:marRight w:val="0"/>
      <w:marTop w:val="0"/>
      <w:marBottom w:val="0"/>
      <w:divBdr>
        <w:top w:val="none" w:sz="0" w:space="0" w:color="auto"/>
        <w:left w:val="none" w:sz="0" w:space="0" w:color="auto"/>
        <w:bottom w:val="none" w:sz="0" w:space="0" w:color="auto"/>
        <w:right w:val="none" w:sz="0" w:space="0" w:color="auto"/>
      </w:divBdr>
    </w:div>
    <w:div w:id="507213603">
      <w:bodyDiv w:val="1"/>
      <w:marLeft w:val="0"/>
      <w:marRight w:val="0"/>
      <w:marTop w:val="0"/>
      <w:marBottom w:val="0"/>
      <w:divBdr>
        <w:top w:val="none" w:sz="0" w:space="0" w:color="auto"/>
        <w:left w:val="none" w:sz="0" w:space="0" w:color="auto"/>
        <w:bottom w:val="none" w:sz="0" w:space="0" w:color="auto"/>
        <w:right w:val="none" w:sz="0" w:space="0" w:color="auto"/>
      </w:divBdr>
    </w:div>
    <w:div w:id="507717984">
      <w:bodyDiv w:val="1"/>
      <w:marLeft w:val="0"/>
      <w:marRight w:val="0"/>
      <w:marTop w:val="0"/>
      <w:marBottom w:val="0"/>
      <w:divBdr>
        <w:top w:val="none" w:sz="0" w:space="0" w:color="auto"/>
        <w:left w:val="none" w:sz="0" w:space="0" w:color="auto"/>
        <w:bottom w:val="none" w:sz="0" w:space="0" w:color="auto"/>
        <w:right w:val="none" w:sz="0" w:space="0" w:color="auto"/>
      </w:divBdr>
    </w:div>
    <w:div w:id="512498635">
      <w:bodyDiv w:val="1"/>
      <w:marLeft w:val="0"/>
      <w:marRight w:val="0"/>
      <w:marTop w:val="0"/>
      <w:marBottom w:val="0"/>
      <w:divBdr>
        <w:top w:val="none" w:sz="0" w:space="0" w:color="auto"/>
        <w:left w:val="none" w:sz="0" w:space="0" w:color="auto"/>
        <w:bottom w:val="none" w:sz="0" w:space="0" w:color="auto"/>
        <w:right w:val="none" w:sz="0" w:space="0" w:color="auto"/>
      </w:divBdr>
    </w:div>
    <w:div w:id="512842756">
      <w:bodyDiv w:val="1"/>
      <w:marLeft w:val="0"/>
      <w:marRight w:val="0"/>
      <w:marTop w:val="0"/>
      <w:marBottom w:val="0"/>
      <w:divBdr>
        <w:top w:val="none" w:sz="0" w:space="0" w:color="auto"/>
        <w:left w:val="none" w:sz="0" w:space="0" w:color="auto"/>
        <w:bottom w:val="none" w:sz="0" w:space="0" w:color="auto"/>
        <w:right w:val="none" w:sz="0" w:space="0" w:color="auto"/>
      </w:divBdr>
    </w:div>
    <w:div w:id="514072078">
      <w:bodyDiv w:val="1"/>
      <w:marLeft w:val="0"/>
      <w:marRight w:val="0"/>
      <w:marTop w:val="0"/>
      <w:marBottom w:val="0"/>
      <w:divBdr>
        <w:top w:val="none" w:sz="0" w:space="0" w:color="auto"/>
        <w:left w:val="none" w:sz="0" w:space="0" w:color="auto"/>
        <w:bottom w:val="none" w:sz="0" w:space="0" w:color="auto"/>
        <w:right w:val="none" w:sz="0" w:space="0" w:color="auto"/>
      </w:divBdr>
    </w:div>
    <w:div w:id="514540249">
      <w:bodyDiv w:val="1"/>
      <w:marLeft w:val="0"/>
      <w:marRight w:val="0"/>
      <w:marTop w:val="0"/>
      <w:marBottom w:val="0"/>
      <w:divBdr>
        <w:top w:val="none" w:sz="0" w:space="0" w:color="auto"/>
        <w:left w:val="none" w:sz="0" w:space="0" w:color="auto"/>
        <w:bottom w:val="none" w:sz="0" w:space="0" w:color="auto"/>
        <w:right w:val="none" w:sz="0" w:space="0" w:color="auto"/>
      </w:divBdr>
    </w:div>
    <w:div w:id="514613761">
      <w:bodyDiv w:val="1"/>
      <w:marLeft w:val="0"/>
      <w:marRight w:val="0"/>
      <w:marTop w:val="0"/>
      <w:marBottom w:val="0"/>
      <w:divBdr>
        <w:top w:val="none" w:sz="0" w:space="0" w:color="auto"/>
        <w:left w:val="none" w:sz="0" w:space="0" w:color="auto"/>
        <w:bottom w:val="none" w:sz="0" w:space="0" w:color="auto"/>
        <w:right w:val="none" w:sz="0" w:space="0" w:color="auto"/>
      </w:divBdr>
    </w:div>
    <w:div w:id="514661550">
      <w:bodyDiv w:val="1"/>
      <w:marLeft w:val="0"/>
      <w:marRight w:val="0"/>
      <w:marTop w:val="0"/>
      <w:marBottom w:val="0"/>
      <w:divBdr>
        <w:top w:val="none" w:sz="0" w:space="0" w:color="auto"/>
        <w:left w:val="none" w:sz="0" w:space="0" w:color="auto"/>
        <w:bottom w:val="none" w:sz="0" w:space="0" w:color="auto"/>
        <w:right w:val="none" w:sz="0" w:space="0" w:color="auto"/>
      </w:divBdr>
      <w:divsChild>
        <w:div w:id="2008166040">
          <w:marLeft w:val="0"/>
          <w:marRight w:val="0"/>
          <w:marTop w:val="27"/>
          <w:marBottom w:val="27"/>
          <w:divBdr>
            <w:top w:val="none" w:sz="0" w:space="0" w:color="auto"/>
            <w:left w:val="none" w:sz="0" w:space="0" w:color="auto"/>
            <w:bottom w:val="none" w:sz="0" w:space="0" w:color="auto"/>
            <w:right w:val="none" w:sz="0" w:space="0" w:color="auto"/>
          </w:divBdr>
        </w:div>
      </w:divsChild>
    </w:div>
    <w:div w:id="515273055">
      <w:bodyDiv w:val="1"/>
      <w:marLeft w:val="0"/>
      <w:marRight w:val="0"/>
      <w:marTop w:val="0"/>
      <w:marBottom w:val="0"/>
      <w:divBdr>
        <w:top w:val="none" w:sz="0" w:space="0" w:color="auto"/>
        <w:left w:val="none" w:sz="0" w:space="0" w:color="auto"/>
        <w:bottom w:val="none" w:sz="0" w:space="0" w:color="auto"/>
        <w:right w:val="none" w:sz="0" w:space="0" w:color="auto"/>
      </w:divBdr>
    </w:div>
    <w:div w:id="517089490">
      <w:bodyDiv w:val="1"/>
      <w:marLeft w:val="0"/>
      <w:marRight w:val="0"/>
      <w:marTop w:val="0"/>
      <w:marBottom w:val="0"/>
      <w:divBdr>
        <w:top w:val="none" w:sz="0" w:space="0" w:color="auto"/>
        <w:left w:val="none" w:sz="0" w:space="0" w:color="auto"/>
        <w:bottom w:val="none" w:sz="0" w:space="0" w:color="auto"/>
        <w:right w:val="none" w:sz="0" w:space="0" w:color="auto"/>
      </w:divBdr>
    </w:div>
    <w:div w:id="518547727">
      <w:bodyDiv w:val="1"/>
      <w:marLeft w:val="0"/>
      <w:marRight w:val="0"/>
      <w:marTop w:val="0"/>
      <w:marBottom w:val="0"/>
      <w:divBdr>
        <w:top w:val="none" w:sz="0" w:space="0" w:color="auto"/>
        <w:left w:val="none" w:sz="0" w:space="0" w:color="auto"/>
        <w:bottom w:val="none" w:sz="0" w:space="0" w:color="auto"/>
        <w:right w:val="none" w:sz="0" w:space="0" w:color="auto"/>
      </w:divBdr>
    </w:div>
    <w:div w:id="519123975">
      <w:bodyDiv w:val="1"/>
      <w:marLeft w:val="0"/>
      <w:marRight w:val="0"/>
      <w:marTop w:val="0"/>
      <w:marBottom w:val="0"/>
      <w:divBdr>
        <w:top w:val="none" w:sz="0" w:space="0" w:color="auto"/>
        <w:left w:val="none" w:sz="0" w:space="0" w:color="auto"/>
        <w:bottom w:val="none" w:sz="0" w:space="0" w:color="auto"/>
        <w:right w:val="none" w:sz="0" w:space="0" w:color="auto"/>
      </w:divBdr>
    </w:div>
    <w:div w:id="526066374">
      <w:bodyDiv w:val="1"/>
      <w:marLeft w:val="0"/>
      <w:marRight w:val="0"/>
      <w:marTop w:val="0"/>
      <w:marBottom w:val="0"/>
      <w:divBdr>
        <w:top w:val="none" w:sz="0" w:space="0" w:color="auto"/>
        <w:left w:val="none" w:sz="0" w:space="0" w:color="auto"/>
        <w:bottom w:val="none" w:sz="0" w:space="0" w:color="auto"/>
        <w:right w:val="none" w:sz="0" w:space="0" w:color="auto"/>
      </w:divBdr>
    </w:div>
    <w:div w:id="527449363">
      <w:bodyDiv w:val="1"/>
      <w:marLeft w:val="0"/>
      <w:marRight w:val="0"/>
      <w:marTop w:val="0"/>
      <w:marBottom w:val="0"/>
      <w:divBdr>
        <w:top w:val="none" w:sz="0" w:space="0" w:color="auto"/>
        <w:left w:val="none" w:sz="0" w:space="0" w:color="auto"/>
        <w:bottom w:val="none" w:sz="0" w:space="0" w:color="auto"/>
        <w:right w:val="none" w:sz="0" w:space="0" w:color="auto"/>
      </w:divBdr>
    </w:div>
    <w:div w:id="529412465">
      <w:bodyDiv w:val="1"/>
      <w:marLeft w:val="0"/>
      <w:marRight w:val="0"/>
      <w:marTop w:val="0"/>
      <w:marBottom w:val="0"/>
      <w:divBdr>
        <w:top w:val="none" w:sz="0" w:space="0" w:color="auto"/>
        <w:left w:val="none" w:sz="0" w:space="0" w:color="auto"/>
        <w:bottom w:val="none" w:sz="0" w:space="0" w:color="auto"/>
        <w:right w:val="none" w:sz="0" w:space="0" w:color="auto"/>
      </w:divBdr>
    </w:div>
    <w:div w:id="530925354">
      <w:bodyDiv w:val="1"/>
      <w:marLeft w:val="0"/>
      <w:marRight w:val="0"/>
      <w:marTop w:val="0"/>
      <w:marBottom w:val="0"/>
      <w:divBdr>
        <w:top w:val="none" w:sz="0" w:space="0" w:color="auto"/>
        <w:left w:val="none" w:sz="0" w:space="0" w:color="auto"/>
        <w:bottom w:val="none" w:sz="0" w:space="0" w:color="auto"/>
        <w:right w:val="none" w:sz="0" w:space="0" w:color="auto"/>
      </w:divBdr>
    </w:div>
    <w:div w:id="531043366">
      <w:bodyDiv w:val="1"/>
      <w:marLeft w:val="0"/>
      <w:marRight w:val="0"/>
      <w:marTop w:val="0"/>
      <w:marBottom w:val="0"/>
      <w:divBdr>
        <w:top w:val="none" w:sz="0" w:space="0" w:color="auto"/>
        <w:left w:val="none" w:sz="0" w:space="0" w:color="auto"/>
        <w:bottom w:val="none" w:sz="0" w:space="0" w:color="auto"/>
        <w:right w:val="none" w:sz="0" w:space="0" w:color="auto"/>
      </w:divBdr>
    </w:div>
    <w:div w:id="533615781">
      <w:bodyDiv w:val="1"/>
      <w:marLeft w:val="0"/>
      <w:marRight w:val="0"/>
      <w:marTop w:val="0"/>
      <w:marBottom w:val="0"/>
      <w:divBdr>
        <w:top w:val="none" w:sz="0" w:space="0" w:color="auto"/>
        <w:left w:val="none" w:sz="0" w:space="0" w:color="auto"/>
        <w:bottom w:val="none" w:sz="0" w:space="0" w:color="auto"/>
        <w:right w:val="none" w:sz="0" w:space="0" w:color="auto"/>
      </w:divBdr>
    </w:div>
    <w:div w:id="536891932">
      <w:bodyDiv w:val="1"/>
      <w:marLeft w:val="0"/>
      <w:marRight w:val="0"/>
      <w:marTop w:val="0"/>
      <w:marBottom w:val="0"/>
      <w:divBdr>
        <w:top w:val="none" w:sz="0" w:space="0" w:color="auto"/>
        <w:left w:val="none" w:sz="0" w:space="0" w:color="auto"/>
        <w:bottom w:val="none" w:sz="0" w:space="0" w:color="auto"/>
        <w:right w:val="none" w:sz="0" w:space="0" w:color="auto"/>
      </w:divBdr>
    </w:div>
    <w:div w:id="540480236">
      <w:bodyDiv w:val="1"/>
      <w:marLeft w:val="0"/>
      <w:marRight w:val="0"/>
      <w:marTop w:val="0"/>
      <w:marBottom w:val="0"/>
      <w:divBdr>
        <w:top w:val="none" w:sz="0" w:space="0" w:color="auto"/>
        <w:left w:val="none" w:sz="0" w:space="0" w:color="auto"/>
        <w:bottom w:val="none" w:sz="0" w:space="0" w:color="auto"/>
        <w:right w:val="none" w:sz="0" w:space="0" w:color="auto"/>
      </w:divBdr>
    </w:div>
    <w:div w:id="541556247">
      <w:bodyDiv w:val="1"/>
      <w:marLeft w:val="0"/>
      <w:marRight w:val="0"/>
      <w:marTop w:val="0"/>
      <w:marBottom w:val="0"/>
      <w:divBdr>
        <w:top w:val="none" w:sz="0" w:space="0" w:color="auto"/>
        <w:left w:val="none" w:sz="0" w:space="0" w:color="auto"/>
        <w:bottom w:val="none" w:sz="0" w:space="0" w:color="auto"/>
        <w:right w:val="none" w:sz="0" w:space="0" w:color="auto"/>
      </w:divBdr>
    </w:div>
    <w:div w:id="542982124">
      <w:bodyDiv w:val="1"/>
      <w:marLeft w:val="0"/>
      <w:marRight w:val="0"/>
      <w:marTop w:val="0"/>
      <w:marBottom w:val="0"/>
      <w:divBdr>
        <w:top w:val="none" w:sz="0" w:space="0" w:color="auto"/>
        <w:left w:val="none" w:sz="0" w:space="0" w:color="auto"/>
        <w:bottom w:val="none" w:sz="0" w:space="0" w:color="auto"/>
        <w:right w:val="none" w:sz="0" w:space="0" w:color="auto"/>
      </w:divBdr>
    </w:div>
    <w:div w:id="546645968">
      <w:bodyDiv w:val="1"/>
      <w:marLeft w:val="0"/>
      <w:marRight w:val="0"/>
      <w:marTop w:val="0"/>
      <w:marBottom w:val="0"/>
      <w:divBdr>
        <w:top w:val="none" w:sz="0" w:space="0" w:color="auto"/>
        <w:left w:val="none" w:sz="0" w:space="0" w:color="auto"/>
        <w:bottom w:val="none" w:sz="0" w:space="0" w:color="auto"/>
        <w:right w:val="none" w:sz="0" w:space="0" w:color="auto"/>
      </w:divBdr>
    </w:div>
    <w:div w:id="547768842">
      <w:bodyDiv w:val="1"/>
      <w:marLeft w:val="0"/>
      <w:marRight w:val="0"/>
      <w:marTop w:val="0"/>
      <w:marBottom w:val="0"/>
      <w:divBdr>
        <w:top w:val="none" w:sz="0" w:space="0" w:color="auto"/>
        <w:left w:val="none" w:sz="0" w:space="0" w:color="auto"/>
        <w:bottom w:val="none" w:sz="0" w:space="0" w:color="auto"/>
        <w:right w:val="none" w:sz="0" w:space="0" w:color="auto"/>
      </w:divBdr>
    </w:div>
    <w:div w:id="549534620">
      <w:bodyDiv w:val="1"/>
      <w:marLeft w:val="0"/>
      <w:marRight w:val="0"/>
      <w:marTop w:val="0"/>
      <w:marBottom w:val="0"/>
      <w:divBdr>
        <w:top w:val="none" w:sz="0" w:space="0" w:color="auto"/>
        <w:left w:val="none" w:sz="0" w:space="0" w:color="auto"/>
        <w:bottom w:val="none" w:sz="0" w:space="0" w:color="auto"/>
        <w:right w:val="none" w:sz="0" w:space="0" w:color="auto"/>
      </w:divBdr>
    </w:div>
    <w:div w:id="554053033">
      <w:bodyDiv w:val="1"/>
      <w:marLeft w:val="0"/>
      <w:marRight w:val="0"/>
      <w:marTop w:val="0"/>
      <w:marBottom w:val="0"/>
      <w:divBdr>
        <w:top w:val="none" w:sz="0" w:space="0" w:color="auto"/>
        <w:left w:val="none" w:sz="0" w:space="0" w:color="auto"/>
        <w:bottom w:val="none" w:sz="0" w:space="0" w:color="auto"/>
        <w:right w:val="none" w:sz="0" w:space="0" w:color="auto"/>
      </w:divBdr>
    </w:div>
    <w:div w:id="559558823">
      <w:bodyDiv w:val="1"/>
      <w:marLeft w:val="0"/>
      <w:marRight w:val="0"/>
      <w:marTop w:val="0"/>
      <w:marBottom w:val="0"/>
      <w:divBdr>
        <w:top w:val="none" w:sz="0" w:space="0" w:color="auto"/>
        <w:left w:val="none" w:sz="0" w:space="0" w:color="auto"/>
        <w:bottom w:val="none" w:sz="0" w:space="0" w:color="auto"/>
        <w:right w:val="none" w:sz="0" w:space="0" w:color="auto"/>
      </w:divBdr>
      <w:divsChild>
        <w:div w:id="674504103">
          <w:marLeft w:val="0"/>
          <w:marRight w:val="0"/>
          <w:marTop w:val="75"/>
          <w:marBottom w:val="75"/>
          <w:divBdr>
            <w:top w:val="none" w:sz="0" w:space="0" w:color="auto"/>
            <w:left w:val="none" w:sz="0" w:space="0" w:color="auto"/>
            <w:bottom w:val="none" w:sz="0" w:space="0" w:color="auto"/>
            <w:right w:val="none" w:sz="0" w:space="0" w:color="auto"/>
          </w:divBdr>
          <w:divsChild>
            <w:div w:id="1482884120">
              <w:marLeft w:val="0"/>
              <w:marRight w:val="0"/>
              <w:marTop w:val="180"/>
              <w:marBottom w:val="300"/>
              <w:divBdr>
                <w:top w:val="none" w:sz="0" w:space="0" w:color="auto"/>
                <w:left w:val="none" w:sz="0" w:space="0" w:color="auto"/>
                <w:bottom w:val="none" w:sz="0" w:space="0" w:color="auto"/>
                <w:right w:val="none" w:sz="0" w:space="0" w:color="auto"/>
              </w:divBdr>
              <w:divsChild>
                <w:div w:id="1254050510">
                  <w:marLeft w:val="0"/>
                  <w:marRight w:val="0"/>
                  <w:marTop w:val="0"/>
                  <w:marBottom w:val="0"/>
                  <w:divBdr>
                    <w:top w:val="none" w:sz="0" w:space="0" w:color="auto"/>
                    <w:left w:val="none" w:sz="0" w:space="0" w:color="auto"/>
                    <w:bottom w:val="none" w:sz="0" w:space="0" w:color="auto"/>
                    <w:right w:val="none" w:sz="0" w:space="0" w:color="auto"/>
                  </w:divBdr>
                  <w:divsChild>
                    <w:div w:id="787508023">
                      <w:marLeft w:val="0"/>
                      <w:marRight w:val="0"/>
                      <w:marTop w:val="0"/>
                      <w:marBottom w:val="150"/>
                      <w:divBdr>
                        <w:top w:val="none" w:sz="0" w:space="0" w:color="auto"/>
                        <w:left w:val="none" w:sz="0" w:space="0" w:color="auto"/>
                        <w:bottom w:val="none" w:sz="0" w:space="0" w:color="auto"/>
                        <w:right w:val="none" w:sz="0" w:space="0" w:color="auto"/>
                      </w:divBdr>
                    </w:div>
                    <w:div w:id="1125927182">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561251745">
      <w:bodyDiv w:val="1"/>
      <w:marLeft w:val="0"/>
      <w:marRight w:val="0"/>
      <w:marTop w:val="0"/>
      <w:marBottom w:val="0"/>
      <w:divBdr>
        <w:top w:val="none" w:sz="0" w:space="0" w:color="auto"/>
        <w:left w:val="none" w:sz="0" w:space="0" w:color="auto"/>
        <w:bottom w:val="none" w:sz="0" w:space="0" w:color="auto"/>
        <w:right w:val="none" w:sz="0" w:space="0" w:color="auto"/>
      </w:divBdr>
    </w:div>
    <w:div w:id="561989860">
      <w:bodyDiv w:val="1"/>
      <w:marLeft w:val="0"/>
      <w:marRight w:val="0"/>
      <w:marTop w:val="0"/>
      <w:marBottom w:val="0"/>
      <w:divBdr>
        <w:top w:val="none" w:sz="0" w:space="0" w:color="auto"/>
        <w:left w:val="none" w:sz="0" w:space="0" w:color="auto"/>
        <w:bottom w:val="none" w:sz="0" w:space="0" w:color="auto"/>
        <w:right w:val="none" w:sz="0" w:space="0" w:color="auto"/>
      </w:divBdr>
      <w:divsChild>
        <w:div w:id="456880087">
          <w:marLeft w:val="0"/>
          <w:marRight w:val="0"/>
          <w:marTop w:val="0"/>
          <w:marBottom w:val="0"/>
          <w:divBdr>
            <w:top w:val="none" w:sz="0" w:space="0" w:color="auto"/>
            <w:left w:val="none" w:sz="0" w:space="0" w:color="auto"/>
            <w:bottom w:val="none" w:sz="0" w:space="0" w:color="auto"/>
            <w:right w:val="none" w:sz="0" w:space="0" w:color="auto"/>
          </w:divBdr>
        </w:div>
      </w:divsChild>
    </w:div>
    <w:div w:id="564219104">
      <w:bodyDiv w:val="1"/>
      <w:marLeft w:val="0"/>
      <w:marRight w:val="0"/>
      <w:marTop w:val="0"/>
      <w:marBottom w:val="0"/>
      <w:divBdr>
        <w:top w:val="none" w:sz="0" w:space="0" w:color="auto"/>
        <w:left w:val="none" w:sz="0" w:space="0" w:color="auto"/>
        <w:bottom w:val="none" w:sz="0" w:space="0" w:color="auto"/>
        <w:right w:val="none" w:sz="0" w:space="0" w:color="auto"/>
      </w:divBdr>
    </w:div>
    <w:div w:id="564798849">
      <w:bodyDiv w:val="1"/>
      <w:marLeft w:val="0"/>
      <w:marRight w:val="0"/>
      <w:marTop w:val="0"/>
      <w:marBottom w:val="0"/>
      <w:divBdr>
        <w:top w:val="none" w:sz="0" w:space="0" w:color="auto"/>
        <w:left w:val="none" w:sz="0" w:space="0" w:color="auto"/>
        <w:bottom w:val="none" w:sz="0" w:space="0" w:color="auto"/>
        <w:right w:val="none" w:sz="0" w:space="0" w:color="auto"/>
      </w:divBdr>
    </w:div>
    <w:div w:id="566722036">
      <w:bodyDiv w:val="1"/>
      <w:marLeft w:val="0"/>
      <w:marRight w:val="0"/>
      <w:marTop w:val="0"/>
      <w:marBottom w:val="0"/>
      <w:divBdr>
        <w:top w:val="none" w:sz="0" w:space="0" w:color="auto"/>
        <w:left w:val="none" w:sz="0" w:space="0" w:color="auto"/>
        <w:bottom w:val="none" w:sz="0" w:space="0" w:color="auto"/>
        <w:right w:val="none" w:sz="0" w:space="0" w:color="auto"/>
      </w:divBdr>
    </w:div>
    <w:div w:id="567109634">
      <w:bodyDiv w:val="1"/>
      <w:marLeft w:val="0"/>
      <w:marRight w:val="0"/>
      <w:marTop w:val="0"/>
      <w:marBottom w:val="0"/>
      <w:divBdr>
        <w:top w:val="none" w:sz="0" w:space="0" w:color="auto"/>
        <w:left w:val="none" w:sz="0" w:space="0" w:color="auto"/>
        <w:bottom w:val="none" w:sz="0" w:space="0" w:color="auto"/>
        <w:right w:val="none" w:sz="0" w:space="0" w:color="auto"/>
      </w:divBdr>
    </w:div>
    <w:div w:id="568922559">
      <w:bodyDiv w:val="1"/>
      <w:marLeft w:val="0"/>
      <w:marRight w:val="0"/>
      <w:marTop w:val="0"/>
      <w:marBottom w:val="0"/>
      <w:divBdr>
        <w:top w:val="none" w:sz="0" w:space="0" w:color="auto"/>
        <w:left w:val="none" w:sz="0" w:space="0" w:color="auto"/>
        <w:bottom w:val="none" w:sz="0" w:space="0" w:color="auto"/>
        <w:right w:val="none" w:sz="0" w:space="0" w:color="auto"/>
      </w:divBdr>
    </w:div>
    <w:div w:id="570121619">
      <w:bodyDiv w:val="1"/>
      <w:marLeft w:val="0"/>
      <w:marRight w:val="0"/>
      <w:marTop w:val="0"/>
      <w:marBottom w:val="0"/>
      <w:divBdr>
        <w:top w:val="none" w:sz="0" w:space="0" w:color="auto"/>
        <w:left w:val="none" w:sz="0" w:space="0" w:color="auto"/>
        <w:bottom w:val="none" w:sz="0" w:space="0" w:color="auto"/>
        <w:right w:val="none" w:sz="0" w:space="0" w:color="auto"/>
      </w:divBdr>
    </w:div>
    <w:div w:id="570502450">
      <w:bodyDiv w:val="1"/>
      <w:marLeft w:val="0"/>
      <w:marRight w:val="0"/>
      <w:marTop w:val="0"/>
      <w:marBottom w:val="0"/>
      <w:divBdr>
        <w:top w:val="none" w:sz="0" w:space="0" w:color="auto"/>
        <w:left w:val="none" w:sz="0" w:space="0" w:color="auto"/>
        <w:bottom w:val="none" w:sz="0" w:space="0" w:color="auto"/>
        <w:right w:val="none" w:sz="0" w:space="0" w:color="auto"/>
      </w:divBdr>
    </w:div>
    <w:div w:id="571697737">
      <w:bodyDiv w:val="1"/>
      <w:marLeft w:val="0"/>
      <w:marRight w:val="0"/>
      <w:marTop w:val="0"/>
      <w:marBottom w:val="0"/>
      <w:divBdr>
        <w:top w:val="none" w:sz="0" w:space="0" w:color="auto"/>
        <w:left w:val="none" w:sz="0" w:space="0" w:color="auto"/>
        <w:bottom w:val="none" w:sz="0" w:space="0" w:color="auto"/>
        <w:right w:val="none" w:sz="0" w:space="0" w:color="auto"/>
      </w:divBdr>
    </w:div>
    <w:div w:id="572155779">
      <w:bodyDiv w:val="1"/>
      <w:marLeft w:val="0"/>
      <w:marRight w:val="0"/>
      <w:marTop w:val="0"/>
      <w:marBottom w:val="0"/>
      <w:divBdr>
        <w:top w:val="none" w:sz="0" w:space="0" w:color="auto"/>
        <w:left w:val="none" w:sz="0" w:space="0" w:color="auto"/>
        <w:bottom w:val="none" w:sz="0" w:space="0" w:color="auto"/>
        <w:right w:val="none" w:sz="0" w:space="0" w:color="auto"/>
      </w:divBdr>
    </w:div>
    <w:div w:id="572855796">
      <w:bodyDiv w:val="1"/>
      <w:marLeft w:val="0"/>
      <w:marRight w:val="0"/>
      <w:marTop w:val="0"/>
      <w:marBottom w:val="0"/>
      <w:divBdr>
        <w:top w:val="none" w:sz="0" w:space="0" w:color="auto"/>
        <w:left w:val="none" w:sz="0" w:space="0" w:color="auto"/>
        <w:bottom w:val="none" w:sz="0" w:space="0" w:color="auto"/>
        <w:right w:val="none" w:sz="0" w:space="0" w:color="auto"/>
      </w:divBdr>
    </w:div>
    <w:div w:id="576478258">
      <w:bodyDiv w:val="1"/>
      <w:marLeft w:val="0"/>
      <w:marRight w:val="0"/>
      <w:marTop w:val="0"/>
      <w:marBottom w:val="0"/>
      <w:divBdr>
        <w:top w:val="none" w:sz="0" w:space="0" w:color="auto"/>
        <w:left w:val="none" w:sz="0" w:space="0" w:color="auto"/>
        <w:bottom w:val="none" w:sz="0" w:space="0" w:color="auto"/>
        <w:right w:val="none" w:sz="0" w:space="0" w:color="auto"/>
      </w:divBdr>
    </w:div>
    <w:div w:id="577595774">
      <w:bodyDiv w:val="1"/>
      <w:marLeft w:val="0"/>
      <w:marRight w:val="0"/>
      <w:marTop w:val="0"/>
      <w:marBottom w:val="0"/>
      <w:divBdr>
        <w:top w:val="none" w:sz="0" w:space="0" w:color="auto"/>
        <w:left w:val="none" w:sz="0" w:space="0" w:color="auto"/>
        <w:bottom w:val="none" w:sz="0" w:space="0" w:color="auto"/>
        <w:right w:val="none" w:sz="0" w:space="0" w:color="auto"/>
      </w:divBdr>
    </w:div>
    <w:div w:id="582031815">
      <w:bodyDiv w:val="1"/>
      <w:marLeft w:val="0"/>
      <w:marRight w:val="0"/>
      <w:marTop w:val="0"/>
      <w:marBottom w:val="0"/>
      <w:divBdr>
        <w:top w:val="none" w:sz="0" w:space="0" w:color="auto"/>
        <w:left w:val="none" w:sz="0" w:space="0" w:color="auto"/>
        <w:bottom w:val="none" w:sz="0" w:space="0" w:color="auto"/>
        <w:right w:val="none" w:sz="0" w:space="0" w:color="auto"/>
      </w:divBdr>
    </w:div>
    <w:div w:id="582834259">
      <w:bodyDiv w:val="1"/>
      <w:marLeft w:val="0"/>
      <w:marRight w:val="0"/>
      <w:marTop w:val="0"/>
      <w:marBottom w:val="0"/>
      <w:divBdr>
        <w:top w:val="none" w:sz="0" w:space="0" w:color="auto"/>
        <w:left w:val="none" w:sz="0" w:space="0" w:color="auto"/>
        <w:bottom w:val="none" w:sz="0" w:space="0" w:color="auto"/>
        <w:right w:val="none" w:sz="0" w:space="0" w:color="auto"/>
      </w:divBdr>
    </w:div>
    <w:div w:id="583415901">
      <w:bodyDiv w:val="1"/>
      <w:marLeft w:val="0"/>
      <w:marRight w:val="0"/>
      <w:marTop w:val="0"/>
      <w:marBottom w:val="0"/>
      <w:divBdr>
        <w:top w:val="none" w:sz="0" w:space="0" w:color="auto"/>
        <w:left w:val="none" w:sz="0" w:space="0" w:color="auto"/>
        <w:bottom w:val="none" w:sz="0" w:space="0" w:color="auto"/>
        <w:right w:val="none" w:sz="0" w:space="0" w:color="auto"/>
      </w:divBdr>
    </w:div>
    <w:div w:id="584416742">
      <w:bodyDiv w:val="1"/>
      <w:marLeft w:val="0"/>
      <w:marRight w:val="0"/>
      <w:marTop w:val="0"/>
      <w:marBottom w:val="0"/>
      <w:divBdr>
        <w:top w:val="none" w:sz="0" w:space="0" w:color="auto"/>
        <w:left w:val="none" w:sz="0" w:space="0" w:color="auto"/>
        <w:bottom w:val="none" w:sz="0" w:space="0" w:color="auto"/>
        <w:right w:val="none" w:sz="0" w:space="0" w:color="auto"/>
      </w:divBdr>
    </w:div>
    <w:div w:id="584925951">
      <w:bodyDiv w:val="1"/>
      <w:marLeft w:val="0"/>
      <w:marRight w:val="0"/>
      <w:marTop w:val="0"/>
      <w:marBottom w:val="0"/>
      <w:divBdr>
        <w:top w:val="none" w:sz="0" w:space="0" w:color="auto"/>
        <w:left w:val="none" w:sz="0" w:space="0" w:color="auto"/>
        <w:bottom w:val="none" w:sz="0" w:space="0" w:color="auto"/>
        <w:right w:val="none" w:sz="0" w:space="0" w:color="auto"/>
      </w:divBdr>
    </w:div>
    <w:div w:id="586617065">
      <w:bodyDiv w:val="1"/>
      <w:marLeft w:val="0"/>
      <w:marRight w:val="0"/>
      <w:marTop w:val="0"/>
      <w:marBottom w:val="0"/>
      <w:divBdr>
        <w:top w:val="none" w:sz="0" w:space="0" w:color="auto"/>
        <w:left w:val="none" w:sz="0" w:space="0" w:color="auto"/>
        <w:bottom w:val="none" w:sz="0" w:space="0" w:color="auto"/>
        <w:right w:val="none" w:sz="0" w:space="0" w:color="auto"/>
      </w:divBdr>
    </w:div>
    <w:div w:id="589125877">
      <w:bodyDiv w:val="1"/>
      <w:marLeft w:val="0"/>
      <w:marRight w:val="0"/>
      <w:marTop w:val="0"/>
      <w:marBottom w:val="0"/>
      <w:divBdr>
        <w:top w:val="none" w:sz="0" w:space="0" w:color="auto"/>
        <w:left w:val="none" w:sz="0" w:space="0" w:color="auto"/>
        <w:bottom w:val="none" w:sz="0" w:space="0" w:color="auto"/>
        <w:right w:val="none" w:sz="0" w:space="0" w:color="auto"/>
      </w:divBdr>
    </w:div>
    <w:div w:id="589703958">
      <w:bodyDiv w:val="1"/>
      <w:marLeft w:val="0"/>
      <w:marRight w:val="0"/>
      <w:marTop w:val="0"/>
      <w:marBottom w:val="0"/>
      <w:divBdr>
        <w:top w:val="none" w:sz="0" w:space="0" w:color="auto"/>
        <w:left w:val="none" w:sz="0" w:space="0" w:color="auto"/>
        <w:bottom w:val="none" w:sz="0" w:space="0" w:color="auto"/>
        <w:right w:val="none" w:sz="0" w:space="0" w:color="auto"/>
      </w:divBdr>
    </w:div>
    <w:div w:id="591357087">
      <w:bodyDiv w:val="1"/>
      <w:marLeft w:val="0"/>
      <w:marRight w:val="0"/>
      <w:marTop w:val="0"/>
      <w:marBottom w:val="0"/>
      <w:divBdr>
        <w:top w:val="none" w:sz="0" w:space="0" w:color="auto"/>
        <w:left w:val="none" w:sz="0" w:space="0" w:color="auto"/>
        <w:bottom w:val="none" w:sz="0" w:space="0" w:color="auto"/>
        <w:right w:val="none" w:sz="0" w:space="0" w:color="auto"/>
      </w:divBdr>
    </w:div>
    <w:div w:id="591671602">
      <w:bodyDiv w:val="1"/>
      <w:marLeft w:val="0"/>
      <w:marRight w:val="0"/>
      <w:marTop w:val="0"/>
      <w:marBottom w:val="0"/>
      <w:divBdr>
        <w:top w:val="none" w:sz="0" w:space="0" w:color="auto"/>
        <w:left w:val="none" w:sz="0" w:space="0" w:color="auto"/>
        <w:bottom w:val="none" w:sz="0" w:space="0" w:color="auto"/>
        <w:right w:val="none" w:sz="0" w:space="0" w:color="auto"/>
      </w:divBdr>
    </w:div>
    <w:div w:id="599684312">
      <w:bodyDiv w:val="1"/>
      <w:marLeft w:val="0"/>
      <w:marRight w:val="0"/>
      <w:marTop w:val="0"/>
      <w:marBottom w:val="0"/>
      <w:divBdr>
        <w:top w:val="none" w:sz="0" w:space="0" w:color="auto"/>
        <w:left w:val="none" w:sz="0" w:space="0" w:color="auto"/>
        <w:bottom w:val="none" w:sz="0" w:space="0" w:color="auto"/>
        <w:right w:val="none" w:sz="0" w:space="0" w:color="auto"/>
      </w:divBdr>
    </w:div>
    <w:div w:id="605507255">
      <w:bodyDiv w:val="1"/>
      <w:marLeft w:val="0"/>
      <w:marRight w:val="0"/>
      <w:marTop w:val="0"/>
      <w:marBottom w:val="0"/>
      <w:divBdr>
        <w:top w:val="none" w:sz="0" w:space="0" w:color="auto"/>
        <w:left w:val="none" w:sz="0" w:space="0" w:color="auto"/>
        <w:bottom w:val="none" w:sz="0" w:space="0" w:color="auto"/>
        <w:right w:val="none" w:sz="0" w:space="0" w:color="auto"/>
      </w:divBdr>
    </w:div>
    <w:div w:id="606497793">
      <w:bodyDiv w:val="1"/>
      <w:marLeft w:val="0"/>
      <w:marRight w:val="0"/>
      <w:marTop w:val="0"/>
      <w:marBottom w:val="0"/>
      <w:divBdr>
        <w:top w:val="none" w:sz="0" w:space="0" w:color="auto"/>
        <w:left w:val="none" w:sz="0" w:space="0" w:color="auto"/>
        <w:bottom w:val="none" w:sz="0" w:space="0" w:color="auto"/>
        <w:right w:val="none" w:sz="0" w:space="0" w:color="auto"/>
      </w:divBdr>
    </w:div>
    <w:div w:id="606737172">
      <w:bodyDiv w:val="1"/>
      <w:marLeft w:val="0"/>
      <w:marRight w:val="0"/>
      <w:marTop w:val="0"/>
      <w:marBottom w:val="0"/>
      <w:divBdr>
        <w:top w:val="none" w:sz="0" w:space="0" w:color="auto"/>
        <w:left w:val="none" w:sz="0" w:space="0" w:color="auto"/>
        <w:bottom w:val="none" w:sz="0" w:space="0" w:color="auto"/>
        <w:right w:val="none" w:sz="0" w:space="0" w:color="auto"/>
      </w:divBdr>
    </w:div>
    <w:div w:id="608701383">
      <w:bodyDiv w:val="1"/>
      <w:marLeft w:val="0"/>
      <w:marRight w:val="0"/>
      <w:marTop w:val="0"/>
      <w:marBottom w:val="0"/>
      <w:divBdr>
        <w:top w:val="none" w:sz="0" w:space="0" w:color="auto"/>
        <w:left w:val="none" w:sz="0" w:space="0" w:color="auto"/>
        <w:bottom w:val="none" w:sz="0" w:space="0" w:color="auto"/>
        <w:right w:val="none" w:sz="0" w:space="0" w:color="auto"/>
      </w:divBdr>
    </w:div>
    <w:div w:id="610286207">
      <w:bodyDiv w:val="1"/>
      <w:marLeft w:val="0"/>
      <w:marRight w:val="0"/>
      <w:marTop w:val="0"/>
      <w:marBottom w:val="0"/>
      <w:divBdr>
        <w:top w:val="none" w:sz="0" w:space="0" w:color="auto"/>
        <w:left w:val="none" w:sz="0" w:space="0" w:color="auto"/>
        <w:bottom w:val="none" w:sz="0" w:space="0" w:color="auto"/>
        <w:right w:val="none" w:sz="0" w:space="0" w:color="auto"/>
      </w:divBdr>
    </w:div>
    <w:div w:id="611328740">
      <w:bodyDiv w:val="1"/>
      <w:marLeft w:val="0"/>
      <w:marRight w:val="0"/>
      <w:marTop w:val="0"/>
      <w:marBottom w:val="0"/>
      <w:divBdr>
        <w:top w:val="none" w:sz="0" w:space="0" w:color="auto"/>
        <w:left w:val="none" w:sz="0" w:space="0" w:color="auto"/>
        <w:bottom w:val="none" w:sz="0" w:space="0" w:color="auto"/>
        <w:right w:val="none" w:sz="0" w:space="0" w:color="auto"/>
      </w:divBdr>
    </w:div>
    <w:div w:id="612830773">
      <w:bodyDiv w:val="1"/>
      <w:marLeft w:val="0"/>
      <w:marRight w:val="0"/>
      <w:marTop w:val="0"/>
      <w:marBottom w:val="0"/>
      <w:divBdr>
        <w:top w:val="none" w:sz="0" w:space="0" w:color="auto"/>
        <w:left w:val="none" w:sz="0" w:space="0" w:color="auto"/>
        <w:bottom w:val="none" w:sz="0" w:space="0" w:color="auto"/>
        <w:right w:val="none" w:sz="0" w:space="0" w:color="auto"/>
      </w:divBdr>
    </w:div>
    <w:div w:id="615722739">
      <w:bodyDiv w:val="1"/>
      <w:marLeft w:val="0"/>
      <w:marRight w:val="0"/>
      <w:marTop w:val="0"/>
      <w:marBottom w:val="0"/>
      <w:divBdr>
        <w:top w:val="none" w:sz="0" w:space="0" w:color="auto"/>
        <w:left w:val="none" w:sz="0" w:space="0" w:color="auto"/>
        <w:bottom w:val="none" w:sz="0" w:space="0" w:color="auto"/>
        <w:right w:val="none" w:sz="0" w:space="0" w:color="auto"/>
      </w:divBdr>
    </w:div>
    <w:div w:id="615988776">
      <w:bodyDiv w:val="1"/>
      <w:marLeft w:val="0"/>
      <w:marRight w:val="0"/>
      <w:marTop w:val="0"/>
      <w:marBottom w:val="0"/>
      <w:divBdr>
        <w:top w:val="none" w:sz="0" w:space="0" w:color="auto"/>
        <w:left w:val="none" w:sz="0" w:space="0" w:color="auto"/>
        <w:bottom w:val="none" w:sz="0" w:space="0" w:color="auto"/>
        <w:right w:val="none" w:sz="0" w:space="0" w:color="auto"/>
      </w:divBdr>
    </w:div>
    <w:div w:id="617681063">
      <w:bodyDiv w:val="1"/>
      <w:marLeft w:val="0"/>
      <w:marRight w:val="0"/>
      <w:marTop w:val="0"/>
      <w:marBottom w:val="0"/>
      <w:divBdr>
        <w:top w:val="none" w:sz="0" w:space="0" w:color="auto"/>
        <w:left w:val="none" w:sz="0" w:space="0" w:color="auto"/>
        <w:bottom w:val="none" w:sz="0" w:space="0" w:color="auto"/>
        <w:right w:val="none" w:sz="0" w:space="0" w:color="auto"/>
      </w:divBdr>
    </w:div>
    <w:div w:id="619578203">
      <w:bodyDiv w:val="1"/>
      <w:marLeft w:val="0"/>
      <w:marRight w:val="0"/>
      <w:marTop w:val="0"/>
      <w:marBottom w:val="0"/>
      <w:divBdr>
        <w:top w:val="none" w:sz="0" w:space="0" w:color="auto"/>
        <w:left w:val="none" w:sz="0" w:space="0" w:color="auto"/>
        <w:bottom w:val="none" w:sz="0" w:space="0" w:color="auto"/>
        <w:right w:val="none" w:sz="0" w:space="0" w:color="auto"/>
      </w:divBdr>
    </w:div>
    <w:div w:id="624578087">
      <w:bodyDiv w:val="1"/>
      <w:marLeft w:val="0"/>
      <w:marRight w:val="0"/>
      <w:marTop w:val="0"/>
      <w:marBottom w:val="0"/>
      <w:divBdr>
        <w:top w:val="none" w:sz="0" w:space="0" w:color="auto"/>
        <w:left w:val="none" w:sz="0" w:space="0" w:color="auto"/>
        <w:bottom w:val="none" w:sz="0" w:space="0" w:color="auto"/>
        <w:right w:val="none" w:sz="0" w:space="0" w:color="auto"/>
      </w:divBdr>
    </w:div>
    <w:div w:id="626812176">
      <w:bodyDiv w:val="1"/>
      <w:marLeft w:val="0"/>
      <w:marRight w:val="0"/>
      <w:marTop w:val="0"/>
      <w:marBottom w:val="0"/>
      <w:divBdr>
        <w:top w:val="none" w:sz="0" w:space="0" w:color="auto"/>
        <w:left w:val="none" w:sz="0" w:space="0" w:color="auto"/>
        <w:bottom w:val="none" w:sz="0" w:space="0" w:color="auto"/>
        <w:right w:val="none" w:sz="0" w:space="0" w:color="auto"/>
      </w:divBdr>
    </w:div>
    <w:div w:id="628170876">
      <w:bodyDiv w:val="1"/>
      <w:marLeft w:val="0"/>
      <w:marRight w:val="0"/>
      <w:marTop w:val="0"/>
      <w:marBottom w:val="0"/>
      <w:divBdr>
        <w:top w:val="none" w:sz="0" w:space="0" w:color="auto"/>
        <w:left w:val="none" w:sz="0" w:space="0" w:color="auto"/>
        <w:bottom w:val="none" w:sz="0" w:space="0" w:color="auto"/>
        <w:right w:val="none" w:sz="0" w:space="0" w:color="auto"/>
      </w:divBdr>
    </w:div>
    <w:div w:id="628635136">
      <w:bodyDiv w:val="1"/>
      <w:marLeft w:val="0"/>
      <w:marRight w:val="0"/>
      <w:marTop w:val="0"/>
      <w:marBottom w:val="0"/>
      <w:divBdr>
        <w:top w:val="none" w:sz="0" w:space="0" w:color="auto"/>
        <w:left w:val="none" w:sz="0" w:space="0" w:color="auto"/>
        <w:bottom w:val="none" w:sz="0" w:space="0" w:color="auto"/>
        <w:right w:val="none" w:sz="0" w:space="0" w:color="auto"/>
      </w:divBdr>
    </w:div>
    <w:div w:id="630212904">
      <w:bodyDiv w:val="1"/>
      <w:marLeft w:val="0"/>
      <w:marRight w:val="0"/>
      <w:marTop w:val="0"/>
      <w:marBottom w:val="0"/>
      <w:divBdr>
        <w:top w:val="none" w:sz="0" w:space="0" w:color="auto"/>
        <w:left w:val="none" w:sz="0" w:space="0" w:color="auto"/>
        <w:bottom w:val="none" w:sz="0" w:space="0" w:color="auto"/>
        <w:right w:val="none" w:sz="0" w:space="0" w:color="auto"/>
      </w:divBdr>
    </w:div>
    <w:div w:id="630944545">
      <w:bodyDiv w:val="1"/>
      <w:marLeft w:val="0"/>
      <w:marRight w:val="0"/>
      <w:marTop w:val="0"/>
      <w:marBottom w:val="0"/>
      <w:divBdr>
        <w:top w:val="none" w:sz="0" w:space="0" w:color="auto"/>
        <w:left w:val="none" w:sz="0" w:space="0" w:color="auto"/>
        <w:bottom w:val="none" w:sz="0" w:space="0" w:color="auto"/>
        <w:right w:val="none" w:sz="0" w:space="0" w:color="auto"/>
      </w:divBdr>
    </w:div>
    <w:div w:id="631136045">
      <w:bodyDiv w:val="1"/>
      <w:marLeft w:val="0"/>
      <w:marRight w:val="0"/>
      <w:marTop w:val="0"/>
      <w:marBottom w:val="0"/>
      <w:divBdr>
        <w:top w:val="none" w:sz="0" w:space="0" w:color="auto"/>
        <w:left w:val="none" w:sz="0" w:space="0" w:color="auto"/>
        <w:bottom w:val="none" w:sz="0" w:space="0" w:color="auto"/>
        <w:right w:val="none" w:sz="0" w:space="0" w:color="auto"/>
      </w:divBdr>
    </w:div>
    <w:div w:id="633485797">
      <w:bodyDiv w:val="1"/>
      <w:marLeft w:val="0"/>
      <w:marRight w:val="0"/>
      <w:marTop w:val="0"/>
      <w:marBottom w:val="0"/>
      <w:divBdr>
        <w:top w:val="none" w:sz="0" w:space="0" w:color="auto"/>
        <w:left w:val="none" w:sz="0" w:space="0" w:color="auto"/>
        <w:bottom w:val="none" w:sz="0" w:space="0" w:color="auto"/>
        <w:right w:val="none" w:sz="0" w:space="0" w:color="auto"/>
      </w:divBdr>
    </w:div>
    <w:div w:id="633759467">
      <w:bodyDiv w:val="1"/>
      <w:marLeft w:val="0"/>
      <w:marRight w:val="0"/>
      <w:marTop w:val="0"/>
      <w:marBottom w:val="0"/>
      <w:divBdr>
        <w:top w:val="none" w:sz="0" w:space="0" w:color="auto"/>
        <w:left w:val="none" w:sz="0" w:space="0" w:color="auto"/>
        <w:bottom w:val="none" w:sz="0" w:space="0" w:color="auto"/>
        <w:right w:val="none" w:sz="0" w:space="0" w:color="auto"/>
      </w:divBdr>
    </w:div>
    <w:div w:id="635531689">
      <w:bodyDiv w:val="1"/>
      <w:marLeft w:val="0"/>
      <w:marRight w:val="0"/>
      <w:marTop w:val="0"/>
      <w:marBottom w:val="0"/>
      <w:divBdr>
        <w:top w:val="none" w:sz="0" w:space="0" w:color="auto"/>
        <w:left w:val="none" w:sz="0" w:space="0" w:color="auto"/>
        <w:bottom w:val="none" w:sz="0" w:space="0" w:color="auto"/>
        <w:right w:val="none" w:sz="0" w:space="0" w:color="auto"/>
      </w:divBdr>
    </w:div>
    <w:div w:id="635719368">
      <w:bodyDiv w:val="1"/>
      <w:marLeft w:val="0"/>
      <w:marRight w:val="0"/>
      <w:marTop w:val="0"/>
      <w:marBottom w:val="0"/>
      <w:divBdr>
        <w:top w:val="none" w:sz="0" w:space="0" w:color="auto"/>
        <w:left w:val="none" w:sz="0" w:space="0" w:color="auto"/>
        <w:bottom w:val="none" w:sz="0" w:space="0" w:color="auto"/>
        <w:right w:val="none" w:sz="0" w:space="0" w:color="auto"/>
      </w:divBdr>
    </w:div>
    <w:div w:id="638076912">
      <w:bodyDiv w:val="1"/>
      <w:marLeft w:val="0"/>
      <w:marRight w:val="0"/>
      <w:marTop w:val="0"/>
      <w:marBottom w:val="0"/>
      <w:divBdr>
        <w:top w:val="none" w:sz="0" w:space="0" w:color="auto"/>
        <w:left w:val="none" w:sz="0" w:space="0" w:color="auto"/>
        <w:bottom w:val="none" w:sz="0" w:space="0" w:color="auto"/>
        <w:right w:val="none" w:sz="0" w:space="0" w:color="auto"/>
      </w:divBdr>
    </w:div>
    <w:div w:id="642347259">
      <w:bodyDiv w:val="1"/>
      <w:marLeft w:val="0"/>
      <w:marRight w:val="0"/>
      <w:marTop w:val="0"/>
      <w:marBottom w:val="0"/>
      <w:divBdr>
        <w:top w:val="none" w:sz="0" w:space="0" w:color="auto"/>
        <w:left w:val="none" w:sz="0" w:space="0" w:color="auto"/>
        <w:bottom w:val="none" w:sz="0" w:space="0" w:color="auto"/>
        <w:right w:val="none" w:sz="0" w:space="0" w:color="auto"/>
      </w:divBdr>
    </w:div>
    <w:div w:id="647591313">
      <w:bodyDiv w:val="1"/>
      <w:marLeft w:val="0"/>
      <w:marRight w:val="0"/>
      <w:marTop w:val="0"/>
      <w:marBottom w:val="0"/>
      <w:divBdr>
        <w:top w:val="none" w:sz="0" w:space="0" w:color="auto"/>
        <w:left w:val="none" w:sz="0" w:space="0" w:color="auto"/>
        <w:bottom w:val="none" w:sz="0" w:space="0" w:color="auto"/>
        <w:right w:val="none" w:sz="0" w:space="0" w:color="auto"/>
      </w:divBdr>
    </w:div>
    <w:div w:id="648364404">
      <w:bodyDiv w:val="1"/>
      <w:marLeft w:val="0"/>
      <w:marRight w:val="0"/>
      <w:marTop w:val="0"/>
      <w:marBottom w:val="0"/>
      <w:divBdr>
        <w:top w:val="none" w:sz="0" w:space="0" w:color="auto"/>
        <w:left w:val="none" w:sz="0" w:space="0" w:color="auto"/>
        <w:bottom w:val="none" w:sz="0" w:space="0" w:color="auto"/>
        <w:right w:val="none" w:sz="0" w:space="0" w:color="auto"/>
      </w:divBdr>
    </w:div>
    <w:div w:id="651059924">
      <w:bodyDiv w:val="1"/>
      <w:marLeft w:val="0"/>
      <w:marRight w:val="0"/>
      <w:marTop w:val="0"/>
      <w:marBottom w:val="0"/>
      <w:divBdr>
        <w:top w:val="none" w:sz="0" w:space="0" w:color="auto"/>
        <w:left w:val="none" w:sz="0" w:space="0" w:color="auto"/>
        <w:bottom w:val="none" w:sz="0" w:space="0" w:color="auto"/>
        <w:right w:val="none" w:sz="0" w:space="0" w:color="auto"/>
      </w:divBdr>
    </w:div>
    <w:div w:id="652565443">
      <w:bodyDiv w:val="1"/>
      <w:marLeft w:val="0"/>
      <w:marRight w:val="0"/>
      <w:marTop w:val="0"/>
      <w:marBottom w:val="0"/>
      <w:divBdr>
        <w:top w:val="none" w:sz="0" w:space="0" w:color="auto"/>
        <w:left w:val="none" w:sz="0" w:space="0" w:color="auto"/>
        <w:bottom w:val="none" w:sz="0" w:space="0" w:color="auto"/>
        <w:right w:val="none" w:sz="0" w:space="0" w:color="auto"/>
      </w:divBdr>
    </w:div>
    <w:div w:id="653292724">
      <w:bodyDiv w:val="1"/>
      <w:marLeft w:val="0"/>
      <w:marRight w:val="0"/>
      <w:marTop w:val="0"/>
      <w:marBottom w:val="0"/>
      <w:divBdr>
        <w:top w:val="none" w:sz="0" w:space="0" w:color="auto"/>
        <w:left w:val="none" w:sz="0" w:space="0" w:color="auto"/>
        <w:bottom w:val="none" w:sz="0" w:space="0" w:color="auto"/>
        <w:right w:val="none" w:sz="0" w:space="0" w:color="auto"/>
      </w:divBdr>
    </w:div>
    <w:div w:id="654377016">
      <w:bodyDiv w:val="1"/>
      <w:marLeft w:val="0"/>
      <w:marRight w:val="0"/>
      <w:marTop w:val="0"/>
      <w:marBottom w:val="0"/>
      <w:divBdr>
        <w:top w:val="none" w:sz="0" w:space="0" w:color="auto"/>
        <w:left w:val="none" w:sz="0" w:space="0" w:color="auto"/>
        <w:bottom w:val="none" w:sz="0" w:space="0" w:color="auto"/>
        <w:right w:val="none" w:sz="0" w:space="0" w:color="auto"/>
      </w:divBdr>
    </w:div>
    <w:div w:id="654723657">
      <w:bodyDiv w:val="1"/>
      <w:marLeft w:val="0"/>
      <w:marRight w:val="0"/>
      <w:marTop w:val="0"/>
      <w:marBottom w:val="0"/>
      <w:divBdr>
        <w:top w:val="none" w:sz="0" w:space="0" w:color="auto"/>
        <w:left w:val="none" w:sz="0" w:space="0" w:color="auto"/>
        <w:bottom w:val="none" w:sz="0" w:space="0" w:color="auto"/>
        <w:right w:val="none" w:sz="0" w:space="0" w:color="auto"/>
      </w:divBdr>
    </w:div>
    <w:div w:id="661008458">
      <w:bodyDiv w:val="1"/>
      <w:marLeft w:val="0"/>
      <w:marRight w:val="0"/>
      <w:marTop w:val="0"/>
      <w:marBottom w:val="0"/>
      <w:divBdr>
        <w:top w:val="none" w:sz="0" w:space="0" w:color="auto"/>
        <w:left w:val="none" w:sz="0" w:space="0" w:color="auto"/>
        <w:bottom w:val="none" w:sz="0" w:space="0" w:color="auto"/>
        <w:right w:val="none" w:sz="0" w:space="0" w:color="auto"/>
      </w:divBdr>
    </w:div>
    <w:div w:id="661083413">
      <w:bodyDiv w:val="1"/>
      <w:marLeft w:val="0"/>
      <w:marRight w:val="0"/>
      <w:marTop w:val="0"/>
      <w:marBottom w:val="0"/>
      <w:divBdr>
        <w:top w:val="none" w:sz="0" w:space="0" w:color="auto"/>
        <w:left w:val="none" w:sz="0" w:space="0" w:color="auto"/>
        <w:bottom w:val="none" w:sz="0" w:space="0" w:color="auto"/>
        <w:right w:val="none" w:sz="0" w:space="0" w:color="auto"/>
      </w:divBdr>
    </w:div>
    <w:div w:id="661929840">
      <w:bodyDiv w:val="1"/>
      <w:marLeft w:val="0"/>
      <w:marRight w:val="0"/>
      <w:marTop w:val="0"/>
      <w:marBottom w:val="0"/>
      <w:divBdr>
        <w:top w:val="none" w:sz="0" w:space="0" w:color="auto"/>
        <w:left w:val="none" w:sz="0" w:space="0" w:color="auto"/>
        <w:bottom w:val="none" w:sz="0" w:space="0" w:color="auto"/>
        <w:right w:val="none" w:sz="0" w:space="0" w:color="auto"/>
      </w:divBdr>
    </w:div>
    <w:div w:id="662514843">
      <w:bodyDiv w:val="1"/>
      <w:marLeft w:val="0"/>
      <w:marRight w:val="0"/>
      <w:marTop w:val="0"/>
      <w:marBottom w:val="0"/>
      <w:divBdr>
        <w:top w:val="none" w:sz="0" w:space="0" w:color="auto"/>
        <w:left w:val="none" w:sz="0" w:space="0" w:color="auto"/>
        <w:bottom w:val="none" w:sz="0" w:space="0" w:color="auto"/>
        <w:right w:val="none" w:sz="0" w:space="0" w:color="auto"/>
      </w:divBdr>
    </w:div>
    <w:div w:id="664820845">
      <w:bodyDiv w:val="1"/>
      <w:marLeft w:val="0"/>
      <w:marRight w:val="0"/>
      <w:marTop w:val="0"/>
      <w:marBottom w:val="0"/>
      <w:divBdr>
        <w:top w:val="none" w:sz="0" w:space="0" w:color="auto"/>
        <w:left w:val="none" w:sz="0" w:space="0" w:color="auto"/>
        <w:bottom w:val="none" w:sz="0" w:space="0" w:color="auto"/>
        <w:right w:val="none" w:sz="0" w:space="0" w:color="auto"/>
      </w:divBdr>
    </w:div>
    <w:div w:id="665978253">
      <w:bodyDiv w:val="1"/>
      <w:marLeft w:val="0"/>
      <w:marRight w:val="0"/>
      <w:marTop w:val="0"/>
      <w:marBottom w:val="0"/>
      <w:divBdr>
        <w:top w:val="none" w:sz="0" w:space="0" w:color="auto"/>
        <w:left w:val="none" w:sz="0" w:space="0" w:color="auto"/>
        <w:bottom w:val="none" w:sz="0" w:space="0" w:color="auto"/>
        <w:right w:val="none" w:sz="0" w:space="0" w:color="auto"/>
      </w:divBdr>
    </w:div>
    <w:div w:id="666904566">
      <w:bodyDiv w:val="1"/>
      <w:marLeft w:val="0"/>
      <w:marRight w:val="0"/>
      <w:marTop w:val="0"/>
      <w:marBottom w:val="0"/>
      <w:divBdr>
        <w:top w:val="none" w:sz="0" w:space="0" w:color="auto"/>
        <w:left w:val="none" w:sz="0" w:space="0" w:color="auto"/>
        <w:bottom w:val="none" w:sz="0" w:space="0" w:color="auto"/>
        <w:right w:val="none" w:sz="0" w:space="0" w:color="auto"/>
      </w:divBdr>
    </w:div>
    <w:div w:id="668799386">
      <w:bodyDiv w:val="1"/>
      <w:marLeft w:val="0"/>
      <w:marRight w:val="0"/>
      <w:marTop w:val="0"/>
      <w:marBottom w:val="0"/>
      <w:divBdr>
        <w:top w:val="none" w:sz="0" w:space="0" w:color="auto"/>
        <w:left w:val="none" w:sz="0" w:space="0" w:color="auto"/>
        <w:bottom w:val="none" w:sz="0" w:space="0" w:color="auto"/>
        <w:right w:val="none" w:sz="0" w:space="0" w:color="auto"/>
      </w:divBdr>
    </w:div>
    <w:div w:id="669254734">
      <w:bodyDiv w:val="1"/>
      <w:marLeft w:val="0"/>
      <w:marRight w:val="0"/>
      <w:marTop w:val="0"/>
      <w:marBottom w:val="0"/>
      <w:divBdr>
        <w:top w:val="none" w:sz="0" w:space="0" w:color="auto"/>
        <w:left w:val="none" w:sz="0" w:space="0" w:color="auto"/>
        <w:bottom w:val="none" w:sz="0" w:space="0" w:color="auto"/>
        <w:right w:val="none" w:sz="0" w:space="0" w:color="auto"/>
      </w:divBdr>
    </w:div>
    <w:div w:id="669527486">
      <w:bodyDiv w:val="1"/>
      <w:marLeft w:val="0"/>
      <w:marRight w:val="0"/>
      <w:marTop w:val="0"/>
      <w:marBottom w:val="0"/>
      <w:divBdr>
        <w:top w:val="none" w:sz="0" w:space="0" w:color="auto"/>
        <w:left w:val="none" w:sz="0" w:space="0" w:color="auto"/>
        <w:bottom w:val="none" w:sz="0" w:space="0" w:color="auto"/>
        <w:right w:val="none" w:sz="0" w:space="0" w:color="auto"/>
      </w:divBdr>
    </w:div>
    <w:div w:id="674570684">
      <w:bodyDiv w:val="1"/>
      <w:marLeft w:val="0"/>
      <w:marRight w:val="0"/>
      <w:marTop w:val="0"/>
      <w:marBottom w:val="0"/>
      <w:divBdr>
        <w:top w:val="none" w:sz="0" w:space="0" w:color="auto"/>
        <w:left w:val="none" w:sz="0" w:space="0" w:color="auto"/>
        <w:bottom w:val="none" w:sz="0" w:space="0" w:color="auto"/>
        <w:right w:val="none" w:sz="0" w:space="0" w:color="auto"/>
      </w:divBdr>
    </w:div>
    <w:div w:id="675114924">
      <w:bodyDiv w:val="1"/>
      <w:marLeft w:val="0"/>
      <w:marRight w:val="0"/>
      <w:marTop w:val="0"/>
      <w:marBottom w:val="0"/>
      <w:divBdr>
        <w:top w:val="none" w:sz="0" w:space="0" w:color="auto"/>
        <w:left w:val="none" w:sz="0" w:space="0" w:color="auto"/>
        <w:bottom w:val="none" w:sz="0" w:space="0" w:color="auto"/>
        <w:right w:val="none" w:sz="0" w:space="0" w:color="auto"/>
      </w:divBdr>
    </w:div>
    <w:div w:id="677081095">
      <w:bodyDiv w:val="1"/>
      <w:marLeft w:val="0"/>
      <w:marRight w:val="0"/>
      <w:marTop w:val="0"/>
      <w:marBottom w:val="0"/>
      <w:divBdr>
        <w:top w:val="none" w:sz="0" w:space="0" w:color="auto"/>
        <w:left w:val="none" w:sz="0" w:space="0" w:color="auto"/>
        <w:bottom w:val="none" w:sz="0" w:space="0" w:color="auto"/>
        <w:right w:val="none" w:sz="0" w:space="0" w:color="auto"/>
      </w:divBdr>
    </w:div>
    <w:div w:id="680664465">
      <w:bodyDiv w:val="1"/>
      <w:marLeft w:val="0"/>
      <w:marRight w:val="0"/>
      <w:marTop w:val="0"/>
      <w:marBottom w:val="0"/>
      <w:divBdr>
        <w:top w:val="none" w:sz="0" w:space="0" w:color="auto"/>
        <w:left w:val="none" w:sz="0" w:space="0" w:color="auto"/>
        <w:bottom w:val="none" w:sz="0" w:space="0" w:color="auto"/>
        <w:right w:val="none" w:sz="0" w:space="0" w:color="auto"/>
      </w:divBdr>
    </w:div>
    <w:div w:id="682902765">
      <w:bodyDiv w:val="1"/>
      <w:marLeft w:val="0"/>
      <w:marRight w:val="0"/>
      <w:marTop w:val="0"/>
      <w:marBottom w:val="0"/>
      <w:divBdr>
        <w:top w:val="none" w:sz="0" w:space="0" w:color="auto"/>
        <w:left w:val="none" w:sz="0" w:space="0" w:color="auto"/>
        <w:bottom w:val="none" w:sz="0" w:space="0" w:color="auto"/>
        <w:right w:val="none" w:sz="0" w:space="0" w:color="auto"/>
      </w:divBdr>
    </w:div>
    <w:div w:id="684870195">
      <w:bodyDiv w:val="1"/>
      <w:marLeft w:val="0"/>
      <w:marRight w:val="0"/>
      <w:marTop w:val="0"/>
      <w:marBottom w:val="0"/>
      <w:divBdr>
        <w:top w:val="none" w:sz="0" w:space="0" w:color="auto"/>
        <w:left w:val="none" w:sz="0" w:space="0" w:color="auto"/>
        <w:bottom w:val="none" w:sz="0" w:space="0" w:color="auto"/>
        <w:right w:val="none" w:sz="0" w:space="0" w:color="auto"/>
      </w:divBdr>
    </w:div>
    <w:div w:id="685521203">
      <w:bodyDiv w:val="1"/>
      <w:marLeft w:val="0"/>
      <w:marRight w:val="0"/>
      <w:marTop w:val="0"/>
      <w:marBottom w:val="0"/>
      <w:divBdr>
        <w:top w:val="none" w:sz="0" w:space="0" w:color="auto"/>
        <w:left w:val="none" w:sz="0" w:space="0" w:color="auto"/>
        <w:bottom w:val="none" w:sz="0" w:space="0" w:color="auto"/>
        <w:right w:val="none" w:sz="0" w:space="0" w:color="auto"/>
      </w:divBdr>
    </w:div>
    <w:div w:id="685715618">
      <w:bodyDiv w:val="1"/>
      <w:marLeft w:val="0"/>
      <w:marRight w:val="0"/>
      <w:marTop w:val="0"/>
      <w:marBottom w:val="0"/>
      <w:divBdr>
        <w:top w:val="none" w:sz="0" w:space="0" w:color="auto"/>
        <w:left w:val="none" w:sz="0" w:space="0" w:color="auto"/>
        <w:bottom w:val="none" w:sz="0" w:space="0" w:color="auto"/>
        <w:right w:val="none" w:sz="0" w:space="0" w:color="auto"/>
      </w:divBdr>
    </w:div>
    <w:div w:id="685794006">
      <w:bodyDiv w:val="1"/>
      <w:marLeft w:val="0"/>
      <w:marRight w:val="0"/>
      <w:marTop w:val="0"/>
      <w:marBottom w:val="0"/>
      <w:divBdr>
        <w:top w:val="none" w:sz="0" w:space="0" w:color="auto"/>
        <w:left w:val="none" w:sz="0" w:space="0" w:color="auto"/>
        <w:bottom w:val="none" w:sz="0" w:space="0" w:color="auto"/>
        <w:right w:val="none" w:sz="0" w:space="0" w:color="auto"/>
      </w:divBdr>
    </w:div>
    <w:div w:id="686103564">
      <w:bodyDiv w:val="1"/>
      <w:marLeft w:val="0"/>
      <w:marRight w:val="0"/>
      <w:marTop w:val="0"/>
      <w:marBottom w:val="0"/>
      <w:divBdr>
        <w:top w:val="none" w:sz="0" w:space="0" w:color="auto"/>
        <w:left w:val="none" w:sz="0" w:space="0" w:color="auto"/>
        <w:bottom w:val="none" w:sz="0" w:space="0" w:color="auto"/>
        <w:right w:val="none" w:sz="0" w:space="0" w:color="auto"/>
      </w:divBdr>
    </w:div>
    <w:div w:id="686517392">
      <w:bodyDiv w:val="1"/>
      <w:marLeft w:val="0"/>
      <w:marRight w:val="0"/>
      <w:marTop w:val="0"/>
      <w:marBottom w:val="0"/>
      <w:divBdr>
        <w:top w:val="none" w:sz="0" w:space="0" w:color="auto"/>
        <w:left w:val="none" w:sz="0" w:space="0" w:color="auto"/>
        <w:bottom w:val="none" w:sz="0" w:space="0" w:color="auto"/>
        <w:right w:val="none" w:sz="0" w:space="0" w:color="auto"/>
      </w:divBdr>
    </w:div>
    <w:div w:id="686561279">
      <w:bodyDiv w:val="1"/>
      <w:marLeft w:val="0"/>
      <w:marRight w:val="0"/>
      <w:marTop w:val="0"/>
      <w:marBottom w:val="0"/>
      <w:divBdr>
        <w:top w:val="none" w:sz="0" w:space="0" w:color="auto"/>
        <w:left w:val="none" w:sz="0" w:space="0" w:color="auto"/>
        <w:bottom w:val="none" w:sz="0" w:space="0" w:color="auto"/>
        <w:right w:val="none" w:sz="0" w:space="0" w:color="auto"/>
      </w:divBdr>
    </w:div>
    <w:div w:id="687560962">
      <w:bodyDiv w:val="1"/>
      <w:marLeft w:val="0"/>
      <w:marRight w:val="0"/>
      <w:marTop w:val="0"/>
      <w:marBottom w:val="0"/>
      <w:divBdr>
        <w:top w:val="none" w:sz="0" w:space="0" w:color="auto"/>
        <w:left w:val="none" w:sz="0" w:space="0" w:color="auto"/>
        <w:bottom w:val="none" w:sz="0" w:space="0" w:color="auto"/>
        <w:right w:val="none" w:sz="0" w:space="0" w:color="auto"/>
      </w:divBdr>
    </w:div>
    <w:div w:id="687676504">
      <w:bodyDiv w:val="1"/>
      <w:marLeft w:val="0"/>
      <w:marRight w:val="0"/>
      <w:marTop w:val="0"/>
      <w:marBottom w:val="0"/>
      <w:divBdr>
        <w:top w:val="none" w:sz="0" w:space="0" w:color="auto"/>
        <w:left w:val="none" w:sz="0" w:space="0" w:color="auto"/>
        <w:bottom w:val="none" w:sz="0" w:space="0" w:color="auto"/>
        <w:right w:val="none" w:sz="0" w:space="0" w:color="auto"/>
      </w:divBdr>
    </w:div>
    <w:div w:id="687832682">
      <w:bodyDiv w:val="1"/>
      <w:marLeft w:val="0"/>
      <w:marRight w:val="0"/>
      <w:marTop w:val="0"/>
      <w:marBottom w:val="0"/>
      <w:divBdr>
        <w:top w:val="none" w:sz="0" w:space="0" w:color="auto"/>
        <w:left w:val="none" w:sz="0" w:space="0" w:color="auto"/>
        <w:bottom w:val="none" w:sz="0" w:space="0" w:color="auto"/>
        <w:right w:val="none" w:sz="0" w:space="0" w:color="auto"/>
      </w:divBdr>
    </w:div>
    <w:div w:id="690300915">
      <w:bodyDiv w:val="1"/>
      <w:marLeft w:val="0"/>
      <w:marRight w:val="0"/>
      <w:marTop w:val="0"/>
      <w:marBottom w:val="0"/>
      <w:divBdr>
        <w:top w:val="none" w:sz="0" w:space="0" w:color="auto"/>
        <w:left w:val="none" w:sz="0" w:space="0" w:color="auto"/>
        <w:bottom w:val="none" w:sz="0" w:space="0" w:color="auto"/>
        <w:right w:val="none" w:sz="0" w:space="0" w:color="auto"/>
      </w:divBdr>
    </w:div>
    <w:div w:id="690378365">
      <w:bodyDiv w:val="1"/>
      <w:marLeft w:val="0"/>
      <w:marRight w:val="0"/>
      <w:marTop w:val="0"/>
      <w:marBottom w:val="0"/>
      <w:divBdr>
        <w:top w:val="none" w:sz="0" w:space="0" w:color="auto"/>
        <w:left w:val="none" w:sz="0" w:space="0" w:color="auto"/>
        <w:bottom w:val="none" w:sz="0" w:space="0" w:color="auto"/>
        <w:right w:val="none" w:sz="0" w:space="0" w:color="auto"/>
      </w:divBdr>
    </w:div>
    <w:div w:id="693654622">
      <w:bodyDiv w:val="1"/>
      <w:marLeft w:val="0"/>
      <w:marRight w:val="0"/>
      <w:marTop w:val="0"/>
      <w:marBottom w:val="0"/>
      <w:divBdr>
        <w:top w:val="none" w:sz="0" w:space="0" w:color="auto"/>
        <w:left w:val="none" w:sz="0" w:space="0" w:color="auto"/>
        <w:bottom w:val="none" w:sz="0" w:space="0" w:color="auto"/>
        <w:right w:val="none" w:sz="0" w:space="0" w:color="auto"/>
      </w:divBdr>
    </w:div>
    <w:div w:id="694187624">
      <w:bodyDiv w:val="1"/>
      <w:marLeft w:val="0"/>
      <w:marRight w:val="0"/>
      <w:marTop w:val="0"/>
      <w:marBottom w:val="0"/>
      <w:divBdr>
        <w:top w:val="none" w:sz="0" w:space="0" w:color="auto"/>
        <w:left w:val="none" w:sz="0" w:space="0" w:color="auto"/>
        <w:bottom w:val="none" w:sz="0" w:space="0" w:color="auto"/>
        <w:right w:val="none" w:sz="0" w:space="0" w:color="auto"/>
      </w:divBdr>
    </w:div>
    <w:div w:id="695546199">
      <w:bodyDiv w:val="1"/>
      <w:marLeft w:val="0"/>
      <w:marRight w:val="0"/>
      <w:marTop w:val="0"/>
      <w:marBottom w:val="0"/>
      <w:divBdr>
        <w:top w:val="none" w:sz="0" w:space="0" w:color="auto"/>
        <w:left w:val="none" w:sz="0" w:space="0" w:color="auto"/>
        <w:bottom w:val="none" w:sz="0" w:space="0" w:color="auto"/>
        <w:right w:val="none" w:sz="0" w:space="0" w:color="auto"/>
      </w:divBdr>
    </w:div>
    <w:div w:id="707871424">
      <w:bodyDiv w:val="1"/>
      <w:marLeft w:val="0"/>
      <w:marRight w:val="0"/>
      <w:marTop w:val="0"/>
      <w:marBottom w:val="0"/>
      <w:divBdr>
        <w:top w:val="none" w:sz="0" w:space="0" w:color="auto"/>
        <w:left w:val="none" w:sz="0" w:space="0" w:color="auto"/>
        <w:bottom w:val="none" w:sz="0" w:space="0" w:color="auto"/>
        <w:right w:val="none" w:sz="0" w:space="0" w:color="auto"/>
      </w:divBdr>
    </w:div>
    <w:div w:id="710148316">
      <w:bodyDiv w:val="1"/>
      <w:marLeft w:val="0"/>
      <w:marRight w:val="0"/>
      <w:marTop w:val="0"/>
      <w:marBottom w:val="0"/>
      <w:divBdr>
        <w:top w:val="none" w:sz="0" w:space="0" w:color="auto"/>
        <w:left w:val="none" w:sz="0" w:space="0" w:color="auto"/>
        <w:bottom w:val="none" w:sz="0" w:space="0" w:color="auto"/>
        <w:right w:val="none" w:sz="0" w:space="0" w:color="auto"/>
      </w:divBdr>
    </w:div>
    <w:div w:id="710687524">
      <w:bodyDiv w:val="1"/>
      <w:marLeft w:val="0"/>
      <w:marRight w:val="0"/>
      <w:marTop w:val="0"/>
      <w:marBottom w:val="0"/>
      <w:divBdr>
        <w:top w:val="none" w:sz="0" w:space="0" w:color="auto"/>
        <w:left w:val="none" w:sz="0" w:space="0" w:color="auto"/>
        <w:bottom w:val="none" w:sz="0" w:space="0" w:color="auto"/>
        <w:right w:val="none" w:sz="0" w:space="0" w:color="auto"/>
      </w:divBdr>
    </w:div>
    <w:div w:id="712996926">
      <w:bodyDiv w:val="1"/>
      <w:marLeft w:val="0"/>
      <w:marRight w:val="0"/>
      <w:marTop w:val="0"/>
      <w:marBottom w:val="0"/>
      <w:divBdr>
        <w:top w:val="none" w:sz="0" w:space="0" w:color="auto"/>
        <w:left w:val="none" w:sz="0" w:space="0" w:color="auto"/>
        <w:bottom w:val="none" w:sz="0" w:space="0" w:color="auto"/>
        <w:right w:val="none" w:sz="0" w:space="0" w:color="auto"/>
      </w:divBdr>
    </w:div>
    <w:div w:id="713238372">
      <w:bodyDiv w:val="1"/>
      <w:marLeft w:val="0"/>
      <w:marRight w:val="0"/>
      <w:marTop w:val="0"/>
      <w:marBottom w:val="0"/>
      <w:divBdr>
        <w:top w:val="none" w:sz="0" w:space="0" w:color="auto"/>
        <w:left w:val="none" w:sz="0" w:space="0" w:color="auto"/>
        <w:bottom w:val="none" w:sz="0" w:space="0" w:color="auto"/>
        <w:right w:val="none" w:sz="0" w:space="0" w:color="auto"/>
      </w:divBdr>
    </w:div>
    <w:div w:id="715936473">
      <w:bodyDiv w:val="1"/>
      <w:marLeft w:val="0"/>
      <w:marRight w:val="0"/>
      <w:marTop w:val="0"/>
      <w:marBottom w:val="0"/>
      <w:divBdr>
        <w:top w:val="none" w:sz="0" w:space="0" w:color="auto"/>
        <w:left w:val="none" w:sz="0" w:space="0" w:color="auto"/>
        <w:bottom w:val="none" w:sz="0" w:space="0" w:color="auto"/>
        <w:right w:val="none" w:sz="0" w:space="0" w:color="auto"/>
      </w:divBdr>
    </w:div>
    <w:div w:id="716125259">
      <w:bodyDiv w:val="1"/>
      <w:marLeft w:val="0"/>
      <w:marRight w:val="0"/>
      <w:marTop w:val="0"/>
      <w:marBottom w:val="0"/>
      <w:divBdr>
        <w:top w:val="none" w:sz="0" w:space="0" w:color="auto"/>
        <w:left w:val="none" w:sz="0" w:space="0" w:color="auto"/>
        <w:bottom w:val="none" w:sz="0" w:space="0" w:color="auto"/>
        <w:right w:val="none" w:sz="0" w:space="0" w:color="auto"/>
      </w:divBdr>
    </w:div>
    <w:div w:id="716662891">
      <w:bodyDiv w:val="1"/>
      <w:marLeft w:val="0"/>
      <w:marRight w:val="0"/>
      <w:marTop w:val="0"/>
      <w:marBottom w:val="0"/>
      <w:divBdr>
        <w:top w:val="none" w:sz="0" w:space="0" w:color="auto"/>
        <w:left w:val="none" w:sz="0" w:space="0" w:color="auto"/>
        <w:bottom w:val="none" w:sz="0" w:space="0" w:color="auto"/>
        <w:right w:val="none" w:sz="0" w:space="0" w:color="auto"/>
      </w:divBdr>
    </w:div>
    <w:div w:id="720441351">
      <w:bodyDiv w:val="1"/>
      <w:marLeft w:val="0"/>
      <w:marRight w:val="0"/>
      <w:marTop w:val="0"/>
      <w:marBottom w:val="0"/>
      <w:divBdr>
        <w:top w:val="none" w:sz="0" w:space="0" w:color="auto"/>
        <w:left w:val="none" w:sz="0" w:space="0" w:color="auto"/>
        <w:bottom w:val="none" w:sz="0" w:space="0" w:color="auto"/>
        <w:right w:val="none" w:sz="0" w:space="0" w:color="auto"/>
      </w:divBdr>
    </w:div>
    <w:div w:id="722294550">
      <w:bodyDiv w:val="1"/>
      <w:marLeft w:val="0"/>
      <w:marRight w:val="0"/>
      <w:marTop w:val="0"/>
      <w:marBottom w:val="0"/>
      <w:divBdr>
        <w:top w:val="none" w:sz="0" w:space="0" w:color="auto"/>
        <w:left w:val="none" w:sz="0" w:space="0" w:color="auto"/>
        <w:bottom w:val="none" w:sz="0" w:space="0" w:color="auto"/>
        <w:right w:val="none" w:sz="0" w:space="0" w:color="auto"/>
      </w:divBdr>
    </w:div>
    <w:div w:id="723599593">
      <w:bodyDiv w:val="1"/>
      <w:marLeft w:val="0"/>
      <w:marRight w:val="0"/>
      <w:marTop w:val="0"/>
      <w:marBottom w:val="0"/>
      <w:divBdr>
        <w:top w:val="none" w:sz="0" w:space="0" w:color="auto"/>
        <w:left w:val="none" w:sz="0" w:space="0" w:color="auto"/>
        <w:bottom w:val="none" w:sz="0" w:space="0" w:color="auto"/>
        <w:right w:val="none" w:sz="0" w:space="0" w:color="auto"/>
      </w:divBdr>
    </w:div>
    <w:div w:id="723984370">
      <w:bodyDiv w:val="1"/>
      <w:marLeft w:val="0"/>
      <w:marRight w:val="0"/>
      <w:marTop w:val="0"/>
      <w:marBottom w:val="0"/>
      <w:divBdr>
        <w:top w:val="none" w:sz="0" w:space="0" w:color="auto"/>
        <w:left w:val="none" w:sz="0" w:space="0" w:color="auto"/>
        <w:bottom w:val="none" w:sz="0" w:space="0" w:color="auto"/>
        <w:right w:val="none" w:sz="0" w:space="0" w:color="auto"/>
      </w:divBdr>
    </w:div>
    <w:div w:id="724841154">
      <w:bodyDiv w:val="1"/>
      <w:marLeft w:val="0"/>
      <w:marRight w:val="0"/>
      <w:marTop w:val="0"/>
      <w:marBottom w:val="0"/>
      <w:divBdr>
        <w:top w:val="none" w:sz="0" w:space="0" w:color="auto"/>
        <w:left w:val="none" w:sz="0" w:space="0" w:color="auto"/>
        <w:bottom w:val="none" w:sz="0" w:space="0" w:color="auto"/>
        <w:right w:val="none" w:sz="0" w:space="0" w:color="auto"/>
      </w:divBdr>
    </w:div>
    <w:div w:id="726686707">
      <w:bodyDiv w:val="1"/>
      <w:marLeft w:val="0"/>
      <w:marRight w:val="0"/>
      <w:marTop w:val="0"/>
      <w:marBottom w:val="0"/>
      <w:divBdr>
        <w:top w:val="none" w:sz="0" w:space="0" w:color="auto"/>
        <w:left w:val="none" w:sz="0" w:space="0" w:color="auto"/>
        <w:bottom w:val="none" w:sz="0" w:space="0" w:color="auto"/>
        <w:right w:val="none" w:sz="0" w:space="0" w:color="auto"/>
      </w:divBdr>
    </w:div>
    <w:div w:id="728068426">
      <w:bodyDiv w:val="1"/>
      <w:marLeft w:val="0"/>
      <w:marRight w:val="0"/>
      <w:marTop w:val="0"/>
      <w:marBottom w:val="0"/>
      <w:divBdr>
        <w:top w:val="none" w:sz="0" w:space="0" w:color="auto"/>
        <w:left w:val="none" w:sz="0" w:space="0" w:color="auto"/>
        <w:bottom w:val="none" w:sz="0" w:space="0" w:color="auto"/>
        <w:right w:val="none" w:sz="0" w:space="0" w:color="auto"/>
      </w:divBdr>
    </w:div>
    <w:div w:id="731198464">
      <w:bodyDiv w:val="1"/>
      <w:marLeft w:val="0"/>
      <w:marRight w:val="0"/>
      <w:marTop w:val="0"/>
      <w:marBottom w:val="0"/>
      <w:divBdr>
        <w:top w:val="none" w:sz="0" w:space="0" w:color="auto"/>
        <w:left w:val="none" w:sz="0" w:space="0" w:color="auto"/>
        <w:bottom w:val="none" w:sz="0" w:space="0" w:color="auto"/>
        <w:right w:val="none" w:sz="0" w:space="0" w:color="auto"/>
      </w:divBdr>
    </w:div>
    <w:div w:id="731924287">
      <w:bodyDiv w:val="1"/>
      <w:marLeft w:val="0"/>
      <w:marRight w:val="0"/>
      <w:marTop w:val="0"/>
      <w:marBottom w:val="0"/>
      <w:divBdr>
        <w:top w:val="none" w:sz="0" w:space="0" w:color="auto"/>
        <w:left w:val="none" w:sz="0" w:space="0" w:color="auto"/>
        <w:bottom w:val="none" w:sz="0" w:space="0" w:color="auto"/>
        <w:right w:val="none" w:sz="0" w:space="0" w:color="auto"/>
      </w:divBdr>
    </w:div>
    <w:div w:id="732969134">
      <w:bodyDiv w:val="1"/>
      <w:marLeft w:val="0"/>
      <w:marRight w:val="0"/>
      <w:marTop w:val="0"/>
      <w:marBottom w:val="0"/>
      <w:divBdr>
        <w:top w:val="none" w:sz="0" w:space="0" w:color="auto"/>
        <w:left w:val="none" w:sz="0" w:space="0" w:color="auto"/>
        <w:bottom w:val="none" w:sz="0" w:space="0" w:color="auto"/>
        <w:right w:val="none" w:sz="0" w:space="0" w:color="auto"/>
      </w:divBdr>
    </w:div>
    <w:div w:id="734746258">
      <w:bodyDiv w:val="1"/>
      <w:marLeft w:val="0"/>
      <w:marRight w:val="0"/>
      <w:marTop w:val="0"/>
      <w:marBottom w:val="0"/>
      <w:divBdr>
        <w:top w:val="none" w:sz="0" w:space="0" w:color="auto"/>
        <w:left w:val="none" w:sz="0" w:space="0" w:color="auto"/>
        <w:bottom w:val="none" w:sz="0" w:space="0" w:color="auto"/>
        <w:right w:val="none" w:sz="0" w:space="0" w:color="auto"/>
      </w:divBdr>
    </w:div>
    <w:div w:id="736590284">
      <w:bodyDiv w:val="1"/>
      <w:marLeft w:val="0"/>
      <w:marRight w:val="0"/>
      <w:marTop w:val="0"/>
      <w:marBottom w:val="0"/>
      <w:divBdr>
        <w:top w:val="none" w:sz="0" w:space="0" w:color="auto"/>
        <w:left w:val="none" w:sz="0" w:space="0" w:color="auto"/>
        <w:bottom w:val="none" w:sz="0" w:space="0" w:color="auto"/>
        <w:right w:val="none" w:sz="0" w:space="0" w:color="auto"/>
      </w:divBdr>
    </w:div>
    <w:div w:id="736631830">
      <w:bodyDiv w:val="1"/>
      <w:marLeft w:val="0"/>
      <w:marRight w:val="0"/>
      <w:marTop w:val="0"/>
      <w:marBottom w:val="0"/>
      <w:divBdr>
        <w:top w:val="none" w:sz="0" w:space="0" w:color="auto"/>
        <w:left w:val="none" w:sz="0" w:space="0" w:color="auto"/>
        <w:bottom w:val="none" w:sz="0" w:space="0" w:color="auto"/>
        <w:right w:val="none" w:sz="0" w:space="0" w:color="auto"/>
      </w:divBdr>
      <w:divsChild>
        <w:div w:id="848638934">
          <w:marLeft w:val="0"/>
          <w:marRight w:val="0"/>
          <w:marTop w:val="27"/>
          <w:marBottom w:val="27"/>
          <w:divBdr>
            <w:top w:val="none" w:sz="0" w:space="0" w:color="auto"/>
            <w:left w:val="none" w:sz="0" w:space="0" w:color="auto"/>
            <w:bottom w:val="none" w:sz="0" w:space="0" w:color="auto"/>
            <w:right w:val="none" w:sz="0" w:space="0" w:color="auto"/>
          </w:divBdr>
        </w:div>
      </w:divsChild>
    </w:div>
    <w:div w:id="738794421">
      <w:bodyDiv w:val="1"/>
      <w:marLeft w:val="0"/>
      <w:marRight w:val="0"/>
      <w:marTop w:val="0"/>
      <w:marBottom w:val="0"/>
      <w:divBdr>
        <w:top w:val="none" w:sz="0" w:space="0" w:color="auto"/>
        <w:left w:val="none" w:sz="0" w:space="0" w:color="auto"/>
        <w:bottom w:val="none" w:sz="0" w:space="0" w:color="auto"/>
        <w:right w:val="none" w:sz="0" w:space="0" w:color="auto"/>
      </w:divBdr>
    </w:div>
    <w:div w:id="739865657">
      <w:bodyDiv w:val="1"/>
      <w:marLeft w:val="0"/>
      <w:marRight w:val="0"/>
      <w:marTop w:val="0"/>
      <w:marBottom w:val="0"/>
      <w:divBdr>
        <w:top w:val="none" w:sz="0" w:space="0" w:color="auto"/>
        <w:left w:val="none" w:sz="0" w:space="0" w:color="auto"/>
        <w:bottom w:val="none" w:sz="0" w:space="0" w:color="auto"/>
        <w:right w:val="none" w:sz="0" w:space="0" w:color="auto"/>
      </w:divBdr>
    </w:div>
    <w:div w:id="746266716">
      <w:bodyDiv w:val="1"/>
      <w:marLeft w:val="0"/>
      <w:marRight w:val="0"/>
      <w:marTop w:val="0"/>
      <w:marBottom w:val="0"/>
      <w:divBdr>
        <w:top w:val="none" w:sz="0" w:space="0" w:color="auto"/>
        <w:left w:val="none" w:sz="0" w:space="0" w:color="auto"/>
        <w:bottom w:val="none" w:sz="0" w:space="0" w:color="auto"/>
        <w:right w:val="none" w:sz="0" w:space="0" w:color="auto"/>
      </w:divBdr>
    </w:div>
    <w:div w:id="746850348">
      <w:bodyDiv w:val="1"/>
      <w:marLeft w:val="0"/>
      <w:marRight w:val="0"/>
      <w:marTop w:val="0"/>
      <w:marBottom w:val="0"/>
      <w:divBdr>
        <w:top w:val="none" w:sz="0" w:space="0" w:color="auto"/>
        <w:left w:val="none" w:sz="0" w:space="0" w:color="auto"/>
        <w:bottom w:val="none" w:sz="0" w:space="0" w:color="auto"/>
        <w:right w:val="none" w:sz="0" w:space="0" w:color="auto"/>
      </w:divBdr>
    </w:div>
    <w:div w:id="747381139">
      <w:bodyDiv w:val="1"/>
      <w:marLeft w:val="0"/>
      <w:marRight w:val="0"/>
      <w:marTop w:val="0"/>
      <w:marBottom w:val="0"/>
      <w:divBdr>
        <w:top w:val="none" w:sz="0" w:space="0" w:color="auto"/>
        <w:left w:val="none" w:sz="0" w:space="0" w:color="auto"/>
        <w:bottom w:val="none" w:sz="0" w:space="0" w:color="auto"/>
        <w:right w:val="none" w:sz="0" w:space="0" w:color="auto"/>
      </w:divBdr>
    </w:div>
    <w:div w:id="752506806">
      <w:bodyDiv w:val="1"/>
      <w:marLeft w:val="0"/>
      <w:marRight w:val="0"/>
      <w:marTop w:val="0"/>
      <w:marBottom w:val="0"/>
      <w:divBdr>
        <w:top w:val="none" w:sz="0" w:space="0" w:color="auto"/>
        <w:left w:val="none" w:sz="0" w:space="0" w:color="auto"/>
        <w:bottom w:val="none" w:sz="0" w:space="0" w:color="auto"/>
        <w:right w:val="none" w:sz="0" w:space="0" w:color="auto"/>
      </w:divBdr>
    </w:div>
    <w:div w:id="754009118">
      <w:bodyDiv w:val="1"/>
      <w:marLeft w:val="0"/>
      <w:marRight w:val="0"/>
      <w:marTop w:val="0"/>
      <w:marBottom w:val="0"/>
      <w:divBdr>
        <w:top w:val="none" w:sz="0" w:space="0" w:color="auto"/>
        <w:left w:val="none" w:sz="0" w:space="0" w:color="auto"/>
        <w:bottom w:val="none" w:sz="0" w:space="0" w:color="auto"/>
        <w:right w:val="none" w:sz="0" w:space="0" w:color="auto"/>
      </w:divBdr>
    </w:div>
    <w:div w:id="757168084">
      <w:bodyDiv w:val="1"/>
      <w:marLeft w:val="0"/>
      <w:marRight w:val="0"/>
      <w:marTop w:val="0"/>
      <w:marBottom w:val="0"/>
      <w:divBdr>
        <w:top w:val="none" w:sz="0" w:space="0" w:color="auto"/>
        <w:left w:val="none" w:sz="0" w:space="0" w:color="auto"/>
        <w:bottom w:val="none" w:sz="0" w:space="0" w:color="auto"/>
        <w:right w:val="none" w:sz="0" w:space="0" w:color="auto"/>
      </w:divBdr>
    </w:div>
    <w:div w:id="758142254">
      <w:bodyDiv w:val="1"/>
      <w:marLeft w:val="0"/>
      <w:marRight w:val="0"/>
      <w:marTop w:val="0"/>
      <w:marBottom w:val="0"/>
      <w:divBdr>
        <w:top w:val="none" w:sz="0" w:space="0" w:color="auto"/>
        <w:left w:val="none" w:sz="0" w:space="0" w:color="auto"/>
        <w:bottom w:val="none" w:sz="0" w:space="0" w:color="auto"/>
        <w:right w:val="none" w:sz="0" w:space="0" w:color="auto"/>
      </w:divBdr>
    </w:div>
    <w:div w:id="761101469">
      <w:bodyDiv w:val="1"/>
      <w:marLeft w:val="0"/>
      <w:marRight w:val="0"/>
      <w:marTop w:val="0"/>
      <w:marBottom w:val="0"/>
      <w:divBdr>
        <w:top w:val="none" w:sz="0" w:space="0" w:color="auto"/>
        <w:left w:val="none" w:sz="0" w:space="0" w:color="auto"/>
        <w:bottom w:val="none" w:sz="0" w:space="0" w:color="auto"/>
        <w:right w:val="none" w:sz="0" w:space="0" w:color="auto"/>
      </w:divBdr>
    </w:div>
    <w:div w:id="761609128">
      <w:bodyDiv w:val="1"/>
      <w:marLeft w:val="0"/>
      <w:marRight w:val="0"/>
      <w:marTop w:val="0"/>
      <w:marBottom w:val="0"/>
      <w:divBdr>
        <w:top w:val="none" w:sz="0" w:space="0" w:color="auto"/>
        <w:left w:val="none" w:sz="0" w:space="0" w:color="auto"/>
        <w:bottom w:val="none" w:sz="0" w:space="0" w:color="auto"/>
        <w:right w:val="none" w:sz="0" w:space="0" w:color="auto"/>
      </w:divBdr>
    </w:div>
    <w:div w:id="769355952">
      <w:bodyDiv w:val="1"/>
      <w:marLeft w:val="0"/>
      <w:marRight w:val="0"/>
      <w:marTop w:val="0"/>
      <w:marBottom w:val="0"/>
      <w:divBdr>
        <w:top w:val="none" w:sz="0" w:space="0" w:color="auto"/>
        <w:left w:val="none" w:sz="0" w:space="0" w:color="auto"/>
        <w:bottom w:val="none" w:sz="0" w:space="0" w:color="auto"/>
        <w:right w:val="none" w:sz="0" w:space="0" w:color="auto"/>
      </w:divBdr>
      <w:divsChild>
        <w:div w:id="1789354796">
          <w:marLeft w:val="0"/>
          <w:marRight w:val="0"/>
          <w:marTop w:val="66"/>
          <w:marBottom w:val="0"/>
          <w:divBdr>
            <w:top w:val="none" w:sz="0" w:space="0" w:color="auto"/>
            <w:left w:val="none" w:sz="0" w:space="0" w:color="auto"/>
            <w:bottom w:val="none" w:sz="0" w:space="0" w:color="auto"/>
            <w:right w:val="none" w:sz="0" w:space="0" w:color="auto"/>
          </w:divBdr>
        </w:div>
      </w:divsChild>
    </w:div>
    <w:div w:id="775294235">
      <w:bodyDiv w:val="1"/>
      <w:marLeft w:val="0"/>
      <w:marRight w:val="0"/>
      <w:marTop w:val="0"/>
      <w:marBottom w:val="0"/>
      <w:divBdr>
        <w:top w:val="none" w:sz="0" w:space="0" w:color="auto"/>
        <w:left w:val="none" w:sz="0" w:space="0" w:color="auto"/>
        <w:bottom w:val="none" w:sz="0" w:space="0" w:color="auto"/>
        <w:right w:val="none" w:sz="0" w:space="0" w:color="auto"/>
      </w:divBdr>
    </w:div>
    <w:div w:id="776363553">
      <w:bodyDiv w:val="1"/>
      <w:marLeft w:val="0"/>
      <w:marRight w:val="0"/>
      <w:marTop w:val="0"/>
      <w:marBottom w:val="0"/>
      <w:divBdr>
        <w:top w:val="none" w:sz="0" w:space="0" w:color="auto"/>
        <w:left w:val="none" w:sz="0" w:space="0" w:color="auto"/>
        <w:bottom w:val="none" w:sz="0" w:space="0" w:color="auto"/>
        <w:right w:val="none" w:sz="0" w:space="0" w:color="auto"/>
      </w:divBdr>
    </w:div>
    <w:div w:id="778186548">
      <w:bodyDiv w:val="1"/>
      <w:marLeft w:val="0"/>
      <w:marRight w:val="0"/>
      <w:marTop w:val="0"/>
      <w:marBottom w:val="0"/>
      <w:divBdr>
        <w:top w:val="none" w:sz="0" w:space="0" w:color="auto"/>
        <w:left w:val="none" w:sz="0" w:space="0" w:color="auto"/>
        <w:bottom w:val="none" w:sz="0" w:space="0" w:color="auto"/>
        <w:right w:val="none" w:sz="0" w:space="0" w:color="auto"/>
      </w:divBdr>
      <w:divsChild>
        <w:div w:id="1219051999">
          <w:marLeft w:val="0"/>
          <w:marRight w:val="0"/>
          <w:marTop w:val="0"/>
          <w:marBottom w:val="75"/>
          <w:divBdr>
            <w:top w:val="none" w:sz="0" w:space="0" w:color="auto"/>
            <w:left w:val="none" w:sz="0" w:space="0" w:color="auto"/>
            <w:bottom w:val="none" w:sz="0" w:space="0" w:color="auto"/>
            <w:right w:val="none" w:sz="0" w:space="0" w:color="auto"/>
          </w:divBdr>
          <w:divsChild>
            <w:div w:id="284238345">
              <w:marLeft w:val="0"/>
              <w:marRight w:val="0"/>
              <w:marTop w:val="0"/>
              <w:marBottom w:val="0"/>
              <w:divBdr>
                <w:top w:val="single" w:sz="6" w:space="10" w:color="414141"/>
                <w:left w:val="single" w:sz="6" w:space="11" w:color="414141"/>
                <w:bottom w:val="single" w:sz="6" w:space="0" w:color="414141"/>
                <w:right w:val="single" w:sz="6" w:space="22" w:color="414141"/>
              </w:divBdr>
              <w:divsChild>
                <w:div w:id="211043657">
                  <w:marLeft w:val="0"/>
                  <w:marRight w:val="0"/>
                  <w:marTop w:val="0"/>
                  <w:marBottom w:val="0"/>
                  <w:divBdr>
                    <w:top w:val="none" w:sz="0" w:space="0" w:color="auto"/>
                    <w:left w:val="none" w:sz="0" w:space="0" w:color="auto"/>
                    <w:bottom w:val="none" w:sz="0" w:space="0" w:color="auto"/>
                    <w:right w:val="none" w:sz="0" w:space="0" w:color="auto"/>
                  </w:divBdr>
                </w:div>
              </w:divsChild>
            </w:div>
            <w:div w:id="551698533">
              <w:marLeft w:val="0"/>
              <w:marRight w:val="0"/>
              <w:marTop w:val="0"/>
              <w:marBottom w:val="0"/>
              <w:divBdr>
                <w:top w:val="single" w:sz="6" w:space="10" w:color="414141"/>
                <w:left w:val="single" w:sz="6" w:space="11" w:color="414141"/>
                <w:bottom w:val="single" w:sz="6" w:space="0" w:color="414141"/>
                <w:right w:val="single" w:sz="6" w:space="22" w:color="414141"/>
              </w:divBdr>
              <w:divsChild>
                <w:div w:id="957954206">
                  <w:marLeft w:val="0"/>
                  <w:marRight w:val="0"/>
                  <w:marTop w:val="0"/>
                  <w:marBottom w:val="0"/>
                  <w:divBdr>
                    <w:top w:val="none" w:sz="0" w:space="0" w:color="auto"/>
                    <w:left w:val="none" w:sz="0" w:space="0" w:color="auto"/>
                    <w:bottom w:val="none" w:sz="0" w:space="0" w:color="auto"/>
                    <w:right w:val="none" w:sz="0" w:space="0" w:color="auto"/>
                  </w:divBdr>
                </w:div>
              </w:divsChild>
            </w:div>
            <w:div w:id="738868380">
              <w:marLeft w:val="0"/>
              <w:marRight w:val="0"/>
              <w:marTop w:val="0"/>
              <w:marBottom w:val="0"/>
              <w:divBdr>
                <w:top w:val="single" w:sz="6" w:space="10" w:color="414141"/>
                <w:left w:val="single" w:sz="6" w:space="11" w:color="414141"/>
                <w:bottom w:val="single" w:sz="6" w:space="0" w:color="414141"/>
                <w:right w:val="single" w:sz="6" w:space="22" w:color="414141"/>
              </w:divBdr>
              <w:divsChild>
                <w:div w:id="9160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258190">
      <w:bodyDiv w:val="1"/>
      <w:marLeft w:val="0"/>
      <w:marRight w:val="0"/>
      <w:marTop w:val="0"/>
      <w:marBottom w:val="0"/>
      <w:divBdr>
        <w:top w:val="none" w:sz="0" w:space="0" w:color="auto"/>
        <w:left w:val="none" w:sz="0" w:space="0" w:color="auto"/>
        <w:bottom w:val="none" w:sz="0" w:space="0" w:color="auto"/>
        <w:right w:val="none" w:sz="0" w:space="0" w:color="auto"/>
      </w:divBdr>
      <w:divsChild>
        <w:div w:id="600602163">
          <w:marLeft w:val="0"/>
          <w:marRight w:val="0"/>
          <w:marTop w:val="0"/>
          <w:marBottom w:val="0"/>
          <w:divBdr>
            <w:top w:val="none" w:sz="0" w:space="0" w:color="auto"/>
            <w:left w:val="none" w:sz="0" w:space="0" w:color="auto"/>
            <w:bottom w:val="none" w:sz="0" w:space="0" w:color="auto"/>
            <w:right w:val="none" w:sz="0" w:space="0" w:color="auto"/>
          </w:divBdr>
        </w:div>
      </w:divsChild>
    </w:div>
    <w:div w:id="778909471">
      <w:bodyDiv w:val="1"/>
      <w:marLeft w:val="0"/>
      <w:marRight w:val="0"/>
      <w:marTop w:val="0"/>
      <w:marBottom w:val="0"/>
      <w:divBdr>
        <w:top w:val="none" w:sz="0" w:space="0" w:color="auto"/>
        <w:left w:val="none" w:sz="0" w:space="0" w:color="auto"/>
        <w:bottom w:val="none" w:sz="0" w:space="0" w:color="auto"/>
        <w:right w:val="none" w:sz="0" w:space="0" w:color="auto"/>
      </w:divBdr>
    </w:div>
    <w:div w:id="780490713">
      <w:bodyDiv w:val="1"/>
      <w:marLeft w:val="0"/>
      <w:marRight w:val="0"/>
      <w:marTop w:val="0"/>
      <w:marBottom w:val="0"/>
      <w:divBdr>
        <w:top w:val="none" w:sz="0" w:space="0" w:color="auto"/>
        <w:left w:val="none" w:sz="0" w:space="0" w:color="auto"/>
        <w:bottom w:val="none" w:sz="0" w:space="0" w:color="auto"/>
        <w:right w:val="none" w:sz="0" w:space="0" w:color="auto"/>
      </w:divBdr>
    </w:div>
    <w:div w:id="786394932">
      <w:bodyDiv w:val="1"/>
      <w:marLeft w:val="0"/>
      <w:marRight w:val="0"/>
      <w:marTop w:val="0"/>
      <w:marBottom w:val="0"/>
      <w:divBdr>
        <w:top w:val="none" w:sz="0" w:space="0" w:color="auto"/>
        <w:left w:val="none" w:sz="0" w:space="0" w:color="auto"/>
        <w:bottom w:val="none" w:sz="0" w:space="0" w:color="auto"/>
        <w:right w:val="none" w:sz="0" w:space="0" w:color="auto"/>
      </w:divBdr>
    </w:div>
    <w:div w:id="787431031">
      <w:bodyDiv w:val="1"/>
      <w:marLeft w:val="0"/>
      <w:marRight w:val="0"/>
      <w:marTop w:val="0"/>
      <w:marBottom w:val="0"/>
      <w:divBdr>
        <w:top w:val="none" w:sz="0" w:space="0" w:color="auto"/>
        <w:left w:val="none" w:sz="0" w:space="0" w:color="auto"/>
        <w:bottom w:val="none" w:sz="0" w:space="0" w:color="auto"/>
        <w:right w:val="none" w:sz="0" w:space="0" w:color="auto"/>
      </w:divBdr>
    </w:div>
    <w:div w:id="791097015">
      <w:bodyDiv w:val="1"/>
      <w:marLeft w:val="0"/>
      <w:marRight w:val="0"/>
      <w:marTop w:val="0"/>
      <w:marBottom w:val="0"/>
      <w:divBdr>
        <w:top w:val="none" w:sz="0" w:space="0" w:color="auto"/>
        <w:left w:val="none" w:sz="0" w:space="0" w:color="auto"/>
        <w:bottom w:val="none" w:sz="0" w:space="0" w:color="auto"/>
        <w:right w:val="none" w:sz="0" w:space="0" w:color="auto"/>
      </w:divBdr>
    </w:div>
    <w:div w:id="796484347">
      <w:bodyDiv w:val="1"/>
      <w:marLeft w:val="0"/>
      <w:marRight w:val="0"/>
      <w:marTop w:val="0"/>
      <w:marBottom w:val="0"/>
      <w:divBdr>
        <w:top w:val="none" w:sz="0" w:space="0" w:color="auto"/>
        <w:left w:val="none" w:sz="0" w:space="0" w:color="auto"/>
        <w:bottom w:val="none" w:sz="0" w:space="0" w:color="auto"/>
        <w:right w:val="none" w:sz="0" w:space="0" w:color="auto"/>
      </w:divBdr>
    </w:div>
    <w:div w:id="803160592">
      <w:bodyDiv w:val="1"/>
      <w:marLeft w:val="0"/>
      <w:marRight w:val="0"/>
      <w:marTop w:val="0"/>
      <w:marBottom w:val="0"/>
      <w:divBdr>
        <w:top w:val="none" w:sz="0" w:space="0" w:color="auto"/>
        <w:left w:val="none" w:sz="0" w:space="0" w:color="auto"/>
        <w:bottom w:val="none" w:sz="0" w:space="0" w:color="auto"/>
        <w:right w:val="none" w:sz="0" w:space="0" w:color="auto"/>
      </w:divBdr>
    </w:div>
    <w:div w:id="803503326">
      <w:bodyDiv w:val="1"/>
      <w:marLeft w:val="0"/>
      <w:marRight w:val="0"/>
      <w:marTop w:val="0"/>
      <w:marBottom w:val="0"/>
      <w:divBdr>
        <w:top w:val="none" w:sz="0" w:space="0" w:color="auto"/>
        <w:left w:val="none" w:sz="0" w:space="0" w:color="auto"/>
        <w:bottom w:val="none" w:sz="0" w:space="0" w:color="auto"/>
        <w:right w:val="none" w:sz="0" w:space="0" w:color="auto"/>
      </w:divBdr>
    </w:div>
    <w:div w:id="807866236">
      <w:bodyDiv w:val="1"/>
      <w:marLeft w:val="0"/>
      <w:marRight w:val="0"/>
      <w:marTop w:val="0"/>
      <w:marBottom w:val="0"/>
      <w:divBdr>
        <w:top w:val="none" w:sz="0" w:space="0" w:color="auto"/>
        <w:left w:val="none" w:sz="0" w:space="0" w:color="auto"/>
        <w:bottom w:val="none" w:sz="0" w:space="0" w:color="auto"/>
        <w:right w:val="none" w:sz="0" w:space="0" w:color="auto"/>
      </w:divBdr>
    </w:div>
    <w:div w:id="807941489">
      <w:bodyDiv w:val="1"/>
      <w:marLeft w:val="0"/>
      <w:marRight w:val="0"/>
      <w:marTop w:val="0"/>
      <w:marBottom w:val="0"/>
      <w:divBdr>
        <w:top w:val="none" w:sz="0" w:space="0" w:color="auto"/>
        <w:left w:val="none" w:sz="0" w:space="0" w:color="auto"/>
        <w:bottom w:val="none" w:sz="0" w:space="0" w:color="auto"/>
        <w:right w:val="none" w:sz="0" w:space="0" w:color="auto"/>
      </w:divBdr>
    </w:div>
    <w:div w:id="808596764">
      <w:bodyDiv w:val="1"/>
      <w:marLeft w:val="0"/>
      <w:marRight w:val="0"/>
      <w:marTop w:val="0"/>
      <w:marBottom w:val="0"/>
      <w:divBdr>
        <w:top w:val="none" w:sz="0" w:space="0" w:color="auto"/>
        <w:left w:val="none" w:sz="0" w:space="0" w:color="auto"/>
        <w:bottom w:val="none" w:sz="0" w:space="0" w:color="auto"/>
        <w:right w:val="none" w:sz="0" w:space="0" w:color="auto"/>
      </w:divBdr>
    </w:div>
    <w:div w:id="808667437">
      <w:bodyDiv w:val="1"/>
      <w:marLeft w:val="0"/>
      <w:marRight w:val="0"/>
      <w:marTop w:val="0"/>
      <w:marBottom w:val="0"/>
      <w:divBdr>
        <w:top w:val="none" w:sz="0" w:space="0" w:color="auto"/>
        <w:left w:val="none" w:sz="0" w:space="0" w:color="auto"/>
        <w:bottom w:val="none" w:sz="0" w:space="0" w:color="auto"/>
        <w:right w:val="none" w:sz="0" w:space="0" w:color="auto"/>
      </w:divBdr>
    </w:div>
    <w:div w:id="811824268">
      <w:bodyDiv w:val="1"/>
      <w:marLeft w:val="0"/>
      <w:marRight w:val="0"/>
      <w:marTop w:val="0"/>
      <w:marBottom w:val="0"/>
      <w:divBdr>
        <w:top w:val="none" w:sz="0" w:space="0" w:color="auto"/>
        <w:left w:val="none" w:sz="0" w:space="0" w:color="auto"/>
        <w:bottom w:val="none" w:sz="0" w:space="0" w:color="auto"/>
        <w:right w:val="none" w:sz="0" w:space="0" w:color="auto"/>
      </w:divBdr>
    </w:div>
    <w:div w:id="812213540">
      <w:bodyDiv w:val="1"/>
      <w:marLeft w:val="0"/>
      <w:marRight w:val="0"/>
      <w:marTop w:val="0"/>
      <w:marBottom w:val="0"/>
      <w:divBdr>
        <w:top w:val="none" w:sz="0" w:space="0" w:color="auto"/>
        <w:left w:val="none" w:sz="0" w:space="0" w:color="auto"/>
        <w:bottom w:val="none" w:sz="0" w:space="0" w:color="auto"/>
        <w:right w:val="none" w:sz="0" w:space="0" w:color="auto"/>
      </w:divBdr>
    </w:div>
    <w:div w:id="812908905">
      <w:bodyDiv w:val="1"/>
      <w:marLeft w:val="0"/>
      <w:marRight w:val="0"/>
      <w:marTop w:val="0"/>
      <w:marBottom w:val="0"/>
      <w:divBdr>
        <w:top w:val="none" w:sz="0" w:space="0" w:color="auto"/>
        <w:left w:val="none" w:sz="0" w:space="0" w:color="auto"/>
        <w:bottom w:val="none" w:sz="0" w:space="0" w:color="auto"/>
        <w:right w:val="none" w:sz="0" w:space="0" w:color="auto"/>
      </w:divBdr>
    </w:div>
    <w:div w:id="813064090">
      <w:bodyDiv w:val="1"/>
      <w:marLeft w:val="0"/>
      <w:marRight w:val="0"/>
      <w:marTop w:val="0"/>
      <w:marBottom w:val="0"/>
      <w:divBdr>
        <w:top w:val="none" w:sz="0" w:space="0" w:color="auto"/>
        <w:left w:val="none" w:sz="0" w:space="0" w:color="auto"/>
        <w:bottom w:val="none" w:sz="0" w:space="0" w:color="auto"/>
        <w:right w:val="none" w:sz="0" w:space="0" w:color="auto"/>
      </w:divBdr>
    </w:div>
    <w:div w:id="813183117">
      <w:bodyDiv w:val="1"/>
      <w:marLeft w:val="0"/>
      <w:marRight w:val="0"/>
      <w:marTop w:val="0"/>
      <w:marBottom w:val="0"/>
      <w:divBdr>
        <w:top w:val="none" w:sz="0" w:space="0" w:color="auto"/>
        <w:left w:val="none" w:sz="0" w:space="0" w:color="auto"/>
        <w:bottom w:val="none" w:sz="0" w:space="0" w:color="auto"/>
        <w:right w:val="none" w:sz="0" w:space="0" w:color="auto"/>
      </w:divBdr>
    </w:div>
    <w:div w:id="820849219">
      <w:bodyDiv w:val="1"/>
      <w:marLeft w:val="0"/>
      <w:marRight w:val="0"/>
      <w:marTop w:val="0"/>
      <w:marBottom w:val="0"/>
      <w:divBdr>
        <w:top w:val="none" w:sz="0" w:space="0" w:color="auto"/>
        <w:left w:val="none" w:sz="0" w:space="0" w:color="auto"/>
        <w:bottom w:val="none" w:sz="0" w:space="0" w:color="auto"/>
        <w:right w:val="none" w:sz="0" w:space="0" w:color="auto"/>
      </w:divBdr>
    </w:div>
    <w:div w:id="823669206">
      <w:bodyDiv w:val="1"/>
      <w:marLeft w:val="0"/>
      <w:marRight w:val="0"/>
      <w:marTop w:val="0"/>
      <w:marBottom w:val="0"/>
      <w:divBdr>
        <w:top w:val="none" w:sz="0" w:space="0" w:color="auto"/>
        <w:left w:val="none" w:sz="0" w:space="0" w:color="auto"/>
        <w:bottom w:val="none" w:sz="0" w:space="0" w:color="auto"/>
        <w:right w:val="none" w:sz="0" w:space="0" w:color="auto"/>
      </w:divBdr>
    </w:div>
    <w:div w:id="824784122">
      <w:bodyDiv w:val="1"/>
      <w:marLeft w:val="0"/>
      <w:marRight w:val="0"/>
      <w:marTop w:val="0"/>
      <w:marBottom w:val="0"/>
      <w:divBdr>
        <w:top w:val="none" w:sz="0" w:space="0" w:color="auto"/>
        <w:left w:val="none" w:sz="0" w:space="0" w:color="auto"/>
        <w:bottom w:val="none" w:sz="0" w:space="0" w:color="auto"/>
        <w:right w:val="none" w:sz="0" w:space="0" w:color="auto"/>
      </w:divBdr>
    </w:div>
    <w:div w:id="825511739">
      <w:bodyDiv w:val="1"/>
      <w:marLeft w:val="0"/>
      <w:marRight w:val="0"/>
      <w:marTop w:val="0"/>
      <w:marBottom w:val="0"/>
      <w:divBdr>
        <w:top w:val="none" w:sz="0" w:space="0" w:color="auto"/>
        <w:left w:val="none" w:sz="0" w:space="0" w:color="auto"/>
        <w:bottom w:val="none" w:sz="0" w:space="0" w:color="auto"/>
        <w:right w:val="none" w:sz="0" w:space="0" w:color="auto"/>
      </w:divBdr>
    </w:div>
    <w:div w:id="830294176">
      <w:bodyDiv w:val="1"/>
      <w:marLeft w:val="0"/>
      <w:marRight w:val="0"/>
      <w:marTop w:val="0"/>
      <w:marBottom w:val="0"/>
      <w:divBdr>
        <w:top w:val="none" w:sz="0" w:space="0" w:color="auto"/>
        <w:left w:val="none" w:sz="0" w:space="0" w:color="auto"/>
        <w:bottom w:val="none" w:sz="0" w:space="0" w:color="auto"/>
        <w:right w:val="none" w:sz="0" w:space="0" w:color="auto"/>
      </w:divBdr>
    </w:div>
    <w:div w:id="831339138">
      <w:bodyDiv w:val="1"/>
      <w:marLeft w:val="0"/>
      <w:marRight w:val="0"/>
      <w:marTop w:val="0"/>
      <w:marBottom w:val="0"/>
      <w:divBdr>
        <w:top w:val="none" w:sz="0" w:space="0" w:color="auto"/>
        <w:left w:val="none" w:sz="0" w:space="0" w:color="auto"/>
        <w:bottom w:val="none" w:sz="0" w:space="0" w:color="auto"/>
        <w:right w:val="none" w:sz="0" w:space="0" w:color="auto"/>
      </w:divBdr>
    </w:div>
    <w:div w:id="831527354">
      <w:bodyDiv w:val="1"/>
      <w:marLeft w:val="0"/>
      <w:marRight w:val="0"/>
      <w:marTop w:val="0"/>
      <w:marBottom w:val="0"/>
      <w:divBdr>
        <w:top w:val="none" w:sz="0" w:space="0" w:color="auto"/>
        <w:left w:val="none" w:sz="0" w:space="0" w:color="auto"/>
        <w:bottom w:val="none" w:sz="0" w:space="0" w:color="auto"/>
        <w:right w:val="none" w:sz="0" w:space="0" w:color="auto"/>
      </w:divBdr>
    </w:div>
    <w:div w:id="833031595">
      <w:bodyDiv w:val="1"/>
      <w:marLeft w:val="0"/>
      <w:marRight w:val="0"/>
      <w:marTop w:val="0"/>
      <w:marBottom w:val="0"/>
      <w:divBdr>
        <w:top w:val="none" w:sz="0" w:space="0" w:color="auto"/>
        <w:left w:val="none" w:sz="0" w:space="0" w:color="auto"/>
        <w:bottom w:val="none" w:sz="0" w:space="0" w:color="auto"/>
        <w:right w:val="none" w:sz="0" w:space="0" w:color="auto"/>
      </w:divBdr>
    </w:div>
    <w:div w:id="833909316">
      <w:bodyDiv w:val="1"/>
      <w:marLeft w:val="0"/>
      <w:marRight w:val="0"/>
      <w:marTop w:val="0"/>
      <w:marBottom w:val="0"/>
      <w:divBdr>
        <w:top w:val="none" w:sz="0" w:space="0" w:color="auto"/>
        <w:left w:val="none" w:sz="0" w:space="0" w:color="auto"/>
        <w:bottom w:val="none" w:sz="0" w:space="0" w:color="auto"/>
        <w:right w:val="none" w:sz="0" w:space="0" w:color="auto"/>
      </w:divBdr>
    </w:div>
    <w:div w:id="834147121">
      <w:bodyDiv w:val="1"/>
      <w:marLeft w:val="0"/>
      <w:marRight w:val="0"/>
      <w:marTop w:val="0"/>
      <w:marBottom w:val="0"/>
      <w:divBdr>
        <w:top w:val="none" w:sz="0" w:space="0" w:color="auto"/>
        <w:left w:val="none" w:sz="0" w:space="0" w:color="auto"/>
        <w:bottom w:val="none" w:sz="0" w:space="0" w:color="auto"/>
        <w:right w:val="none" w:sz="0" w:space="0" w:color="auto"/>
      </w:divBdr>
    </w:div>
    <w:div w:id="836656492">
      <w:bodyDiv w:val="1"/>
      <w:marLeft w:val="0"/>
      <w:marRight w:val="0"/>
      <w:marTop w:val="0"/>
      <w:marBottom w:val="0"/>
      <w:divBdr>
        <w:top w:val="none" w:sz="0" w:space="0" w:color="auto"/>
        <w:left w:val="none" w:sz="0" w:space="0" w:color="auto"/>
        <w:bottom w:val="none" w:sz="0" w:space="0" w:color="auto"/>
        <w:right w:val="none" w:sz="0" w:space="0" w:color="auto"/>
      </w:divBdr>
    </w:div>
    <w:div w:id="837964631">
      <w:bodyDiv w:val="1"/>
      <w:marLeft w:val="0"/>
      <w:marRight w:val="0"/>
      <w:marTop w:val="0"/>
      <w:marBottom w:val="0"/>
      <w:divBdr>
        <w:top w:val="none" w:sz="0" w:space="0" w:color="auto"/>
        <w:left w:val="none" w:sz="0" w:space="0" w:color="auto"/>
        <w:bottom w:val="none" w:sz="0" w:space="0" w:color="auto"/>
        <w:right w:val="none" w:sz="0" w:space="0" w:color="auto"/>
      </w:divBdr>
    </w:div>
    <w:div w:id="838350108">
      <w:bodyDiv w:val="1"/>
      <w:marLeft w:val="0"/>
      <w:marRight w:val="0"/>
      <w:marTop w:val="0"/>
      <w:marBottom w:val="0"/>
      <w:divBdr>
        <w:top w:val="none" w:sz="0" w:space="0" w:color="auto"/>
        <w:left w:val="none" w:sz="0" w:space="0" w:color="auto"/>
        <w:bottom w:val="none" w:sz="0" w:space="0" w:color="auto"/>
        <w:right w:val="none" w:sz="0" w:space="0" w:color="auto"/>
      </w:divBdr>
    </w:div>
    <w:div w:id="839538523">
      <w:bodyDiv w:val="1"/>
      <w:marLeft w:val="0"/>
      <w:marRight w:val="0"/>
      <w:marTop w:val="0"/>
      <w:marBottom w:val="0"/>
      <w:divBdr>
        <w:top w:val="none" w:sz="0" w:space="0" w:color="auto"/>
        <w:left w:val="none" w:sz="0" w:space="0" w:color="auto"/>
        <w:bottom w:val="none" w:sz="0" w:space="0" w:color="auto"/>
        <w:right w:val="none" w:sz="0" w:space="0" w:color="auto"/>
      </w:divBdr>
    </w:div>
    <w:div w:id="840119872">
      <w:bodyDiv w:val="1"/>
      <w:marLeft w:val="0"/>
      <w:marRight w:val="0"/>
      <w:marTop w:val="0"/>
      <w:marBottom w:val="0"/>
      <w:divBdr>
        <w:top w:val="none" w:sz="0" w:space="0" w:color="auto"/>
        <w:left w:val="none" w:sz="0" w:space="0" w:color="auto"/>
        <w:bottom w:val="none" w:sz="0" w:space="0" w:color="auto"/>
        <w:right w:val="none" w:sz="0" w:space="0" w:color="auto"/>
      </w:divBdr>
    </w:div>
    <w:div w:id="844367749">
      <w:bodyDiv w:val="1"/>
      <w:marLeft w:val="0"/>
      <w:marRight w:val="0"/>
      <w:marTop w:val="0"/>
      <w:marBottom w:val="0"/>
      <w:divBdr>
        <w:top w:val="none" w:sz="0" w:space="0" w:color="auto"/>
        <w:left w:val="none" w:sz="0" w:space="0" w:color="auto"/>
        <w:bottom w:val="none" w:sz="0" w:space="0" w:color="auto"/>
        <w:right w:val="none" w:sz="0" w:space="0" w:color="auto"/>
      </w:divBdr>
    </w:div>
    <w:div w:id="845364456">
      <w:bodyDiv w:val="1"/>
      <w:marLeft w:val="0"/>
      <w:marRight w:val="0"/>
      <w:marTop w:val="0"/>
      <w:marBottom w:val="0"/>
      <w:divBdr>
        <w:top w:val="none" w:sz="0" w:space="0" w:color="auto"/>
        <w:left w:val="none" w:sz="0" w:space="0" w:color="auto"/>
        <w:bottom w:val="none" w:sz="0" w:space="0" w:color="auto"/>
        <w:right w:val="none" w:sz="0" w:space="0" w:color="auto"/>
      </w:divBdr>
    </w:div>
    <w:div w:id="845873344">
      <w:bodyDiv w:val="1"/>
      <w:marLeft w:val="0"/>
      <w:marRight w:val="0"/>
      <w:marTop w:val="0"/>
      <w:marBottom w:val="0"/>
      <w:divBdr>
        <w:top w:val="none" w:sz="0" w:space="0" w:color="auto"/>
        <w:left w:val="none" w:sz="0" w:space="0" w:color="auto"/>
        <w:bottom w:val="none" w:sz="0" w:space="0" w:color="auto"/>
        <w:right w:val="none" w:sz="0" w:space="0" w:color="auto"/>
      </w:divBdr>
    </w:div>
    <w:div w:id="847863199">
      <w:bodyDiv w:val="1"/>
      <w:marLeft w:val="0"/>
      <w:marRight w:val="0"/>
      <w:marTop w:val="0"/>
      <w:marBottom w:val="0"/>
      <w:divBdr>
        <w:top w:val="none" w:sz="0" w:space="0" w:color="auto"/>
        <w:left w:val="none" w:sz="0" w:space="0" w:color="auto"/>
        <w:bottom w:val="none" w:sz="0" w:space="0" w:color="auto"/>
        <w:right w:val="none" w:sz="0" w:space="0" w:color="auto"/>
      </w:divBdr>
    </w:div>
    <w:div w:id="849835212">
      <w:bodyDiv w:val="1"/>
      <w:marLeft w:val="0"/>
      <w:marRight w:val="0"/>
      <w:marTop w:val="0"/>
      <w:marBottom w:val="0"/>
      <w:divBdr>
        <w:top w:val="none" w:sz="0" w:space="0" w:color="auto"/>
        <w:left w:val="none" w:sz="0" w:space="0" w:color="auto"/>
        <w:bottom w:val="none" w:sz="0" w:space="0" w:color="auto"/>
        <w:right w:val="none" w:sz="0" w:space="0" w:color="auto"/>
      </w:divBdr>
    </w:div>
    <w:div w:id="849873131">
      <w:bodyDiv w:val="1"/>
      <w:marLeft w:val="0"/>
      <w:marRight w:val="0"/>
      <w:marTop w:val="0"/>
      <w:marBottom w:val="0"/>
      <w:divBdr>
        <w:top w:val="none" w:sz="0" w:space="0" w:color="auto"/>
        <w:left w:val="none" w:sz="0" w:space="0" w:color="auto"/>
        <w:bottom w:val="none" w:sz="0" w:space="0" w:color="auto"/>
        <w:right w:val="none" w:sz="0" w:space="0" w:color="auto"/>
      </w:divBdr>
    </w:div>
    <w:div w:id="852767785">
      <w:bodyDiv w:val="1"/>
      <w:marLeft w:val="0"/>
      <w:marRight w:val="0"/>
      <w:marTop w:val="0"/>
      <w:marBottom w:val="0"/>
      <w:divBdr>
        <w:top w:val="none" w:sz="0" w:space="0" w:color="auto"/>
        <w:left w:val="none" w:sz="0" w:space="0" w:color="auto"/>
        <w:bottom w:val="none" w:sz="0" w:space="0" w:color="auto"/>
        <w:right w:val="none" w:sz="0" w:space="0" w:color="auto"/>
      </w:divBdr>
    </w:div>
    <w:div w:id="854000077">
      <w:bodyDiv w:val="1"/>
      <w:marLeft w:val="0"/>
      <w:marRight w:val="0"/>
      <w:marTop w:val="0"/>
      <w:marBottom w:val="0"/>
      <w:divBdr>
        <w:top w:val="none" w:sz="0" w:space="0" w:color="auto"/>
        <w:left w:val="none" w:sz="0" w:space="0" w:color="auto"/>
        <w:bottom w:val="none" w:sz="0" w:space="0" w:color="auto"/>
        <w:right w:val="none" w:sz="0" w:space="0" w:color="auto"/>
      </w:divBdr>
    </w:div>
    <w:div w:id="859272634">
      <w:bodyDiv w:val="1"/>
      <w:marLeft w:val="0"/>
      <w:marRight w:val="0"/>
      <w:marTop w:val="0"/>
      <w:marBottom w:val="0"/>
      <w:divBdr>
        <w:top w:val="none" w:sz="0" w:space="0" w:color="auto"/>
        <w:left w:val="none" w:sz="0" w:space="0" w:color="auto"/>
        <w:bottom w:val="none" w:sz="0" w:space="0" w:color="auto"/>
        <w:right w:val="none" w:sz="0" w:space="0" w:color="auto"/>
      </w:divBdr>
    </w:div>
    <w:div w:id="863639484">
      <w:bodyDiv w:val="1"/>
      <w:marLeft w:val="0"/>
      <w:marRight w:val="0"/>
      <w:marTop w:val="0"/>
      <w:marBottom w:val="0"/>
      <w:divBdr>
        <w:top w:val="none" w:sz="0" w:space="0" w:color="auto"/>
        <w:left w:val="none" w:sz="0" w:space="0" w:color="auto"/>
        <w:bottom w:val="none" w:sz="0" w:space="0" w:color="auto"/>
        <w:right w:val="none" w:sz="0" w:space="0" w:color="auto"/>
      </w:divBdr>
    </w:div>
    <w:div w:id="864951802">
      <w:bodyDiv w:val="1"/>
      <w:marLeft w:val="0"/>
      <w:marRight w:val="0"/>
      <w:marTop w:val="0"/>
      <w:marBottom w:val="0"/>
      <w:divBdr>
        <w:top w:val="none" w:sz="0" w:space="0" w:color="auto"/>
        <w:left w:val="none" w:sz="0" w:space="0" w:color="auto"/>
        <w:bottom w:val="none" w:sz="0" w:space="0" w:color="auto"/>
        <w:right w:val="none" w:sz="0" w:space="0" w:color="auto"/>
      </w:divBdr>
    </w:div>
    <w:div w:id="865946266">
      <w:bodyDiv w:val="1"/>
      <w:marLeft w:val="0"/>
      <w:marRight w:val="0"/>
      <w:marTop w:val="0"/>
      <w:marBottom w:val="0"/>
      <w:divBdr>
        <w:top w:val="none" w:sz="0" w:space="0" w:color="auto"/>
        <w:left w:val="none" w:sz="0" w:space="0" w:color="auto"/>
        <w:bottom w:val="none" w:sz="0" w:space="0" w:color="auto"/>
        <w:right w:val="none" w:sz="0" w:space="0" w:color="auto"/>
      </w:divBdr>
    </w:div>
    <w:div w:id="868371867">
      <w:bodyDiv w:val="1"/>
      <w:marLeft w:val="0"/>
      <w:marRight w:val="0"/>
      <w:marTop w:val="0"/>
      <w:marBottom w:val="0"/>
      <w:divBdr>
        <w:top w:val="none" w:sz="0" w:space="0" w:color="auto"/>
        <w:left w:val="none" w:sz="0" w:space="0" w:color="auto"/>
        <w:bottom w:val="none" w:sz="0" w:space="0" w:color="auto"/>
        <w:right w:val="none" w:sz="0" w:space="0" w:color="auto"/>
      </w:divBdr>
    </w:div>
    <w:div w:id="869029296">
      <w:bodyDiv w:val="1"/>
      <w:marLeft w:val="0"/>
      <w:marRight w:val="0"/>
      <w:marTop w:val="0"/>
      <w:marBottom w:val="0"/>
      <w:divBdr>
        <w:top w:val="none" w:sz="0" w:space="0" w:color="auto"/>
        <w:left w:val="none" w:sz="0" w:space="0" w:color="auto"/>
        <w:bottom w:val="none" w:sz="0" w:space="0" w:color="auto"/>
        <w:right w:val="none" w:sz="0" w:space="0" w:color="auto"/>
      </w:divBdr>
    </w:div>
    <w:div w:id="872156454">
      <w:bodyDiv w:val="1"/>
      <w:marLeft w:val="0"/>
      <w:marRight w:val="0"/>
      <w:marTop w:val="0"/>
      <w:marBottom w:val="0"/>
      <w:divBdr>
        <w:top w:val="none" w:sz="0" w:space="0" w:color="auto"/>
        <w:left w:val="none" w:sz="0" w:space="0" w:color="auto"/>
        <w:bottom w:val="none" w:sz="0" w:space="0" w:color="auto"/>
        <w:right w:val="none" w:sz="0" w:space="0" w:color="auto"/>
      </w:divBdr>
    </w:div>
    <w:div w:id="873544441">
      <w:bodyDiv w:val="1"/>
      <w:marLeft w:val="0"/>
      <w:marRight w:val="0"/>
      <w:marTop w:val="0"/>
      <w:marBottom w:val="0"/>
      <w:divBdr>
        <w:top w:val="none" w:sz="0" w:space="0" w:color="auto"/>
        <w:left w:val="none" w:sz="0" w:space="0" w:color="auto"/>
        <w:bottom w:val="none" w:sz="0" w:space="0" w:color="auto"/>
        <w:right w:val="none" w:sz="0" w:space="0" w:color="auto"/>
      </w:divBdr>
    </w:div>
    <w:div w:id="873931717">
      <w:bodyDiv w:val="1"/>
      <w:marLeft w:val="0"/>
      <w:marRight w:val="0"/>
      <w:marTop w:val="0"/>
      <w:marBottom w:val="0"/>
      <w:divBdr>
        <w:top w:val="none" w:sz="0" w:space="0" w:color="auto"/>
        <w:left w:val="none" w:sz="0" w:space="0" w:color="auto"/>
        <w:bottom w:val="none" w:sz="0" w:space="0" w:color="auto"/>
        <w:right w:val="none" w:sz="0" w:space="0" w:color="auto"/>
      </w:divBdr>
    </w:div>
    <w:div w:id="874344394">
      <w:bodyDiv w:val="1"/>
      <w:marLeft w:val="0"/>
      <w:marRight w:val="0"/>
      <w:marTop w:val="0"/>
      <w:marBottom w:val="0"/>
      <w:divBdr>
        <w:top w:val="none" w:sz="0" w:space="0" w:color="auto"/>
        <w:left w:val="none" w:sz="0" w:space="0" w:color="auto"/>
        <w:bottom w:val="none" w:sz="0" w:space="0" w:color="auto"/>
        <w:right w:val="none" w:sz="0" w:space="0" w:color="auto"/>
      </w:divBdr>
    </w:div>
    <w:div w:id="875508849">
      <w:bodyDiv w:val="1"/>
      <w:marLeft w:val="0"/>
      <w:marRight w:val="0"/>
      <w:marTop w:val="0"/>
      <w:marBottom w:val="0"/>
      <w:divBdr>
        <w:top w:val="none" w:sz="0" w:space="0" w:color="auto"/>
        <w:left w:val="none" w:sz="0" w:space="0" w:color="auto"/>
        <w:bottom w:val="none" w:sz="0" w:space="0" w:color="auto"/>
        <w:right w:val="none" w:sz="0" w:space="0" w:color="auto"/>
      </w:divBdr>
    </w:div>
    <w:div w:id="876354107">
      <w:bodyDiv w:val="1"/>
      <w:marLeft w:val="0"/>
      <w:marRight w:val="0"/>
      <w:marTop w:val="0"/>
      <w:marBottom w:val="0"/>
      <w:divBdr>
        <w:top w:val="none" w:sz="0" w:space="0" w:color="auto"/>
        <w:left w:val="none" w:sz="0" w:space="0" w:color="auto"/>
        <w:bottom w:val="none" w:sz="0" w:space="0" w:color="auto"/>
        <w:right w:val="none" w:sz="0" w:space="0" w:color="auto"/>
      </w:divBdr>
    </w:div>
    <w:div w:id="876621080">
      <w:bodyDiv w:val="1"/>
      <w:marLeft w:val="0"/>
      <w:marRight w:val="0"/>
      <w:marTop w:val="0"/>
      <w:marBottom w:val="0"/>
      <w:divBdr>
        <w:top w:val="none" w:sz="0" w:space="0" w:color="auto"/>
        <w:left w:val="none" w:sz="0" w:space="0" w:color="auto"/>
        <w:bottom w:val="none" w:sz="0" w:space="0" w:color="auto"/>
        <w:right w:val="none" w:sz="0" w:space="0" w:color="auto"/>
      </w:divBdr>
    </w:div>
    <w:div w:id="876744294">
      <w:bodyDiv w:val="1"/>
      <w:marLeft w:val="0"/>
      <w:marRight w:val="0"/>
      <w:marTop w:val="0"/>
      <w:marBottom w:val="0"/>
      <w:divBdr>
        <w:top w:val="none" w:sz="0" w:space="0" w:color="auto"/>
        <w:left w:val="none" w:sz="0" w:space="0" w:color="auto"/>
        <w:bottom w:val="none" w:sz="0" w:space="0" w:color="auto"/>
        <w:right w:val="none" w:sz="0" w:space="0" w:color="auto"/>
      </w:divBdr>
    </w:div>
    <w:div w:id="877160616">
      <w:bodyDiv w:val="1"/>
      <w:marLeft w:val="0"/>
      <w:marRight w:val="0"/>
      <w:marTop w:val="0"/>
      <w:marBottom w:val="0"/>
      <w:divBdr>
        <w:top w:val="none" w:sz="0" w:space="0" w:color="auto"/>
        <w:left w:val="none" w:sz="0" w:space="0" w:color="auto"/>
        <w:bottom w:val="none" w:sz="0" w:space="0" w:color="auto"/>
        <w:right w:val="none" w:sz="0" w:space="0" w:color="auto"/>
      </w:divBdr>
    </w:div>
    <w:div w:id="880628755">
      <w:bodyDiv w:val="1"/>
      <w:marLeft w:val="0"/>
      <w:marRight w:val="0"/>
      <w:marTop w:val="0"/>
      <w:marBottom w:val="0"/>
      <w:divBdr>
        <w:top w:val="none" w:sz="0" w:space="0" w:color="auto"/>
        <w:left w:val="none" w:sz="0" w:space="0" w:color="auto"/>
        <w:bottom w:val="none" w:sz="0" w:space="0" w:color="auto"/>
        <w:right w:val="none" w:sz="0" w:space="0" w:color="auto"/>
      </w:divBdr>
    </w:div>
    <w:div w:id="886331690">
      <w:bodyDiv w:val="1"/>
      <w:marLeft w:val="0"/>
      <w:marRight w:val="0"/>
      <w:marTop w:val="0"/>
      <w:marBottom w:val="0"/>
      <w:divBdr>
        <w:top w:val="none" w:sz="0" w:space="0" w:color="auto"/>
        <w:left w:val="none" w:sz="0" w:space="0" w:color="auto"/>
        <w:bottom w:val="none" w:sz="0" w:space="0" w:color="auto"/>
        <w:right w:val="none" w:sz="0" w:space="0" w:color="auto"/>
      </w:divBdr>
    </w:div>
    <w:div w:id="888341046">
      <w:bodyDiv w:val="1"/>
      <w:marLeft w:val="0"/>
      <w:marRight w:val="0"/>
      <w:marTop w:val="0"/>
      <w:marBottom w:val="0"/>
      <w:divBdr>
        <w:top w:val="none" w:sz="0" w:space="0" w:color="auto"/>
        <w:left w:val="none" w:sz="0" w:space="0" w:color="auto"/>
        <w:bottom w:val="none" w:sz="0" w:space="0" w:color="auto"/>
        <w:right w:val="none" w:sz="0" w:space="0" w:color="auto"/>
      </w:divBdr>
    </w:div>
    <w:div w:id="892085768">
      <w:bodyDiv w:val="1"/>
      <w:marLeft w:val="0"/>
      <w:marRight w:val="0"/>
      <w:marTop w:val="0"/>
      <w:marBottom w:val="0"/>
      <w:divBdr>
        <w:top w:val="none" w:sz="0" w:space="0" w:color="auto"/>
        <w:left w:val="none" w:sz="0" w:space="0" w:color="auto"/>
        <w:bottom w:val="none" w:sz="0" w:space="0" w:color="auto"/>
        <w:right w:val="none" w:sz="0" w:space="0" w:color="auto"/>
      </w:divBdr>
    </w:div>
    <w:div w:id="892544543">
      <w:bodyDiv w:val="1"/>
      <w:marLeft w:val="0"/>
      <w:marRight w:val="0"/>
      <w:marTop w:val="0"/>
      <w:marBottom w:val="0"/>
      <w:divBdr>
        <w:top w:val="none" w:sz="0" w:space="0" w:color="auto"/>
        <w:left w:val="none" w:sz="0" w:space="0" w:color="auto"/>
        <w:bottom w:val="none" w:sz="0" w:space="0" w:color="auto"/>
        <w:right w:val="none" w:sz="0" w:space="0" w:color="auto"/>
      </w:divBdr>
    </w:div>
    <w:div w:id="895746580">
      <w:bodyDiv w:val="1"/>
      <w:marLeft w:val="0"/>
      <w:marRight w:val="0"/>
      <w:marTop w:val="0"/>
      <w:marBottom w:val="0"/>
      <w:divBdr>
        <w:top w:val="none" w:sz="0" w:space="0" w:color="auto"/>
        <w:left w:val="none" w:sz="0" w:space="0" w:color="auto"/>
        <w:bottom w:val="none" w:sz="0" w:space="0" w:color="auto"/>
        <w:right w:val="none" w:sz="0" w:space="0" w:color="auto"/>
      </w:divBdr>
    </w:div>
    <w:div w:id="898634396">
      <w:bodyDiv w:val="1"/>
      <w:marLeft w:val="0"/>
      <w:marRight w:val="0"/>
      <w:marTop w:val="0"/>
      <w:marBottom w:val="0"/>
      <w:divBdr>
        <w:top w:val="none" w:sz="0" w:space="0" w:color="auto"/>
        <w:left w:val="none" w:sz="0" w:space="0" w:color="auto"/>
        <w:bottom w:val="none" w:sz="0" w:space="0" w:color="auto"/>
        <w:right w:val="none" w:sz="0" w:space="0" w:color="auto"/>
      </w:divBdr>
    </w:div>
    <w:div w:id="903417334">
      <w:bodyDiv w:val="1"/>
      <w:marLeft w:val="0"/>
      <w:marRight w:val="0"/>
      <w:marTop w:val="0"/>
      <w:marBottom w:val="0"/>
      <w:divBdr>
        <w:top w:val="none" w:sz="0" w:space="0" w:color="auto"/>
        <w:left w:val="none" w:sz="0" w:space="0" w:color="auto"/>
        <w:bottom w:val="none" w:sz="0" w:space="0" w:color="auto"/>
        <w:right w:val="none" w:sz="0" w:space="0" w:color="auto"/>
      </w:divBdr>
    </w:div>
    <w:div w:id="904529221">
      <w:bodyDiv w:val="1"/>
      <w:marLeft w:val="0"/>
      <w:marRight w:val="0"/>
      <w:marTop w:val="0"/>
      <w:marBottom w:val="0"/>
      <w:divBdr>
        <w:top w:val="none" w:sz="0" w:space="0" w:color="auto"/>
        <w:left w:val="none" w:sz="0" w:space="0" w:color="auto"/>
        <w:bottom w:val="none" w:sz="0" w:space="0" w:color="auto"/>
        <w:right w:val="none" w:sz="0" w:space="0" w:color="auto"/>
      </w:divBdr>
    </w:div>
    <w:div w:id="906845681">
      <w:bodyDiv w:val="1"/>
      <w:marLeft w:val="0"/>
      <w:marRight w:val="0"/>
      <w:marTop w:val="0"/>
      <w:marBottom w:val="0"/>
      <w:divBdr>
        <w:top w:val="none" w:sz="0" w:space="0" w:color="auto"/>
        <w:left w:val="none" w:sz="0" w:space="0" w:color="auto"/>
        <w:bottom w:val="none" w:sz="0" w:space="0" w:color="auto"/>
        <w:right w:val="none" w:sz="0" w:space="0" w:color="auto"/>
      </w:divBdr>
    </w:div>
    <w:div w:id="908150424">
      <w:bodyDiv w:val="1"/>
      <w:marLeft w:val="0"/>
      <w:marRight w:val="0"/>
      <w:marTop w:val="0"/>
      <w:marBottom w:val="0"/>
      <w:divBdr>
        <w:top w:val="none" w:sz="0" w:space="0" w:color="auto"/>
        <w:left w:val="none" w:sz="0" w:space="0" w:color="auto"/>
        <w:bottom w:val="none" w:sz="0" w:space="0" w:color="auto"/>
        <w:right w:val="none" w:sz="0" w:space="0" w:color="auto"/>
      </w:divBdr>
    </w:div>
    <w:div w:id="908660965">
      <w:bodyDiv w:val="1"/>
      <w:marLeft w:val="0"/>
      <w:marRight w:val="0"/>
      <w:marTop w:val="0"/>
      <w:marBottom w:val="0"/>
      <w:divBdr>
        <w:top w:val="none" w:sz="0" w:space="0" w:color="auto"/>
        <w:left w:val="none" w:sz="0" w:space="0" w:color="auto"/>
        <w:bottom w:val="none" w:sz="0" w:space="0" w:color="auto"/>
        <w:right w:val="none" w:sz="0" w:space="0" w:color="auto"/>
      </w:divBdr>
    </w:div>
    <w:div w:id="909122723">
      <w:bodyDiv w:val="1"/>
      <w:marLeft w:val="0"/>
      <w:marRight w:val="0"/>
      <w:marTop w:val="0"/>
      <w:marBottom w:val="0"/>
      <w:divBdr>
        <w:top w:val="none" w:sz="0" w:space="0" w:color="auto"/>
        <w:left w:val="none" w:sz="0" w:space="0" w:color="auto"/>
        <w:bottom w:val="none" w:sz="0" w:space="0" w:color="auto"/>
        <w:right w:val="none" w:sz="0" w:space="0" w:color="auto"/>
      </w:divBdr>
    </w:div>
    <w:div w:id="909538908">
      <w:bodyDiv w:val="1"/>
      <w:marLeft w:val="0"/>
      <w:marRight w:val="0"/>
      <w:marTop w:val="0"/>
      <w:marBottom w:val="0"/>
      <w:divBdr>
        <w:top w:val="none" w:sz="0" w:space="0" w:color="auto"/>
        <w:left w:val="none" w:sz="0" w:space="0" w:color="auto"/>
        <w:bottom w:val="none" w:sz="0" w:space="0" w:color="auto"/>
        <w:right w:val="none" w:sz="0" w:space="0" w:color="auto"/>
      </w:divBdr>
    </w:div>
    <w:div w:id="912737439">
      <w:bodyDiv w:val="1"/>
      <w:marLeft w:val="0"/>
      <w:marRight w:val="0"/>
      <w:marTop w:val="0"/>
      <w:marBottom w:val="0"/>
      <w:divBdr>
        <w:top w:val="none" w:sz="0" w:space="0" w:color="auto"/>
        <w:left w:val="none" w:sz="0" w:space="0" w:color="auto"/>
        <w:bottom w:val="none" w:sz="0" w:space="0" w:color="auto"/>
        <w:right w:val="none" w:sz="0" w:space="0" w:color="auto"/>
      </w:divBdr>
    </w:div>
    <w:div w:id="913395139">
      <w:bodyDiv w:val="1"/>
      <w:marLeft w:val="0"/>
      <w:marRight w:val="0"/>
      <w:marTop w:val="0"/>
      <w:marBottom w:val="0"/>
      <w:divBdr>
        <w:top w:val="none" w:sz="0" w:space="0" w:color="auto"/>
        <w:left w:val="none" w:sz="0" w:space="0" w:color="auto"/>
        <w:bottom w:val="none" w:sz="0" w:space="0" w:color="auto"/>
        <w:right w:val="none" w:sz="0" w:space="0" w:color="auto"/>
      </w:divBdr>
    </w:div>
    <w:div w:id="918254106">
      <w:bodyDiv w:val="1"/>
      <w:marLeft w:val="0"/>
      <w:marRight w:val="0"/>
      <w:marTop w:val="0"/>
      <w:marBottom w:val="0"/>
      <w:divBdr>
        <w:top w:val="none" w:sz="0" w:space="0" w:color="auto"/>
        <w:left w:val="none" w:sz="0" w:space="0" w:color="auto"/>
        <w:bottom w:val="none" w:sz="0" w:space="0" w:color="auto"/>
        <w:right w:val="none" w:sz="0" w:space="0" w:color="auto"/>
      </w:divBdr>
    </w:div>
    <w:div w:id="921178864">
      <w:bodyDiv w:val="1"/>
      <w:marLeft w:val="0"/>
      <w:marRight w:val="0"/>
      <w:marTop w:val="0"/>
      <w:marBottom w:val="0"/>
      <w:divBdr>
        <w:top w:val="none" w:sz="0" w:space="0" w:color="auto"/>
        <w:left w:val="none" w:sz="0" w:space="0" w:color="auto"/>
        <w:bottom w:val="none" w:sz="0" w:space="0" w:color="auto"/>
        <w:right w:val="none" w:sz="0" w:space="0" w:color="auto"/>
      </w:divBdr>
    </w:div>
    <w:div w:id="922300708">
      <w:bodyDiv w:val="1"/>
      <w:marLeft w:val="0"/>
      <w:marRight w:val="0"/>
      <w:marTop w:val="0"/>
      <w:marBottom w:val="0"/>
      <w:divBdr>
        <w:top w:val="none" w:sz="0" w:space="0" w:color="auto"/>
        <w:left w:val="none" w:sz="0" w:space="0" w:color="auto"/>
        <w:bottom w:val="none" w:sz="0" w:space="0" w:color="auto"/>
        <w:right w:val="none" w:sz="0" w:space="0" w:color="auto"/>
      </w:divBdr>
    </w:div>
    <w:div w:id="923337941">
      <w:bodyDiv w:val="1"/>
      <w:marLeft w:val="0"/>
      <w:marRight w:val="0"/>
      <w:marTop w:val="0"/>
      <w:marBottom w:val="0"/>
      <w:divBdr>
        <w:top w:val="none" w:sz="0" w:space="0" w:color="auto"/>
        <w:left w:val="none" w:sz="0" w:space="0" w:color="auto"/>
        <w:bottom w:val="none" w:sz="0" w:space="0" w:color="auto"/>
        <w:right w:val="none" w:sz="0" w:space="0" w:color="auto"/>
      </w:divBdr>
    </w:div>
    <w:div w:id="923882953">
      <w:bodyDiv w:val="1"/>
      <w:marLeft w:val="0"/>
      <w:marRight w:val="0"/>
      <w:marTop w:val="0"/>
      <w:marBottom w:val="0"/>
      <w:divBdr>
        <w:top w:val="none" w:sz="0" w:space="0" w:color="auto"/>
        <w:left w:val="none" w:sz="0" w:space="0" w:color="auto"/>
        <w:bottom w:val="none" w:sz="0" w:space="0" w:color="auto"/>
        <w:right w:val="none" w:sz="0" w:space="0" w:color="auto"/>
      </w:divBdr>
    </w:div>
    <w:div w:id="924340365">
      <w:bodyDiv w:val="1"/>
      <w:marLeft w:val="0"/>
      <w:marRight w:val="0"/>
      <w:marTop w:val="0"/>
      <w:marBottom w:val="0"/>
      <w:divBdr>
        <w:top w:val="none" w:sz="0" w:space="0" w:color="auto"/>
        <w:left w:val="none" w:sz="0" w:space="0" w:color="auto"/>
        <w:bottom w:val="none" w:sz="0" w:space="0" w:color="auto"/>
        <w:right w:val="none" w:sz="0" w:space="0" w:color="auto"/>
      </w:divBdr>
    </w:div>
    <w:div w:id="925768156">
      <w:bodyDiv w:val="1"/>
      <w:marLeft w:val="0"/>
      <w:marRight w:val="0"/>
      <w:marTop w:val="0"/>
      <w:marBottom w:val="0"/>
      <w:divBdr>
        <w:top w:val="none" w:sz="0" w:space="0" w:color="auto"/>
        <w:left w:val="none" w:sz="0" w:space="0" w:color="auto"/>
        <w:bottom w:val="none" w:sz="0" w:space="0" w:color="auto"/>
        <w:right w:val="none" w:sz="0" w:space="0" w:color="auto"/>
      </w:divBdr>
    </w:div>
    <w:div w:id="926501524">
      <w:bodyDiv w:val="1"/>
      <w:marLeft w:val="0"/>
      <w:marRight w:val="0"/>
      <w:marTop w:val="0"/>
      <w:marBottom w:val="0"/>
      <w:divBdr>
        <w:top w:val="none" w:sz="0" w:space="0" w:color="auto"/>
        <w:left w:val="none" w:sz="0" w:space="0" w:color="auto"/>
        <w:bottom w:val="none" w:sz="0" w:space="0" w:color="auto"/>
        <w:right w:val="none" w:sz="0" w:space="0" w:color="auto"/>
      </w:divBdr>
    </w:div>
    <w:div w:id="927807250">
      <w:bodyDiv w:val="1"/>
      <w:marLeft w:val="0"/>
      <w:marRight w:val="0"/>
      <w:marTop w:val="0"/>
      <w:marBottom w:val="0"/>
      <w:divBdr>
        <w:top w:val="none" w:sz="0" w:space="0" w:color="auto"/>
        <w:left w:val="none" w:sz="0" w:space="0" w:color="auto"/>
        <w:bottom w:val="none" w:sz="0" w:space="0" w:color="auto"/>
        <w:right w:val="none" w:sz="0" w:space="0" w:color="auto"/>
      </w:divBdr>
    </w:div>
    <w:div w:id="927888533">
      <w:bodyDiv w:val="1"/>
      <w:marLeft w:val="0"/>
      <w:marRight w:val="0"/>
      <w:marTop w:val="0"/>
      <w:marBottom w:val="0"/>
      <w:divBdr>
        <w:top w:val="none" w:sz="0" w:space="0" w:color="auto"/>
        <w:left w:val="none" w:sz="0" w:space="0" w:color="auto"/>
        <w:bottom w:val="none" w:sz="0" w:space="0" w:color="auto"/>
        <w:right w:val="none" w:sz="0" w:space="0" w:color="auto"/>
      </w:divBdr>
    </w:div>
    <w:div w:id="932591103">
      <w:bodyDiv w:val="1"/>
      <w:marLeft w:val="0"/>
      <w:marRight w:val="0"/>
      <w:marTop w:val="0"/>
      <w:marBottom w:val="0"/>
      <w:divBdr>
        <w:top w:val="none" w:sz="0" w:space="0" w:color="auto"/>
        <w:left w:val="none" w:sz="0" w:space="0" w:color="auto"/>
        <w:bottom w:val="none" w:sz="0" w:space="0" w:color="auto"/>
        <w:right w:val="none" w:sz="0" w:space="0" w:color="auto"/>
      </w:divBdr>
    </w:div>
    <w:div w:id="933592572">
      <w:bodyDiv w:val="1"/>
      <w:marLeft w:val="0"/>
      <w:marRight w:val="0"/>
      <w:marTop w:val="0"/>
      <w:marBottom w:val="0"/>
      <w:divBdr>
        <w:top w:val="none" w:sz="0" w:space="0" w:color="auto"/>
        <w:left w:val="none" w:sz="0" w:space="0" w:color="auto"/>
        <w:bottom w:val="none" w:sz="0" w:space="0" w:color="auto"/>
        <w:right w:val="none" w:sz="0" w:space="0" w:color="auto"/>
      </w:divBdr>
    </w:div>
    <w:div w:id="938946937">
      <w:bodyDiv w:val="1"/>
      <w:marLeft w:val="0"/>
      <w:marRight w:val="0"/>
      <w:marTop w:val="0"/>
      <w:marBottom w:val="0"/>
      <w:divBdr>
        <w:top w:val="none" w:sz="0" w:space="0" w:color="auto"/>
        <w:left w:val="none" w:sz="0" w:space="0" w:color="auto"/>
        <w:bottom w:val="none" w:sz="0" w:space="0" w:color="auto"/>
        <w:right w:val="none" w:sz="0" w:space="0" w:color="auto"/>
      </w:divBdr>
    </w:div>
    <w:div w:id="942224614">
      <w:bodyDiv w:val="1"/>
      <w:marLeft w:val="0"/>
      <w:marRight w:val="0"/>
      <w:marTop w:val="0"/>
      <w:marBottom w:val="0"/>
      <w:divBdr>
        <w:top w:val="none" w:sz="0" w:space="0" w:color="auto"/>
        <w:left w:val="none" w:sz="0" w:space="0" w:color="auto"/>
        <w:bottom w:val="none" w:sz="0" w:space="0" w:color="auto"/>
        <w:right w:val="none" w:sz="0" w:space="0" w:color="auto"/>
      </w:divBdr>
    </w:div>
    <w:div w:id="942613112">
      <w:bodyDiv w:val="1"/>
      <w:marLeft w:val="0"/>
      <w:marRight w:val="0"/>
      <w:marTop w:val="0"/>
      <w:marBottom w:val="0"/>
      <w:divBdr>
        <w:top w:val="none" w:sz="0" w:space="0" w:color="auto"/>
        <w:left w:val="none" w:sz="0" w:space="0" w:color="auto"/>
        <w:bottom w:val="none" w:sz="0" w:space="0" w:color="auto"/>
        <w:right w:val="none" w:sz="0" w:space="0" w:color="auto"/>
      </w:divBdr>
    </w:div>
    <w:div w:id="942765059">
      <w:bodyDiv w:val="1"/>
      <w:marLeft w:val="0"/>
      <w:marRight w:val="0"/>
      <w:marTop w:val="0"/>
      <w:marBottom w:val="0"/>
      <w:divBdr>
        <w:top w:val="none" w:sz="0" w:space="0" w:color="auto"/>
        <w:left w:val="none" w:sz="0" w:space="0" w:color="auto"/>
        <w:bottom w:val="none" w:sz="0" w:space="0" w:color="auto"/>
        <w:right w:val="none" w:sz="0" w:space="0" w:color="auto"/>
      </w:divBdr>
    </w:div>
    <w:div w:id="945890322">
      <w:bodyDiv w:val="1"/>
      <w:marLeft w:val="0"/>
      <w:marRight w:val="0"/>
      <w:marTop w:val="0"/>
      <w:marBottom w:val="0"/>
      <w:divBdr>
        <w:top w:val="none" w:sz="0" w:space="0" w:color="auto"/>
        <w:left w:val="none" w:sz="0" w:space="0" w:color="auto"/>
        <w:bottom w:val="none" w:sz="0" w:space="0" w:color="auto"/>
        <w:right w:val="none" w:sz="0" w:space="0" w:color="auto"/>
      </w:divBdr>
    </w:div>
    <w:div w:id="947127238">
      <w:bodyDiv w:val="1"/>
      <w:marLeft w:val="0"/>
      <w:marRight w:val="0"/>
      <w:marTop w:val="0"/>
      <w:marBottom w:val="0"/>
      <w:divBdr>
        <w:top w:val="none" w:sz="0" w:space="0" w:color="auto"/>
        <w:left w:val="none" w:sz="0" w:space="0" w:color="auto"/>
        <w:bottom w:val="none" w:sz="0" w:space="0" w:color="auto"/>
        <w:right w:val="none" w:sz="0" w:space="0" w:color="auto"/>
      </w:divBdr>
    </w:div>
    <w:div w:id="949044077">
      <w:bodyDiv w:val="1"/>
      <w:marLeft w:val="0"/>
      <w:marRight w:val="0"/>
      <w:marTop w:val="0"/>
      <w:marBottom w:val="0"/>
      <w:divBdr>
        <w:top w:val="none" w:sz="0" w:space="0" w:color="auto"/>
        <w:left w:val="none" w:sz="0" w:space="0" w:color="auto"/>
        <w:bottom w:val="none" w:sz="0" w:space="0" w:color="auto"/>
        <w:right w:val="none" w:sz="0" w:space="0" w:color="auto"/>
      </w:divBdr>
    </w:div>
    <w:div w:id="950629631">
      <w:bodyDiv w:val="1"/>
      <w:marLeft w:val="0"/>
      <w:marRight w:val="0"/>
      <w:marTop w:val="0"/>
      <w:marBottom w:val="0"/>
      <w:divBdr>
        <w:top w:val="none" w:sz="0" w:space="0" w:color="auto"/>
        <w:left w:val="none" w:sz="0" w:space="0" w:color="auto"/>
        <w:bottom w:val="none" w:sz="0" w:space="0" w:color="auto"/>
        <w:right w:val="none" w:sz="0" w:space="0" w:color="auto"/>
      </w:divBdr>
    </w:div>
    <w:div w:id="951979144">
      <w:bodyDiv w:val="1"/>
      <w:marLeft w:val="0"/>
      <w:marRight w:val="0"/>
      <w:marTop w:val="0"/>
      <w:marBottom w:val="0"/>
      <w:divBdr>
        <w:top w:val="none" w:sz="0" w:space="0" w:color="auto"/>
        <w:left w:val="none" w:sz="0" w:space="0" w:color="auto"/>
        <w:bottom w:val="none" w:sz="0" w:space="0" w:color="auto"/>
        <w:right w:val="none" w:sz="0" w:space="0" w:color="auto"/>
      </w:divBdr>
    </w:div>
    <w:div w:id="957420292">
      <w:bodyDiv w:val="1"/>
      <w:marLeft w:val="0"/>
      <w:marRight w:val="0"/>
      <w:marTop w:val="0"/>
      <w:marBottom w:val="0"/>
      <w:divBdr>
        <w:top w:val="none" w:sz="0" w:space="0" w:color="auto"/>
        <w:left w:val="none" w:sz="0" w:space="0" w:color="auto"/>
        <w:bottom w:val="none" w:sz="0" w:space="0" w:color="auto"/>
        <w:right w:val="none" w:sz="0" w:space="0" w:color="auto"/>
      </w:divBdr>
    </w:div>
    <w:div w:id="958530698">
      <w:bodyDiv w:val="1"/>
      <w:marLeft w:val="0"/>
      <w:marRight w:val="0"/>
      <w:marTop w:val="0"/>
      <w:marBottom w:val="0"/>
      <w:divBdr>
        <w:top w:val="none" w:sz="0" w:space="0" w:color="auto"/>
        <w:left w:val="none" w:sz="0" w:space="0" w:color="auto"/>
        <w:bottom w:val="none" w:sz="0" w:space="0" w:color="auto"/>
        <w:right w:val="none" w:sz="0" w:space="0" w:color="auto"/>
      </w:divBdr>
    </w:div>
    <w:div w:id="959796855">
      <w:bodyDiv w:val="1"/>
      <w:marLeft w:val="0"/>
      <w:marRight w:val="0"/>
      <w:marTop w:val="0"/>
      <w:marBottom w:val="0"/>
      <w:divBdr>
        <w:top w:val="none" w:sz="0" w:space="0" w:color="auto"/>
        <w:left w:val="none" w:sz="0" w:space="0" w:color="auto"/>
        <w:bottom w:val="none" w:sz="0" w:space="0" w:color="auto"/>
        <w:right w:val="none" w:sz="0" w:space="0" w:color="auto"/>
      </w:divBdr>
    </w:div>
    <w:div w:id="961544436">
      <w:bodyDiv w:val="1"/>
      <w:marLeft w:val="0"/>
      <w:marRight w:val="0"/>
      <w:marTop w:val="0"/>
      <w:marBottom w:val="0"/>
      <w:divBdr>
        <w:top w:val="none" w:sz="0" w:space="0" w:color="auto"/>
        <w:left w:val="none" w:sz="0" w:space="0" w:color="auto"/>
        <w:bottom w:val="none" w:sz="0" w:space="0" w:color="auto"/>
        <w:right w:val="none" w:sz="0" w:space="0" w:color="auto"/>
      </w:divBdr>
    </w:div>
    <w:div w:id="961573198">
      <w:bodyDiv w:val="1"/>
      <w:marLeft w:val="0"/>
      <w:marRight w:val="0"/>
      <w:marTop w:val="0"/>
      <w:marBottom w:val="0"/>
      <w:divBdr>
        <w:top w:val="none" w:sz="0" w:space="0" w:color="auto"/>
        <w:left w:val="none" w:sz="0" w:space="0" w:color="auto"/>
        <w:bottom w:val="none" w:sz="0" w:space="0" w:color="auto"/>
        <w:right w:val="none" w:sz="0" w:space="0" w:color="auto"/>
      </w:divBdr>
    </w:div>
    <w:div w:id="961686585">
      <w:bodyDiv w:val="1"/>
      <w:marLeft w:val="0"/>
      <w:marRight w:val="0"/>
      <w:marTop w:val="0"/>
      <w:marBottom w:val="0"/>
      <w:divBdr>
        <w:top w:val="none" w:sz="0" w:space="0" w:color="auto"/>
        <w:left w:val="none" w:sz="0" w:space="0" w:color="auto"/>
        <w:bottom w:val="none" w:sz="0" w:space="0" w:color="auto"/>
        <w:right w:val="none" w:sz="0" w:space="0" w:color="auto"/>
      </w:divBdr>
    </w:div>
    <w:div w:id="968706891">
      <w:bodyDiv w:val="1"/>
      <w:marLeft w:val="0"/>
      <w:marRight w:val="0"/>
      <w:marTop w:val="0"/>
      <w:marBottom w:val="0"/>
      <w:divBdr>
        <w:top w:val="none" w:sz="0" w:space="0" w:color="auto"/>
        <w:left w:val="none" w:sz="0" w:space="0" w:color="auto"/>
        <w:bottom w:val="none" w:sz="0" w:space="0" w:color="auto"/>
        <w:right w:val="none" w:sz="0" w:space="0" w:color="auto"/>
      </w:divBdr>
    </w:div>
    <w:div w:id="968824713">
      <w:bodyDiv w:val="1"/>
      <w:marLeft w:val="0"/>
      <w:marRight w:val="0"/>
      <w:marTop w:val="0"/>
      <w:marBottom w:val="0"/>
      <w:divBdr>
        <w:top w:val="none" w:sz="0" w:space="0" w:color="auto"/>
        <w:left w:val="none" w:sz="0" w:space="0" w:color="auto"/>
        <w:bottom w:val="none" w:sz="0" w:space="0" w:color="auto"/>
        <w:right w:val="none" w:sz="0" w:space="0" w:color="auto"/>
      </w:divBdr>
    </w:div>
    <w:div w:id="970021110">
      <w:bodyDiv w:val="1"/>
      <w:marLeft w:val="0"/>
      <w:marRight w:val="0"/>
      <w:marTop w:val="0"/>
      <w:marBottom w:val="0"/>
      <w:divBdr>
        <w:top w:val="none" w:sz="0" w:space="0" w:color="auto"/>
        <w:left w:val="none" w:sz="0" w:space="0" w:color="auto"/>
        <w:bottom w:val="none" w:sz="0" w:space="0" w:color="auto"/>
        <w:right w:val="none" w:sz="0" w:space="0" w:color="auto"/>
      </w:divBdr>
    </w:div>
    <w:div w:id="976642647">
      <w:bodyDiv w:val="1"/>
      <w:marLeft w:val="0"/>
      <w:marRight w:val="0"/>
      <w:marTop w:val="0"/>
      <w:marBottom w:val="0"/>
      <w:divBdr>
        <w:top w:val="none" w:sz="0" w:space="0" w:color="auto"/>
        <w:left w:val="none" w:sz="0" w:space="0" w:color="auto"/>
        <w:bottom w:val="none" w:sz="0" w:space="0" w:color="auto"/>
        <w:right w:val="none" w:sz="0" w:space="0" w:color="auto"/>
      </w:divBdr>
    </w:div>
    <w:div w:id="977345009">
      <w:bodyDiv w:val="1"/>
      <w:marLeft w:val="0"/>
      <w:marRight w:val="0"/>
      <w:marTop w:val="0"/>
      <w:marBottom w:val="0"/>
      <w:divBdr>
        <w:top w:val="none" w:sz="0" w:space="0" w:color="auto"/>
        <w:left w:val="none" w:sz="0" w:space="0" w:color="auto"/>
        <w:bottom w:val="none" w:sz="0" w:space="0" w:color="auto"/>
        <w:right w:val="none" w:sz="0" w:space="0" w:color="auto"/>
      </w:divBdr>
    </w:div>
    <w:div w:id="978268483">
      <w:bodyDiv w:val="1"/>
      <w:marLeft w:val="0"/>
      <w:marRight w:val="0"/>
      <w:marTop w:val="0"/>
      <w:marBottom w:val="0"/>
      <w:divBdr>
        <w:top w:val="none" w:sz="0" w:space="0" w:color="auto"/>
        <w:left w:val="none" w:sz="0" w:space="0" w:color="auto"/>
        <w:bottom w:val="none" w:sz="0" w:space="0" w:color="auto"/>
        <w:right w:val="none" w:sz="0" w:space="0" w:color="auto"/>
      </w:divBdr>
    </w:div>
    <w:div w:id="978340273">
      <w:bodyDiv w:val="1"/>
      <w:marLeft w:val="0"/>
      <w:marRight w:val="0"/>
      <w:marTop w:val="0"/>
      <w:marBottom w:val="0"/>
      <w:divBdr>
        <w:top w:val="none" w:sz="0" w:space="0" w:color="auto"/>
        <w:left w:val="none" w:sz="0" w:space="0" w:color="auto"/>
        <w:bottom w:val="none" w:sz="0" w:space="0" w:color="auto"/>
        <w:right w:val="none" w:sz="0" w:space="0" w:color="auto"/>
      </w:divBdr>
    </w:div>
    <w:div w:id="981008909">
      <w:bodyDiv w:val="1"/>
      <w:marLeft w:val="0"/>
      <w:marRight w:val="0"/>
      <w:marTop w:val="0"/>
      <w:marBottom w:val="0"/>
      <w:divBdr>
        <w:top w:val="none" w:sz="0" w:space="0" w:color="auto"/>
        <w:left w:val="none" w:sz="0" w:space="0" w:color="auto"/>
        <w:bottom w:val="none" w:sz="0" w:space="0" w:color="auto"/>
        <w:right w:val="none" w:sz="0" w:space="0" w:color="auto"/>
      </w:divBdr>
    </w:div>
    <w:div w:id="984626313">
      <w:bodyDiv w:val="1"/>
      <w:marLeft w:val="0"/>
      <w:marRight w:val="0"/>
      <w:marTop w:val="0"/>
      <w:marBottom w:val="0"/>
      <w:divBdr>
        <w:top w:val="none" w:sz="0" w:space="0" w:color="auto"/>
        <w:left w:val="none" w:sz="0" w:space="0" w:color="auto"/>
        <w:bottom w:val="none" w:sz="0" w:space="0" w:color="auto"/>
        <w:right w:val="none" w:sz="0" w:space="0" w:color="auto"/>
      </w:divBdr>
    </w:div>
    <w:div w:id="987514544">
      <w:bodyDiv w:val="1"/>
      <w:marLeft w:val="0"/>
      <w:marRight w:val="0"/>
      <w:marTop w:val="0"/>
      <w:marBottom w:val="0"/>
      <w:divBdr>
        <w:top w:val="none" w:sz="0" w:space="0" w:color="auto"/>
        <w:left w:val="none" w:sz="0" w:space="0" w:color="auto"/>
        <w:bottom w:val="none" w:sz="0" w:space="0" w:color="auto"/>
        <w:right w:val="none" w:sz="0" w:space="0" w:color="auto"/>
      </w:divBdr>
    </w:div>
    <w:div w:id="988829771">
      <w:bodyDiv w:val="1"/>
      <w:marLeft w:val="0"/>
      <w:marRight w:val="0"/>
      <w:marTop w:val="0"/>
      <w:marBottom w:val="0"/>
      <w:divBdr>
        <w:top w:val="none" w:sz="0" w:space="0" w:color="auto"/>
        <w:left w:val="none" w:sz="0" w:space="0" w:color="auto"/>
        <w:bottom w:val="none" w:sz="0" w:space="0" w:color="auto"/>
        <w:right w:val="none" w:sz="0" w:space="0" w:color="auto"/>
      </w:divBdr>
    </w:div>
    <w:div w:id="988872802">
      <w:bodyDiv w:val="1"/>
      <w:marLeft w:val="0"/>
      <w:marRight w:val="0"/>
      <w:marTop w:val="0"/>
      <w:marBottom w:val="0"/>
      <w:divBdr>
        <w:top w:val="none" w:sz="0" w:space="0" w:color="auto"/>
        <w:left w:val="none" w:sz="0" w:space="0" w:color="auto"/>
        <w:bottom w:val="none" w:sz="0" w:space="0" w:color="auto"/>
        <w:right w:val="none" w:sz="0" w:space="0" w:color="auto"/>
      </w:divBdr>
    </w:div>
    <w:div w:id="990251453">
      <w:bodyDiv w:val="1"/>
      <w:marLeft w:val="0"/>
      <w:marRight w:val="0"/>
      <w:marTop w:val="0"/>
      <w:marBottom w:val="0"/>
      <w:divBdr>
        <w:top w:val="none" w:sz="0" w:space="0" w:color="auto"/>
        <w:left w:val="none" w:sz="0" w:space="0" w:color="auto"/>
        <w:bottom w:val="none" w:sz="0" w:space="0" w:color="auto"/>
        <w:right w:val="none" w:sz="0" w:space="0" w:color="auto"/>
      </w:divBdr>
    </w:div>
    <w:div w:id="993216355">
      <w:bodyDiv w:val="1"/>
      <w:marLeft w:val="0"/>
      <w:marRight w:val="0"/>
      <w:marTop w:val="0"/>
      <w:marBottom w:val="0"/>
      <w:divBdr>
        <w:top w:val="none" w:sz="0" w:space="0" w:color="auto"/>
        <w:left w:val="none" w:sz="0" w:space="0" w:color="auto"/>
        <w:bottom w:val="none" w:sz="0" w:space="0" w:color="auto"/>
        <w:right w:val="none" w:sz="0" w:space="0" w:color="auto"/>
      </w:divBdr>
    </w:div>
    <w:div w:id="998382266">
      <w:bodyDiv w:val="1"/>
      <w:marLeft w:val="0"/>
      <w:marRight w:val="0"/>
      <w:marTop w:val="0"/>
      <w:marBottom w:val="0"/>
      <w:divBdr>
        <w:top w:val="none" w:sz="0" w:space="0" w:color="auto"/>
        <w:left w:val="none" w:sz="0" w:space="0" w:color="auto"/>
        <w:bottom w:val="none" w:sz="0" w:space="0" w:color="auto"/>
        <w:right w:val="none" w:sz="0" w:space="0" w:color="auto"/>
      </w:divBdr>
    </w:div>
    <w:div w:id="1001928676">
      <w:bodyDiv w:val="1"/>
      <w:marLeft w:val="0"/>
      <w:marRight w:val="0"/>
      <w:marTop w:val="0"/>
      <w:marBottom w:val="0"/>
      <w:divBdr>
        <w:top w:val="none" w:sz="0" w:space="0" w:color="auto"/>
        <w:left w:val="none" w:sz="0" w:space="0" w:color="auto"/>
        <w:bottom w:val="none" w:sz="0" w:space="0" w:color="auto"/>
        <w:right w:val="none" w:sz="0" w:space="0" w:color="auto"/>
      </w:divBdr>
    </w:div>
    <w:div w:id="1002002569">
      <w:bodyDiv w:val="1"/>
      <w:marLeft w:val="0"/>
      <w:marRight w:val="0"/>
      <w:marTop w:val="0"/>
      <w:marBottom w:val="0"/>
      <w:divBdr>
        <w:top w:val="none" w:sz="0" w:space="0" w:color="auto"/>
        <w:left w:val="none" w:sz="0" w:space="0" w:color="auto"/>
        <w:bottom w:val="none" w:sz="0" w:space="0" w:color="auto"/>
        <w:right w:val="none" w:sz="0" w:space="0" w:color="auto"/>
      </w:divBdr>
    </w:div>
    <w:div w:id="1003163975">
      <w:bodyDiv w:val="1"/>
      <w:marLeft w:val="0"/>
      <w:marRight w:val="0"/>
      <w:marTop w:val="0"/>
      <w:marBottom w:val="0"/>
      <w:divBdr>
        <w:top w:val="none" w:sz="0" w:space="0" w:color="auto"/>
        <w:left w:val="none" w:sz="0" w:space="0" w:color="auto"/>
        <w:bottom w:val="none" w:sz="0" w:space="0" w:color="auto"/>
        <w:right w:val="none" w:sz="0" w:space="0" w:color="auto"/>
      </w:divBdr>
    </w:div>
    <w:div w:id="1006516498">
      <w:bodyDiv w:val="1"/>
      <w:marLeft w:val="0"/>
      <w:marRight w:val="0"/>
      <w:marTop w:val="0"/>
      <w:marBottom w:val="0"/>
      <w:divBdr>
        <w:top w:val="none" w:sz="0" w:space="0" w:color="auto"/>
        <w:left w:val="none" w:sz="0" w:space="0" w:color="auto"/>
        <w:bottom w:val="none" w:sz="0" w:space="0" w:color="auto"/>
        <w:right w:val="none" w:sz="0" w:space="0" w:color="auto"/>
      </w:divBdr>
    </w:div>
    <w:div w:id="1006980185">
      <w:bodyDiv w:val="1"/>
      <w:marLeft w:val="0"/>
      <w:marRight w:val="0"/>
      <w:marTop w:val="0"/>
      <w:marBottom w:val="0"/>
      <w:divBdr>
        <w:top w:val="none" w:sz="0" w:space="0" w:color="auto"/>
        <w:left w:val="none" w:sz="0" w:space="0" w:color="auto"/>
        <w:bottom w:val="none" w:sz="0" w:space="0" w:color="auto"/>
        <w:right w:val="none" w:sz="0" w:space="0" w:color="auto"/>
      </w:divBdr>
    </w:div>
    <w:div w:id="1007099196">
      <w:bodyDiv w:val="1"/>
      <w:marLeft w:val="0"/>
      <w:marRight w:val="0"/>
      <w:marTop w:val="0"/>
      <w:marBottom w:val="0"/>
      <w:divBdr>
        <w:top w:val="none" w:sz="0" w:space="0" w:color="auto"/>
        <w:left w:val="none" w:sz="0" w:space="0" w:color="auto"/>
        <w:bottom w:val="none" w:sz="0" w:space="0" w:color="auto"/>
        <w:right w:val="none" w:sz="0" w:space="0" w:color="auto"/>
      </w:divBdr>
    </w:div>
    <w:div w:id="1013604823">
      <w:bodyDiv w:val="1"/>
      <w:marLeft w:val="0"/>
      <w:marRight w:val="0"/>
      <w:marTop w:val="0"/>
      <w:marBottom w:val="0"/>
      <w:divBdr>
        <w:top w:val="none" w:sz="0" w:space="0" w:color="auto"/>
        <w:left w:val="none" w:sz="0" w:space="0" w:color="auto"/>
        <w:bottom w:val="none" w:sz="0" w:space="0" w:color="auto"/>
        <w:right w:val="none" w:sz="0" w:space="0" w:color="auto"/>
      </w:divBdr>
    </w:div>
    <w:div w:id="1014109709">
      <w:bodyDiv w:val="1"/>
      <w:marLeft w:val="0"/>
      <w:marRight w:val="0"/>
      <w:marTop w:val="0"/>
      <w:marBottom w:val="0"/>
      <w:divBdr>
        <w:top w:val="none" w:sz="0" w:space="0" w:color="auto"/>
        <w:left w:val="none" w:sz="0" w:space="0" w:color="auto"/>
        <w:bottom w:val="none" w:sz="0" w:space="0" w:color="auto"/>
        <w:right w:val="none" w:sz="0" w:space="0" w:color="auto"/>
      </w:divBdr>
    </w:div>
    <w:div w:id="1018393224">
      <w:bodyDiv w:val="1"/>
      <w:marLeft w:val="0"/>
      <w:marRight w:val="0"/>
      <w:marTop w:val="0"/>
      <w:marBottom w:val="0"/>
      <w:divBdr>
        <w:top w:val="none" w:sz="0" w:space="0" w:color="auto"/>
        <w:left w:val="none" w:sz="0" w:space="0" w:color="auto"/>
        <w:bottom w:val="none" w:sz="0" w:space="0" w:color="auto"/>
        <w:right w:val="none" w:sz="0" w:space="0" w:color="auto"/>
      </w:divBdr>
    </w:div>
    <w:div w:id="1021206590">
      <w:bodyDiv w:val="1"/>
      <w:marLeft w:val="0"/>
      <w:marRight w:val="0"/>
      <w:marTop w:val="0"/>
      <w:marBottom w:val="0"/>
      <w:divBdr>
        <w:top w:val="none" w:sz="0" w:space="0" w:color="auto"/>
        <w:left w:val="none" w:sz="0" w:space="0" w:color="auto"/>
        <w:bottom w:val="none" w:sz="0" w:space="0" w:color="auto"/>
        <w:right w:val="none" w:sz="0" w:space="0" w:color="auto"/>
      </w:divBdr>
    </w:div>
    <w:div w:id="1023477210">
      <w:bodyDiv w:val="1"/>
      <w:marLeft w:val="0"/>
      <w:marRight w:val="0"/>
      <w:marTop w:val="0"/>
      <w:marBottom w:val="0"/>
      <w:divBdr>
        <w:top w:val="none" w:sz="0" w:space="0" w:color="auto"/>
        <w:left w:val="none" w:sz="0" w:space="0" w:color="auto"/>
        <w:bottom w:val="none" w:sz="0" w:space="0" w:color="auto"/>
        <w:right w:val="none" w:sz="0" w:space="0" w:color="auto"/>
      </w:divBdr>
    </w:div>
    <w:div w:id="1025523890">
      <w:bodyDiv w:val="1"/>
      <w:marLeft w:val="0"/>
      <w:marRight w:val="0"/>
      <w:marTop w:val="0"/>
      <w:marBottom w:val="0"/>
      <w:divBdr>
        <w:top w:val="none" w:sz="0" w:space="0" w:color="auto"/>
        <w:left w:val="none" w:sz="0" w:space="0" w:color="auto"/>
        <w:bottom w:val="none" w:sz="0" w:space="0" w:color="auto"/>
        <w:right w:val="none" w:sz="0" w:space="0" w:color="auto"/>
      </w:divBdr>
    </w:div>
    <w:div w:id="1030032484">
      <w:bodyDiv w:val="1"/>
      <w:marLeft w:val="0"/>
      <w:marRight w:val="0"/>
      <w:marTop w:val="0"/>
      <w:marBottom w:val="0"/>
      <w:divBdr>
        <w:top w:val="none" w:sz="0" w:space="0" w:color="auto"/>
        <w:left w:val="none" w:sz="0" w:space="0" w:color="auto"/>
        <w:bottom w:val="none" w:sz="0" w:space="0" w:color="auto"/>
        <w:right w:val="none" w:sz="0" w:space="0" w:color="auto"/>
      </w:divBdr>
    </w:div>
    <w:div w:id="1031149495">
      <w:bodyDiv w:val="1"/>
      <w:marLeft w:val="0"/>
      <w:marRight w:val="0"/>
      <w:marTop w:val="0"/>
      <w:marBottom w:val="0"/>
      <w:divBdr>
        <w:top w:val="none" w:sz="0" w:space="0" w:color="auto"/>
        <w:left w:val="none" w:sz="0" w:space="0" w:color="auto"/>
        <w:bottom w:val="none" w:sz="0" w:space="0" w:color="auto"/>
        <w:right w:val="none" w:sz="0" w:space="0" w:color="auto"/>
      </w:divBdr>
    </w:div>
    <w:div w:id="1032147350">
      <w:bodyDiv w:val="1"/>
      <w:marLeft w:val="0"/>
      <w:marRight w:val="0"/>
      <w:marTop w:val="0"/>
      <w:marBottom w:val="0"/>
      <w:divBdr>
        <w:top w:val="none" w:sz="0" w:space="0" w:color="auto"/>
        <w:left w:val="none" w:sz="0" w:space="0" w:color="auto"/>
        <w:bottom w:val="none" w:sz="0" w:space="0" w:color="auto"/>
        <w:right w:val="none" w:sz="0" w:space="0" w:color="auto"/>
      </w:divBdr>
    </w:div>
    <w:div w:id="1033962253">
      <w:bodyDiv w:val="1"/>
      <w:marLeft w:val="0"/>
      <w:marRight w:val="0"/>
      <w:marTop w:val="0"/>
      <w:marBottom w:val="0"/>
      <w:divBdr>
        <w:top w:val="none" w:sz="0" w:space="0" w:color="auto"/>
        <w:left w:val="none" w:sz="0" w:space="0" w:color="auto"/>
        <w:bottom w:val="none" w:sz="0" w:space="0" w:color="auto"/>
        <w:right w:val="none" w:sz="0" w:space="0" w:color="auto"/>
      </w:divBdr>
    </w:div>
    <w:div w:id="1037315461">
      <w:bodyDiv w:val="1"/>
      <w:marLeft w:val="0"/>
      <w:marRight w:val="0"/>
      <w:marTop w:val="0"/>
      <w:marBottom w:val="0"/>
      <w:divBdr>
        <w:top w:val="none" w:sz="0" w:space="0" w:color="auto"/>
        <w:left w:val="none" w:sz="0" w:space="0" w:color="auto"/>
        <w:bottom w:val="none" w:sz="0" w:space="0" w:color="auto"/>
        <w:right w:val="none" w:sz="0" w:space="0" w:color="auto"/>
      </w:divBdr>
    </w:div>
    <w:div w:id="1038823808">
      <w:bodyDiv w:val="1"/>
      <w:marLeft w:val="0"/>
      <w:marRight w:val="0"/>
      <w:marTop w:val="0"/>
      <w:marBottom w:val="0"/>
      <w:divBdr>
        <w:top w:val="none" w:sz="0" w:space="0" w:color="auto"/>
        <w:left w:val="none" w:sz="0" w:space="0" w:color="auto"/>
        <w:bottom w:val="none" w:sz="0" w:space="0" w:color="auto"/>
        <w:right w:val="none" w:sz="0" w:space="0" w:color="auto"/>
      </w:divBdr>
    </w:div>
    <w:div w:id="1042902841">
      <w:bodyDiv w:val="1"/>
      <w:marLeft w:val="0"/>
      <w:marRight w:val="0"/>
      <w:marTop w:val="0"/>
      <w:marBottom w:val="0"/>
      <w:divBdr>
        <w:top w:val="none" w:sz="0" w:space="0" w:color="auto"/>
        <w:left w:val="none" w:sz="0" w:space="0" w:color="auto"/>
        <w:bottom w:val="none" w:sz="0" w:space="0" w:color="auto"/>
        <w:right w:val="none" w:sz="0" w:space="0" w:color="auto"/>
      </w:divBdr>
    </w:div>
    <w:div w:id="1044674690">
      <w:bodyDiv w:val="1"/>
      <w:marLeft w:val="0"/>
      <w:marRight w:val="0"/>
      <w:marTop w:val="0"/>
      <w:marBottom w:val="0"/>
      <w:divBdr>
        <w:top w:val="none" w:sz="0" w:space="0" w:color="auto"/>
        <w:left w:val="none" w:sz="0" w:space="0" w:color="auto"/>
        <w:bottom w:val="none" w:sz="0" w:space="0" w:color="auto"/>
        <w:right w:val="none" w:sz="0" w:space="0" w:color="auto"/>
      </w:divBdr>
    </w:div>
    <w:div w:id="1045372260">
      <w:bodyDiv w:val="1"/>
      <w:marLeft w:val="0"/>
      <w:marRight w:val="0"/>
      <w:marTop w:val="0"/>
      <w:marBottom w:val="0"/>
      <w:divBdr>
        <w:top w:val="none" w:sz="0" w:space="0" w:color="auto"/>
        <w:left w:val="none" w:sz="0" w:space="0" w:color="auto"/>
        <w:bottom w:val="none" w:sz="0" w:space="0" w:color="auto"/>
        <w:right w:val="none" w:sz="0" w:space="0" w:color="auto"/>
      </w:divBdr>
      <w:divsChild>
        <w:div w:id="1618416356">
          <w:marLeft w:val="420"/>
          <w:marRight w:val="0"/>
          <w:marTop w:val="0"/>
          <w:marBottom w:val="0"/>
          <w:divBdr>
            <w:top w:val="none" w:sz="0" w:space="0" w:color="auto"/>
            <w:left w:val="none" w:sz="0" w:space="0" w:color="auto"/>
            <w:bottom w:val="none" w:sz="0" w:space="0" w:color="auto"/>
            <w:right w:val="none" w:sz="0" w:space="0" w:color="auto"/>
          </w:divBdr>
          <w:divsChild>
            <w:div w:id="401870491">
              <w:marLeft w:val="0"/>
              <w:marRight w:val="0"/>
              <w:marTop w:val="27"/>
              <w:marBottom w:val="27"/>
              <w:divBdr>
                <w:top w:val="none" w:sz="0" w:space="0" w:color="auto"/>
                <w:left w:val="none" w:sz="0" w:space="0" w:color="auto"/>
                <w:bottom w:val="none" w:sz="0" w:space="0" w:color="auto"/>
                <w:right w:val="none" w:sz="0" w:space="0" w:color="auto"/>
              </w:divBdr>
            </w:div>
          </w:divsChild>
        </w:div>
      </w:divsChild>
    </w:div>
    <w:div w:id="1045837649">
      <w:bodyDiv w:val="1"/>
      <w:marLeft w:val="0"/>
      <w:marRight w:val="0"/>
      <w:marTop w:val="0"/>
      <w:marBottom w:val="0"/>
      <w:divBdr>
        <w:top w:val="none" w:sz="0" w:space="0" w:color="auto"/>
        <w:left w:val="none" w:sz="0" w:space="0" w:color="auto"/>
        <w:bottom w:val="none" w:sz="0" w:space="0" w:color="auto"/>
        <w:right w:val="none" w:sz="0" w:space="0" w:color="auto"/>
      </w:divBdr>
    </w:div>
    <w:div w:id="1049764218">
      <w:bodyDiv w:val="1"/>
      <w:marLeft w:val="0"/>
      <w:marRight w:val="0"/>
      <w:marTop w:val="0"/>
      <w:marBottom w:val="0"/>
      <w:divBdr>
        <w:top w:val="none" w:sz="0" w:space="0" w:color="auto"/>
        <w:left w:val="none" w:sz="0" w:space="0" w:color="auto"/>
        <w:bottom w:val="none" w:sz="0" w:space="0" w:color="auto"/>
        <w:right w:val="none" w:sz="0" w:space="0" w:color="auto"/>
      </w:divBdr>
    </w:div>
    <w:div w:id="1049768917">
      <w:bodyDiv w:val="1"/>
      <w:marLeft w:val="0"/>
      <w:marRight w:val="0"/>
      <w:marTop w:val="0"/>
      <w:marBottom w:val="0"/>
      <w:divBdr>
        <w:top w:val="none" w:sz="0" w:space="0" w:color="auto"/>
        <w:left w:val="none" w:sz="0" w:space="0" w:color="auto"/>
        <w:bottom w:val="none" w:sz="0" w:space="0" w:color="auto"/>
        <w:right w:val="none" w:sz="0" w:space="0" w:color="auto"/>
      </w:divBdr>
    </w:div>
    <w:div w:id="1050543049">
      <w:bodyDiv w:val="1"/>
      <w:marLeft w:val="0"/>
      <w:marRight w:val="0"/>
      <w:marTop w:val="0"/>
      <w:marBottom w:val="0"/>
      <w:divBdr>
        <w:top w:val="none" w:sz="0" w:space="0" w:color="auto"/>
        <w:left w:val="none" w:sz="0" w:space="0" w:color="auto"/>
        <w:bottom w:val="none" w:sz="0" w:space="0" w:color="auto"/>
        <w:right w:val="none" w:sz="0" w:space="0" w:color="auto"/>
      </w:divBdr>
    </w:div>
    <w:div w:id="1050688720">
      <w:bodyDiv w:val="1"/>
      <w:marLeft w:val="0"/>
      <w:marRight w:val="0"/>
      <w:marTop w:val="0"/>
      <w:marBottom w:val="0"/>
      <w:divBdr>
        <w:top w:val="none" w:sz="0" w:space="0" w:color="auto"/>
        <w:left w:val="none" w:sz="0" w:space="0" w:color="auto"/>
        <w:bottom w:val="none" w:sz="0" w:space="0" w:color="auto"/>
        <w:right w:val="none" w:sz="0" w:space="0" w:color="auto"/>
      </w:divBdr>
    </w:div>
    <w:div w:id="1052844857">
      <w:bodyDiv w:val="1"/>
      <w:marLeft w:val="0"/>
      <w:marRight w:val="0"/>
      <w:marTop w:val="0"/>
      <w:marBottom w:val="0"/>
      <w:divBdr>
        <w:top w:val="none" w:sz="0" w:space="0" w:color="auto"/>
        <w:left w:val="none" w:sz="0" w:space="0" w:color="auto"/>
        <w:bottom w:val="none" w:sz="0" w:space="0" w:color="auto"/>
        <w:right w:val="none" w:sz="0" w:space="0" w:color="auto"/>
      </w:divBdr>
      <w:divsChild>
        <w:div w:id="1240363409">
          <w:marLeft w:val="0"/>
          <w:marRight w:val="0"/>
          <w:marTop w:val="98"/>
          <w:marBottom w:val="0"/>
          <w:divBdr>
            <w:top w:val="none" w:sz="0" w:space="0" w:color="auto"/>
            <w:left w:val="none" w:sz="0" w:space="0" w:color="auto"/>
            <w:bottom w:val="none" w:sz="0" w:space="0" w:color="auto"/>
            <w:right w:val="none" w:sz="0" w:space="0" w:color="auto"/>
          </w:divBdr>
        </w:div>
        <w:div w:id="2112045726">
          <w:marLeft w:val="0"/>
          <w:marRight w:val="0"/>
          <w:marTop w:val="98"/>
          <w:marBottom w:val="0"/>
          <w:divBdr>
            <w:top w:val="none" w:sz="0" w:space="0" w:color="auto"/>
            <w:left w:val="none" w:sz="0" w:space="0" w:color="auto"/>
            <w:bottom w:val="none" w:sz="0" w:space="0" w:color="auto"/>
            <w:right w:val="none" w:sz="0" w:space="0" w:color="auto"/>
          </w:divBdr>
        </w:div>
      </w:divsChild>
    </w:div>
    <w:div w:id="1053043085">
      <w:bodyDiv w:val="1"/>
      <w:marLeft w:val="0"/>
      <w:marRight w:val="0"/>
      <w:marTop w:val="0"/>
      <w:marBottom w:val="0"/>
      <w:divBdr>
        <w:top w:val="none" w:sz="0" w:space="0" w:color="auto"/>
        <w:left w:val="none" w:sz="0" w:space="0" w:color="auto"/>
        <w:bottom w:val="none" w:sz="0" w:space="0" w:color="auto"/>
        <w:right w:val="none" w:sz="0" w:space="0" w:color="auto"/>
      </w:divBdr>
    </w:div>
    <w:div w:id="1053844180">
      <w:bodyDiv w:val="1"/>
      <w:marLeft w:val="0"/>
      <w:marRight w:val="0"/>
      <w:marTop w:val="0"/>
      <w:marBottom w:val="0"/>
      <w:divBdr>
        <w:top w:val="none" w:sz="0" w:space="0" w:color="auto"/>
        <w:left w:val="none" w:sz="0" w:space="0" w:color="auto"/>
        <w:bottom w:val="none" w:sz="0" w:space="0" w:color="auto"/>
        <w:right w:val="none" w:sz="0" w:space="0" w:color="auto"/>
      </w:divBdr>
    </w:div>
    <w:div w:id="1056317161">
      <w:bodyDiv w:val="1"/>
      <w:marLeft w:val="0"/>
      <w:marRight w:val="0"/>
      <w:marTop w:val="0"/>
      <w:marBottom w:val="0"/>
      <w:divBdr>
        <w:top w:val="none" w:sz="0" w:space="0" w:color="auto"/>
        <w:left w:val="none" w:sz="0" w:space="0" w:color="auto"/>
        <w:bottom w:val="none" w:sz="0" w:space="0" w:color="auto"/>
        <w:right w:val="none" w:sz="0" w:space="0" w:color="auto"/>
      </w:divBdr>
    </w:div>
    <w:div w:id="1068654756">
      <w:bodyDiv w:val="1"/>
      <w:marLeft w:val="0"/>
      <w:marRight w:val="0"/>
      <w:marTop w:val="0"/>
      <w:marBottom w:val="0"/>
      <w:divBdr>
        <w:top w:val="none" w:sz="0" w:space="0" w:color="auto"/>
        <w:left w:val="none" w:sz="0" w:space="0" w:color="auto"/>
        <w:bottom w:val="none" w:sz="0" w:space="0" w:color="auto"/>
        <w:right w:val="none" w:sz="0" w:space="0" w:color="auto"/>
      </w:divBdr>
    </w:div>
    <w:div w:id="1068920672">
      <w:bodyDiv w:val="1"/>
      <w:marLeft w:val="0"/>
      <w:marRight w:val="0"/>
      <w:marTop w:val="0"/>
      <w:marBottom w:val="0"/>
      <w:divBdr>
        <w:top w:val="none" w:sz="0" w:space="0" w:color="auto"/>
        <w:left w:val="none" w:sz="0" w:space="0" w:color="auto"/>
        <w:bottom w:val="none" w:sz="0" w:space="0" w:color="auto"/>
        <w:right w:val="none" w:sz="0" w:space="0" w:color="auto"/>
      </w:divBdr>
    </w:div>
    <w:div w:id="1073505792">
      <w:bodyDiv w:val="1"/>
      <w:marLeft w:val="0"/>
      <w:marRight w:val="0"/>
      <w:marTop w:val="0"/>
      <w:marBottom w:val="0"/>
      <w:divBdr>
        <w:top w:val="none" w:sz="0" w:space="0" w:color="auto"/>
        <w:left w:val="none" w:sz="0" w:space="0" w:color="auto"/>
        <w:bottom w:val="none" w:sz="0" w:space="0" w:color="auto"/>
        <w:right w:val="none" w:sz="0" w:space="0" w:color="auto"/>
      </w:divBdr>
    </w:div>
    <w:div w:id="1076511701">
      <w:bodyDiv w:val="1"/>
      <w:marLeft w:val="0"/>
      <w:marRight w:val="0"/>
      <w:marTop w:val="0"/>
      <w:marBottom w:val="0"/>
      <w:divBdr>
        <w:top w:val="none" w:sz="0" w:space="0" w:color="auto"/>
        <w:left w:val="none" w:sz="0" w:space="0" w:color="auto"/>
        <w:bottom w:val="none" w:sz="0" w:space="0" w:color="auto"/>
        <w:right w:val="none" w:sz="0" w:space="0" w:color="auto"/>
      </w:divBdr>
    </w:div>
    <w:div w:id="1076905308">
      <w:bodyDiv w:val="1"/>
      <w:marLeft w:val="0"/>
      <w:marRight w:val="0"/>
      <w:marTop w:val="0"/>
      <w:marBottom w:val="0"/>
      <w:divBdr>
        <w:top w:val="none" w:sz="0" w:space="0" w:color="auto"/>
        <w:left w:val="none" w:sz="0" w:space="0" w:color="auto"/>
        <w:bottom w:val="none" w:sz="0" w:space="0" w:color="auto"/>
        <w:right w:val="none" w:sz="0" w:space="0" w:color="auto"/>
      </w:divBdr>
    </w:div>
    <w:div w:id="1077361517">
      <w:bodyDiv w:val="1"/>
      <w:marLeft w:val="0"/>
      <w:marRight w:val="0"/>
      <w:marTop w:val="0"/>
      <w:marBottom w:val="0"/>
      <w:divBdr>
        <w:top w:val="none" w:sz="0" w:space="0" w:color="auto"/>
        <w:left w:val="none" w:sz="0" w:space="0" w:color="auto"/>
        <w:bottom w:val="none" w:sz="0" w:space="0" w:color="auto"/>
        <w:right w:val="none" w:sz="0" w:space="0" w:color="auto"/>
      </w:divBdr>
    </w:div>
    <w:div w:id="1081684400">
      <w:bodyDiv w:val="1"/>
      <w:marLeft w:val="0"/>
      <w:marRight w:val="0"/>
      <w:marTop w:val="0"/>
      <w:marBottom w:val="0"/>
      <w:divBdr>
        <w:top w:val="none" w:sz="0" w:space="0" w:color="auto"/>
        <w:left w:val="none" w:sz="0" w:space="0" w:color="auto"/>
        <w:bottom w:val="none" w:sz="0" w:space="0" w:color="auto"/>
        <w:right w:val="none" w:sz="0" w:space="0" w:color="auto"/>
      </w:divBdr>
    </w:div>
    <w:div w:id="1082409390">
      <w:bodyDiv w:val="1"/>
      <w:marLeft w:val="0"/>
      <w:marRight w:val="0"/>
      <w:marTop w:val="0"/>
      <w:marBottom w:val="0"/>
      <w:divBdr>
        <w:top w:val="none" w:sz="0" w:space="0" w:color="auto"/>
        <w:left w:val="none" w:sz="0" w:space="0" w:color="auto"/>
        <w:bottom w:val="none" w:sz="0" w:space="0" w:color="auto"/>
        <w:right w:val="none" w:sz="0" w:space="0" w:color="auto"/>
      </w:divBdr>
    </w:div>
    <w:div w:id="1082868646">
      <w:bodyDiv w:val="1"/>
      <w:marLeft w:val="0"/>
      <w:marRight w:val="0"/>
      <w:marTop w:val="0"/>
      <w:marBottom w:val="0"/>
      <w:divBdr>
        <w:top w:val="none" w:sz="0" w:space="0" w:color="auto"/>
        <w:left w:val="none" w:sz="0" w:space="0" w:color="auto"/>
        <w:bottom w:val="none" w:sz="0" w:space="0" w:color="auto"/>
        <w:right w:val="none" w:sz="0" w:space="0" w:color="auto"/>
      </w:divBdr>
    </w:div>
    <w:div w:id="1083918505">
      <w:bodyDiv w:val="1"/>
      <w:marLeft w:val="0"/>
      <w:marRight w:val="0"/>
      <w:marTop w:val="0"/>
      <w:marBottom w:val="0"/>
      <w:divBdr>
        <w:top w:val="none" w:sz="0" w:space="0" w:color="auto"/>
        <w:left w:val="none" w:sz="0" w:space="0" w:color="auto"/>
        <w:bottom w:val="none" w:sz="0" w:space="0" w:color="auto"/>
        <w:right w:val="none" w:sz="0" w:space="0" w:color="auto"/>
      </w:divBdr>
    </w:div>
    <w:div w:id="1084304494">
      <w:bodyDiv w:val="1"/>
      <w:marLeft w:val="0"/>
      <w:marRight w:val="0"/>
      <w:marTop w:val="0"/>
      <w:marBottom w:val="0"/>
      <w:divBdr>
        <w:top w:val="none" w:sz="0" w:space="0" w:color="auto"/>
        <w:left w:val="none" w:sz="0" w:space="0" w:color="auto"/>
        <w:bottom w:val="none" w:sz="0" w:space="0" w:color="auto"/>
        <w:right w:val="none" w:sz="0" w:space="0" w:color="auto"/>
      </w:divBdr>
    </w:div>
    <w:div w:id="1084456068">
      <w:bodyDiv w:val="1"/>
      <w:marLeft w:val="0"/>
      <w:marRight w:val="0"/>
      <w:marTop w:val="0"/>
      <w:marBottom w:val="0"/>
      <w:divBdr>
        <w:top w:val="none" w:sz="0" w:space="0" w:color="auto"/>
        <w:left w:val="none" w:sz="0" w:space="0" w:color="auto"/>
        <w:bottom w:val="none" w:sz="0" w:space="0" w:color="auto"/>
        <w:right w:val="none" w:sz="0" w:space="0" w:color="auto"/>
      </w:divBdr>
    </w:div>
    <w:div w:id="1089931613">
      <w:bodyDiv w:val="1"/>
      <w:marLeft w:val="0"/>
      <w:marRight w:val="0"/>
      <w:marTop w:val="0"/>
      <w:marBottom w:val="0"/>
      <w:divBdr>
        <w:top w:val="none" w:sz="0" w:space="0" w:color="auto"/>
        <w:left w:val="none" w:sz="0" w:space="0" w:color="auto"/>
        <w:bottom w:val="none" w:sz="0" w:space="0" w:color="auto"/>
        <w:right w:val="none" w:sz="0" w:space="0" w:color="auto"/>
      </w:divBdr>
    </w:div>
    <w:div w:id="1103068141">
      <w:bodyDiv w:val="1"/>
      <w:marLeft w:val="0"/>
      <w:marRight w:val="0"/>
      <w:marTop w:val="0"/>
      <w:marBottom w:val="0"/>
      <w:divBdr>
        <w:top w:val="none" w:sz="0" w:space="0" w:color="auto"/>
        <w:left w:val="none" w:sz="0" w:space="0" w:color="auto"/>
        <w:bottom w:val="none" w:sz="0" w:space="0" w:color="auto"/>
        <w:right w:val="none" w:sz="0" w:space="0" w:color="auto"/>
      </w:divBdr>
    </w:div>
    <w:div w:id="1103500175">
      <w:bodyDiv w:val="1"/>
      <w:marLeft w:val="0"/>
      <w:marRight w:val="0"/>
      <w:marTop w:val="0"/>
      <w:marBottom w:val="0"/>
      <w:divBdr>
        <w:top w:val="none" w:sz="0" w:space="0" w:color="auto"/>
        <w:left w:val="none" w:sz="0" w:space="0" w:color="auto"/>
        <w:bottom w:val="none" w:sz="0" w:space="0" w:color="auto"/>
        <w:right w:val="none" w:sz="0" w:space="0" w:color="auto"/>
      </w:divBdr>
    </w:div>
    <w:div w:id="1103841625">
      <w:bodyDiv w:val="1"/>
      <w:marLeft w:val="0"/>
      <w:marRight w:val="0"/>
      <w:marTop w:val="0"/>
      <w:marBottom w:val="0"/>
      <w:divBdr>
        <w:top w:val="none" w:sz="0" w:space="0" w:color="auto"/>
        <w:left w:val="none" w:sz="0" w:space="0" w:color="auto"/>
        <w:bottom w:val="none" w:sz="0" w:space="0" w:color="auto"/>
        <w:right w:val="none" w:sz="0" w:space="0" w:color="auto"/>
      </w:divBdr>
    </w:div>
    <w:div w:id="1110929037">
      <w:bodyDiv w:val="1"/>
      <w:marLeft w:val="0"/>
      <w:marRight w:val="0"/>
      <w:marTop w:val="0"/>
      <w:marBottom w:val="0"/>
      <w:divBdr>
        <w:top w:val="none" w:sz="0" w:space="0" w:color="auto"/>
        <w:left w:val="none" w:sz="0" w:space="0" w:color="auto"/>
        <w:bottom w:val="none" w:sz="0" w:space="0" w:color="auto"/>
        <w:right w:val="none" w:sz="0" w:space="0" w:color="auto"/>
      </w:divBdr>
      <w:divsChild>
        <w:div w:id="1224829878">
          <w:marLeft w:val="0"/>
          <w:marRight w:val="0"/>
          <w:marTop w:val="75"/>
          <w:marBottom w:val="75"/>
          <w:divBdr>
            <w:top w:val="none" w:sz="0" w:space="0" w:color="auto"/>
            <w:left w:val="none" w:sz="0" w:space="0" w:color="auto"/>
            <w:bottom w:val="none" w:sz="0" w:space="0" w:color="auto"/>
            <w:right w:val="none" w:sz="0" w:space="0" w:color="auto"/>
          </w:divBdr>
          <w:divsChild>
            <w:div w:id="452139242">
              <w:marLeft w:val="0"/>
              <w:marRight w:val="0"/>
              <w:marTop w:val="180"/>
              <w:marBottom w:val="300"/>
              <w:divBdr>
                <w:top w:val="none" w:sz="0" w:space="0" w:color="auto"/>
                <w:left w:val="none" w:sz="0" w:space="0" w:color="auto"/>
                <w:bottom w:val="none" w:sz="0" w:space="0" w:color="auto"/>
                <w:right w:val="none" w:sz="0" w:space="0" w:color="auto"/>
              </w:divBdr>
              <w:divsChild>
                <w:div w:id="270669289">
                  <w:marLeft w:val="0"/>
                  <w:marRight w:val="0"/>
                  <w:marTop w:val="0"/>
                  <w:marBottom w:val="0"/>
                  <w:divBdr>
                    <w:top w:val="none" w:sz="0" w:space="0" w:color="auto"/>
                    <w:left w:val="none" w:sz="0" w:space="0" w:color="auto"/>
                    <w:bottom w:val="none" w:sz="0" w:space="0" w:color="auto"/>
                    <w:right w:val="none" w:sz="0" w:space="0" w:color="auto"/>
                  </w:divBdr>
                  <w:divsChild>
                    <w:div w:id="1641766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14204775">
      <w:bodyDiv w:val="1"/>
      <w:marLeft w:val="0"/>
      <w:marRight w:val="0"/>
      <w:marTop w:val="0"/>
      <w:marBottom w:val="0"/>
      <w:divBdr>
        <w:top w:val="none" w:sz="0" w:space="0" w:color="auto"/>
        <w:left w:val="none" w:sz="0" w:space="0" w:color="auto"/>
        <w:bottom w:val="none" w:sz="0" w:space="0" w:color="auto"/>
        <w:right w:val="none" w:sz="0" w:space="0" w:color="auto"/>
      </w:divBdr>
    </w:div>
    <w:div w:id="1114397507">
      <w:bodyDiv w:val="1"/>
      <w:marLeft w:val="0"/>
      <w:marRight w:val="0"/>
      <w:marTop w:val="0"/>
      <w:marBottom w:val="0"/>
      <w:divBdr>
        <w:top w:val="none" w:sz="0" w:space="0" w:color="auto"/>
        <w:left w:val="none" w:sz="0" w:space="0" w:color="auto"/>
        <w:bottom w:val="none" w:sz="0" w:space="0" w:color="auto"/>
        <w:right w:val="none" w:sz="0" w:space="0" w:color="auto"/>
      </w:divBdr>
    </w:div>
    <w:div w:id="1119109474">
      <w:bodyDiv w:val="1"/>
      <w:marLeft w:val="0"/>
      <w:marRight w:val="0"/>
      <w:marTop w:val="0"/>
      <w:marBottom w:val="0"/>
      <w:divBdr>
        <w:top w:val="none" w:sz="0" w:space="0" w:color="auto"/>
        <w:left w:val="none" w:sz="0" w:space="0" w:color="auto"/>
        <w:bottom w:val="none" w:sz="0" w:space="0" w:color="auto"/>
        <w:right w:val="none" w:sz="0" w:space="0" w:color="auto"/>
      </w:divBdr>
    </w:div>
    <w:div w:id="1120106681">
      <w:bodyDiv w:val="1"/>
      <w:marLeft w:val="0"/>
      <w:marRight w:val="0"/>
      <w:marTop w:val="0"/>
      <w:marBottom w:val="0"/>
      <w:divBdr>
        <w:top w:val="none" w:sz="0" w:space="0" w:color="auto"/>
        <w:left w:val="none" w:sz="0" w:space="0" w:color="auto"/>
        <w:bottom w:val="none" w:sz="0" w:space="0" w:color="auto"/>
        <w:right w:val="none" w:sz="0" w:space="0" w:color="auto"/>
      </w:divBdr>
    </w:div>
    <w:div w:id="1125003464">
      <w:bodyDiv w:val="1"/>
      <w:marLeft w:val="0"/>
      <w:marRight w:val="0"/>
      <w:marTop w:val="0"/>
      <w:marBottom w:val="0"/>
      <w:divBdr>
        <w:top w:val="none" w:sz="0" w:space="0" w:color="auto"/>
        <w:left w:val="none" w:sz="0" w:space="0" w:color="auto"/>
        <w:bottom w:val="none" w:sz="0" w:space="0" w:color="auto"/>
        <w:right w:val="none" w:sz="0" w:space="0" w:color="auto"/>
      </w:divBdr>
    </w:div>
    <w:div w:id="1126464782">
      <w:bodyDiv w:val="1"/>
      <w:marLeft w:val="0"/>
      <w:marRight w:val="0"/>
      <w:marTop w:val="0"/>
      <w:marBottom w:val="0"/>
      <w:divBdr>
        <w:top w:val="none" w:sz="0" w:space="0" w:color="auto"/>
        <w:left w:val="none" w:sz="0" w:space="0" w:color="auto"/>
        <w:bottom w:val="none" w:sz="0" w:space="0" w:color="auto"/>
        <w:right w:val="none" w:sz="0" w:space="0" w:color="auto"/>
      </w:divBdr>
    </w:div>
    <w:div w:id="1127510250">
      <w:bodyDiv w:val="1"/>
      <w:marLeft w:val="0"/>
      <w:marRight w:val="0"/>
      <w:marTop w:val="0"/>
      <w:marBottom w:val="0"/>
      <w:divBdr>
        <w:top w:val="none" w:sz="0" w:space="0" w:color="auto"/>
        <w:left w:val="none" w:sz="0" w:space="0" w:color="auto"/>
        <w:bottom w:val="none" w:sz="0" w:space="0" w:color="auto"/>
        <w:right w:val="none" w:sz="0" w:space="0" w:color="auto"/>
      </w:divBdr>
    </w:div>
    <w:div w:id="1127702091">
      <w:bodyDiv w:val="1"/>
      <w:marLeft w:val="0"/>
      <w:marRight w:val="0"/>
      <w:marTop w:val="0"/>
      <w:marBottom w:val="0"/>
      <w:divBdr>
        <w:top w:val="none" w:sz="0" w:space="0" w:color="auto"/>
        <w:left w:val="none" w:sz="0" w:space="0" w:color="auto"/>
        <w:bottom w:val="none" w:sz="0" w:space="0" w:color="auto"/>
        <w:right w:val="none" w:sz="0" w:space="0" w:color="auto"/>
      </w:divBdr>
    </w:div>
    <w:div w:id="1128814373">
      <w:bodyDiv w:val="1"/>
      <w:marLeft w:val="0"/>
      <w:marRight w:val="0"/>
      <w:marTop w:val="0"/>
      <w:marBottom w:val="0"/>
      <w:divBdr>
        <w:top w:val="none" w:sz="0" w:space="0" w:color="auto"/>
        <w:left w:val="none" w:sz="0" w:space="0" w:color="auto"/>
        <w:bottom w:val="none" w:sz="0" w:space="0" w:color="auto"/>
        <w:right w:val="none" w:sz="0" w:space="0" w:color="auto"/>
      </w:divBdr>
    </w:div>
    <w:div w:id="1131441111">
      <w:bodyDiv w:val="1"/>
      <w:marLeft w:val="0"/>
      <w:marRight w:val="0"/>
      <w:marTop w:val="0"/>
      <w:marBottom w:val="0"/>
      <w:divBdr>
        <w:top w:val="none" w:sz="0" w:space="0" w:color="auto"/>
        <w:left w:val="none" w:sz="0" w:space="0" w:color="auto"/>
        <w:bottom w:val="none" w:sz="0" w:space="0" w:color="auto"/>
        <w:right w:val="none" w:sz="0" w:space="0" w:color="auto"/>
      </w:divBdr>
    </w:div>
    <w:div w:id="1132096222">
      <w:bodyDiv w:val="1"/>
      <w:marLeft w:val="0"/>
      <w:marRight w:val="0"/>
      <w:marTop w:val="0"/>
      <w:marBottom w:val="0"/>
      <w:divBdr>
        <w:top w:val="none" w:sz="0" w:space="0" w:color="auto"/>
        <w:left w:val="none" w:sz="0" w:space="0" w:color="auto"/>
        <w:bottom w:val="none" w:sz="0" w:space="0" w:color="auto"/>
        <w:right w:val="none" w:sz="0" w:space="0" w:color="auto"/>
      </w:divBdr>
      <w:divsChild>
        <w:div w:id="1925145235">
          <w:marLeft w:val="0"/>
          <w:marRight w:val="0"/>
          <w:marTop w:val="66"/>
          <w:marBottom w:val="0"/>
          <w:divBdr>
            <w:top w:val="none" w:sz="0" w:space="0" w:color="auto"/>
            <w:left w:val="none" w:sz="0" w:space="0" w:color="auto"/>
            <w:bottom w:val="none" w:sz="0" w:space="0" w:color="auto"/>
            <w:right w:val="none" w:sz="0" w:space="0" w:color="auto"/>
          </w:divBdr>
        </w:div>
      </w:divsChild>
    </w:div>
    <w:div w:id="1133672584">
      <w:bodyDiv w:val="1"/>
      <w:marLeft w:val="0"/>
      <w:marRight w:val="0"/>
      <w:marTop w:val="0"/>
      <w:marBottom w:val="0"/>
      <w:divBdr>
        <w:top w:val="none" w:sz="0" w:space="0" w:color="auto"/>
        <w:left w:val="none" w:sz="0" w:space="0" w:color="auto"/>
        <w:bottom w:val="none" w:sz="0" w:space="0" w:color="auto"/>
        <w:right w:val="none" w:sz="0" w:space="0" w:color="auto"/>
      </w:divBdr>
    </w:div>
    <w:div w:id="1134756729">
      <w:bodyDiv w:val="1"/>
      <w:marLeft w:val="0"/>
      <w:marRight w:val="0"/>
      <w:marTop w:val="0"/>
      <w:marBottom w:val="0"/>
      <w:divBdr>
        <w:top w:val="none" w:sz="0" w:space="0" w:color="auto"/>
        <w:left w:val="none" w:sz="0" w:space="0" w:color="auto"/>
        <w:bottom w:val="none" w:sz="0" w:space="0" w:color="auto"/>
        <w:right w:val="none" w:sz="0" w:space="0" w:color="auto"/>
      </w:divBdr>
    </w:div>
    <w:div w:id="1135370708">
      <w:bodyDiv w:val="1"/>
      <w:marLeft w:val="0"/>
      <w:marRight w:val="0"/>
      <w:marTop w:val="0"/>
      <w:marBottom w:val="0"/>
      <w:divBdr>
        <w:top w:val="none" w:sz="0" w:space="0" w:color="auto"/>
        <w:left w:val="none" w:sz="0" w:space="0" w:color="auto"/>
        <w:bottom w:val="none" w:sz="0" w:space="0" w:color="auto"/>
        <w:right w:val="none" w:sz="0" w:space="0" w:color="auto"/>
      </w:divBdr>
    </w:div>
    <w:div w:id="1136215773">
      <w:bodyDiv w:val="1"/>
      <w:marLeft w:val="0"/>
      <w:marRight w:val="0"/>
      <w:marTop w:val="0"/>
      <w:marBottom w:val="0"/>
      <w:divBdr>
        <w:top w:val="none" w:sz="0" w:space="0" w:color="auto"/>
        <w:left w:val="none" w:sz="0" w:space="0" w:color="auto"/>
        <w:bottom w:val="none" w:sz="0" w:space="0" w:color="auto"/>
        <w:right w:val="none" w:sz="0" w:space="0" w:color="auto"/>
      </w:divBdr>
    </w:div>
    <w:div w:id="1138844430">
      <w:bodyDiv w:val="1"/>
      <w:marLeft w:val="0"/>
      <w:marRight w:val="0"/>
      <w:marTop w:val="0"/>
      <w:marBottom w:val="0"/>
      <w:divBdr>
        <w:top w:val="none" w:sz="0" w:space="0" w:color="auto"/>
        <w:left w:val="none" w:sz="0" w:space="0" w:color="auto"/>
        <w:bottom w:val="none" w:sz="0" w:space="0" w:color="auto"/>
        <w:right w:val="none" w:sz="0" w:space="0" w:color="auto"/>
      </w:divBdr>
    </w:div>
    <w:div w:id="1139878674">
      <w:bodyDiv w:val="1"/>
      <w:marLeft w:val="0"/>
      <w:marRight w:val="0"/>
      <w:marTop w:val="0"/>
      <w:marBottom w:val="0"/>
      <w:divBdr>
        <w:top w:val="none" w:sz="0" w:space="0" w:color="auto"/>
        <w:left w:val="none" w:sz="0" w:space="0" w:color="auto"/>
        <w:bottom w:val="none" w:sz="0" w:space="0" w:color="auto"/>
        <w:right w:val="none" w:sz="0" w:space="0" w:color="auto"/>
      </w:divBdr>
    </w:div>
    <w:div w:id="1140266129">
      <w:bodyDiv w:val="1"/>
      <w:marLeft w:val="0"/>
      <w:marRight w:val="0"/>
      <w:marTop w:val="0"/>
      <w:marBottom w:val="0"/>
      <w:divBdr>
        <w:top w:val="none" w:sz="0" w:space="0" w:color="auto"/>
        <w:left w:val="none" w:sz="0" w:space="0" w:color="auto"/>
        <w:bottom w:val="none" w:sz="0" w:space="0" w:color="auto"/>
        <w:right w:val="none" w:sz="0" w:space="0" w:color="auto"/>
      </w:divBdr>
    </w:div>
    <w:div w:id="1142965722">
      <w:bodyDiv w:val="1"/>
      <w:marLeft w:val="0"/>
      <w:marRight w:val="0"/>
      <w:marTop w:val="0"/>
      <w:marBottom w:val="0"/>
      <w:divBdr>
        <w:top w:val="none" w:sz="0" w:space="0" w:color="auto"/>
        <w:left w:val="none" w:sz="0" w:space="0" w:color="auto"/>
        <w:bottom w:val="none" w:sz="0" w:space="0" w:color="auto"/>
        <w:right w:val="none" w:sz="0" w:space="0" w:color="auto"/>
      </w:divBdr>
    </w:div>
    <w:div w:id="1145242334">
      <w:bodyDiv w:val="1"/>
      <w:marLeft w:val="0"/>
      <w:marRight w:val="0"/>
      <w:marTop w:val="0"/>
      <w:marBottom w:val="0"/>
      <w:divBdr>
        <w:top w:val="none" w:sz="0" w:space="0" w:color="auto"/>
        <w:left w:val="none" w:sz="0" w:space="0" w:color="auto"/>
        <w:bottom w:val="none" w:sz="0" w:space="0" w:color="auto"/>
        <w:right w:val="none" w:sz="0" w:space="0" w:color="auto"/>
      </w:divBdr>
    </w:div>
    <w:div w:id="1147624345">
      <w:bodyDiv w:val="1"/>
      <w:marLeft w:val="0"/>
      <w:marRight w:val="0"/>
      <w:marTop w:val="0"/>
      <w:marBottom w:val="0"/>
      <w:divBdr>
        <w:top w:val="none" w:sz="0" w:space="0" w:color="auto"/>
        <w:left w:val="none" w:sz="0" w:space="0" w:color="auto"/>
        <w:bottom w:val="none" w:sz="0" w:space="0" w:color="auto"/>
        <w:right w:val="none" w:sz="0" w:space="0" w:color="auto"/>
      </w:divBdr>
    </w:div>
    <w:div w:id="1155493706">
      <w:bodyDiv w:val="1"/>
      <w:marLeft w:val="0"/>
      <w:marRight w:val="0"/>
      <w:marTop w:val="0"/>
      <w:marBottom w:val="0"/>
      <w:divBdr>
        <w:top w:val="none" w:sz="0" w:space="0" w:color="auto"/>
        <w:left w:val="none" w:sz="0" w:space="0" w:color="auto"/>
        <w:bottom w:val="none" w:sz="0" w:space="0" w:color="auto"/>
        <w:right w:val="none" w:sz="0" w:space="0" w:color="auto"/>
      </w:divBdr>
    </w:div>
    <w:div w:id="1157763419">
      <w:bodyDiv w:val="1"/>
      <w:marLeft w:val="0"/>
      <w:marRight w:val="0"/>
      <w:marTop w:val="0"/>
      <w:marBottom w:val="0"/>
      <w:divBdr>
        <w:top w:val="none" w:sz="0" w:space="0" w:color="auto"/>
        <w:left w:val="none" w:sz="0" w:space="0" w:color="auto"/>
        <w:bottom w:val="none" w:sz="0" w:space="0" w:color="auto"/>
        <w:right w:val="none" w:sz="0" w:space="0" w:color="auto"/>
      </w:divBdr>
    </w:div>
    <w:div w:id="1158962722">
      <w:bodyDiv w:val="1"/>
      <w:marLeft w:val="0"/>
      <w:marRight w:val="0"/>
      <w:marTop w:val="0"/>
      <w:marBottom w:val="0"/>
      <w:divBdr>
        <w:top w:val="none" w:sz="0" w:space="0" w:color="auto"/>
        <w:left w:val="none" w:sz="0" w:space="0" w:color="auto"/>
        <w:bottom w:val="none" w:sz="0" w:space="0" w:color="auto"/>
        <w:right w:val="none" w:sz="0" w:space="0" w:color="auto"/>
      </w:divBdr>
    </w:div>
    <w:div w:id="1161651763">
      <w:bodyDiv w:val="1"/>
      <w:marLeft w:val="0"/>
      <w:marRight w:val="0"/>
      <w:marTop w:val="0"/>
      <w:marBottom w:val="0"/>
      <w:divBdr>
        <w:top w:val="none" w:sz="0" w:space="0" w:color="auto"/>
        <w:left w:val="none" w:sz="0" w:space="0" w:color="auto"/>
        <w:bottom w:val="none" w:sz="0" w:space="0" w:color="auto"/>
        <w:right w:val="none" w:sz="0" w:space="0" w:color="auto"/>
      </w:divBdr>
    </w:div>
    <w:div w:id="1163661678">
      <w:bodyDiv w:val="1"/>
      <w:marLeft w:val="0"/>
      <w:marRight w:val="0"/>
      <w:marTop w:val="0"/>
      <w:marBottom w:val="0"/>
      <w:divBdr>
        <w:top w:val="none" w:sz="0" w:space="0" w:color="auto"/>
        <w:left w:val="none" w:sz="0" w:space="0" w:color="auto"/>
        <w:bottom w:val="none" w:sz="0" w:space="0" w:color="auto"/>
        <w:right w:val="none" w:sz="0" w:space="0" w:color="auto"/>
      </w:divBdr>
    </w:div>
    <w:div w:id="1163664239">
      <w:bodyDiv w:val="1"/>
      <w:marLeft w:val="0"/>
      <w:marRight w:val="0"/>
      <w:marTop w:val="0"/>
      <w:marBottom w:val="0"/>
      <w:divBdr>
        <w:top w:val="none" w:sz="0" w:space="0" w:color="auto"/>
        <w:left w:val="none" w:sz="0" w:space="0" w:color="auto"/>
        <w:bottom w:val="none" w:sz="0" w:space="0" w:color="auto"/>
        <w:right w:val="none" w:sz="0" w:space="0" w:color="auto"/>
      </w:divBdr>
    </w:div>
    <w:div w:id="1164584689">
      <w:bodyDiv w:val="1"/>
      <w:marLeft w:val="0"/>
      <w:marRight w:val="0"/>
      <w:marTop w:val="0"/>
      <w:marBottom w:val="0"/>
      <w:divBdr>
        <w:top w:val="none" w:sz="0" w:space="0" w:color="auto"/>
        <w:left w:val="none" w:sz="0" w:space="0" w:color="auto"/>
        <w:bottom w:val="none" w:sz="0" w:space="0" w:color="auto"/>
        <w:right w:val="none" w:sz="0" w:space="0" w:color="auto"/>
      </w:divBdr>
    </w:div>
    <w:div w:id="1165366526">
      <w:bodyDiv w:val="1"/>
      <w:marLeft w:val="0"/>
      <w:marRight w:val="0"/>
      <w:marTop w:val="0"/>
      <w:marBottom w:val="0"/>
      <w:divBdr>
        <w:top w:val="none" w:sz="0" w:space="0" w:color="auto"/>
        <w:left w:val="none" w:sz="0" w:space="0" w:color="auto"/>
        <w:bottom w:val="none" w:sz="0" w:space="0" w:color="auto"/>
        <w:right w:val="none" w:sz="0" w:space="0" w:color="auto"/>
      </w:divBdr>
    </w:div>
    <w:div w:id="1166283903">
      <w:bodyDiv w:val="1"/>
      <w:marLeft w:val="0"/>
      <w:marRight w:val="0"/>
      <w:marTop w:val="0"/>
      <w:marBottom w:val="0"/>
      <w:divBdr>
        <w:top w:val="none" w:sz="0" w:space="0" w:color="auto"/>
        <w:left w:val="none" w:sz="0" w:space="0" w:color="auto"/>
        <w:bottom w:val="none" w:sz="0" w:space="0" w:color="auto"/>
        <w:right w:val="none" w:sz="0" w:space="0" w:color="auto"/>
      </w:divBdr>
    </w:div>
    <w:div w:id="1168053985">
      <w:bodyDiv w:val="1"/>
      <w:marLeft w:val="0"/>
      <w:marRight w:val="0"/>
      <w:marTop w:val="0"/>
      <w:marBottom w:val="0"/>
      <w:divBdr>
        <w:top w:val="none" w:sz="0" w:space="0" w:color="auto"/>
        <w:left w:val="none" w:sz="0" w:space="0" w:color="auto"/>
        <w:bottom w:val="none" w:sz="0" w:space="0" w:color="auto"/>
        <w:right w:val="none" w:sz="0" w:space="0" w:color="auto"/>
      </w:divBdr>
    </w:div>
    <w:div w:id="1168866940">
      <w:bodyDiv w:val="1"/>
      <w:marLeft w:val="0"/>
      <w:marRight w:val="0"/>
      <w:marTop w:val="0"/>
      <w:marBottom w:val="0"/>
      <w:divBdr>
        <w:top w:val="none" w:sz="0" w:space="0" w:color="auto"/>
        <w:left w:val="none" w:sz="0" w:space="0" w:color="auto"/>
        <w:bottom w:val="none" w:sz="0" w:space="0" w:color="auto"/>
        <w:right w:val="none" w:sz="0" w:space="0" w:color="auto"/>
      </w:divBdr>
    </w:div>
    <w:div w:id="1169562865">
      <w:bodyDiv w:val="1"/>
      <w:marLeft w:val="0"/>
      <w:marRight w:val="0"/>
      <w:marTop w:val="0"/>
      <w:marBottom w:val="0"/>
      <w:divBdr>
        <w:top w:val="none" w:sz="0" w:space="0" w:color="auto"/>
        <w:left w:val="none" w:sz="0" w:space="0" w:color="auto"/>
        <w:bottom w:val="none" w:sz="0" w:space="0" w:color="auto"/>
        <w:right w:val="none" w:sz="0" w:space="0" w:color="auto"/>
      </w:divBdr>
    </w:div>
    <w:div w:id="1170563531">
      <w:bodyDiv w:val="1"/>
      <w:marLeft w:val="0"/>
      <w:marRight w:val="0"/>
      <w:marTop w:val="0"/>
      <w:marBottom w:val="0"/>
      <w:divBdr>
        <w:top w:val="none" w:sz="0" w:space="0" w:color="auto"/>
        <w:left w:val="none" w:sz="0" w:space="0" w:color="auto"/>
        <w:bottom w:val="none" w:sz="0" w:space="0" w:color="auto"/>
        <w:right w:val="none" w:sz="0" w:space="0" w:color="auto"/>
      </w:divBdr>
    </w:div>
    <w:div w:id="1171721254">
      <w:bodyDiv w:val="1"/>
      <w:marLeft w:val="0"/>
      <w:marRight w:val="0"/>
      <w:marTop w:val="0"/>
      <w:marBottom w:val="0"/>
      <w:divBdr>
        <w:top w:val="none" w:sz="0" w:space="0" w:color="auto"/>
        <w:left w:val="none" w:sz="0" w:space="0" w:color="auto"/>
        <w:bottom w:val="none" w:sz="0" w:space="0" w:color="auto"/>
        <w:right w:val="none" w:sz="0" w:space="0" w:color="auto"/>
      </w:divBdr>
    </w:div>
    <w:div w:id="1171867483">
      <w:bodyDiv w:val="1"/>
      <w:marLeft w:val="0"/>
      <w:marRight w:val="0"/>
      <w:marTop w:val="0"/>
      <w:marBottom w:val="0"/>
      <w:divBdr>
        <w:top w:val="none" w:sz="0" w:space="0" w:color="auto"/>
        <w:left w:val="none" w:sz="0" w:space="0" w:color="auto"/>
        <w:bottom w:val="none" w:sz="0" w:space="0" w:color="auto"/>
        <w:right w:val="none" w:sz="0" w:space="0" w:color="auto"/>
      </w:divBdr>
    </w:div>
    <w:div w:id="1172723220">
      <w:bodyDiv w:val="1"/>
      <w:marLeft w:val="0"/>
      <w:marRight w:val="0"/>
      <w:marTop w:val="0"/>
      <w:marBottom w:val="0"/>
      <w:divBdr>
        <w:top w:val="none" w:sz="0" w:space="0" w:color="auto"/>
        <w:left w:val="none" w:sz="0" w:space="0" w:color="auto"/>
        <w:bottom w:val="none" w:sz="0" w:space="0" w:color="auto"/>
        <w:right w:val="none" w:sz="0" w:space="0" w:color="auto"/>
      </w:divBdr>
    </w:div>
    <w:div w:id="1172796169">
      <w:bodyDiv w:val="1"/>
      <w:marLeft w:val="0"/>
      <w:marRight w:val="0"/>
      <w:marTop w:val="0"/>
      <w:marBottom w:val="0"/>
      <w:divBdr>
        <w:top w:val="none" w:sz="0" w:space="0" w:color="auto"/>
        <w:left w:val="none" w:sz="0" w:space="0" w:color="auto"/>
        <w:bottom w:val="none" w:sz="0" w:space="0" w:color="auto"/>
        <w:right w:val="none" w:sz="0" w:space="0" w:color="auto"/>
      </w:divBdr>
    </w:div>
    <w:div w:id="1172917655">
      <w:bodyDiv w:val="1"/>
      <w:marLeft w:val="0"/>
      <w:marRight w:val="0"/>
      <w:marTop w:val="0"/>
      <w:marBottom w:val="0"/>
      <w:divBdr>
        <w:top w:val="none" w:sz="0" w:space="0" w:color="auto"/>
        <w:left w:val="none" w:sz="0" w:space="0" w:color="auto"/>
        <w:bottom w:val="none" w:sz="0" w:space="0" w:color="auto"/>
        <w:right w:val="none" w:sz="0" w:space="0" w:color="auto"/>
      </w:divBdr>
    </w:div>
    <w:div w:id="1174341397">
      <w:bodyDiv w:val="1"/>
      <w:marLeft w:val="0"/>
      <w:marRight w:val="0"/>
      <w:marTop w:val="0"/>
      <w:marBottom w:val="0"/>
      <w:divBdr>
        <w:top w:val="none" w:sz="0" w:space="0" w:color="auto"/>
        <w:left w:val="none" w:sz="0" w:space="0" w:color="auto"/>
        <w:bottom w:val="none" w:sz="0" w:space="0" w:color="auto"/>
        <w:right w:val="none" w:sz="0" w:space="0" w:color="auto"/>
      </w:divBdr>
    </w:div>
    <w:div w:id="1177236435">
      <w:bodyDiv w:val="1"/>
      <w:marLeft w:val="0"/>
      <w:marRight w:val="0"/>
      <w:marTop w:val="0"/>
      <w:marBottom w:val="0"/>
      <w:divBdr>
        <w:top w:val="none" w:sz="0" w:space="0" w:color="auto"/>
        <w:left w:val="none" w:sz="0" w:space="0" w:color="auto"/>
        <w:bottom w:val="none" w:sz="0" w:space="0" w:color="auto"/>
        <w:right w:val="none" w:sz="0" w:space="0" w:color="auto"/>
      </w:divBdr>
    </w:div>
    <w:div w:id="1179006008">
      <w:bodyDiv w:val="1"/>
      <w:marLeft w:val="0"/>
      <w:marRight w:val="0"/>
      <w:marTop w:val="0"/>
      <w:marBottom w:val="0"/>
      <w:divBdr>
        <w:top w:val="none" w:sz="0" w:space="0" w:color="auto"/>
        <w:left w:val="none" w:sz="0" w:space="0" w:color="auto"/>
        <w:bottom w:val="none" w:sz="0" w:space="0" w:color="auto"/>
        <w:right w:val="none" w:sz="0" w:space="0" w:color="auto"/>
      </w:divBdr>
    </w:div>
    <w:div w:id="1180772605">
      <w:bodyDiv w:val="1"/>
      <w:marLeft w:val="0"/>
      <w:marRight w:val="0"/>
      <w:marTop w:val="0"/>
      <w:marBottom w:val="0"/>
      <w:divBdr>
        <w:top w:val="none" w:sz="0" w:space="0" w:color="auto"/>
        <w:left w:val="none" w:sz="0" w:space="0" w:color="auto"/>
        <w:bottom w:val="none" w:sz="0" w:space="0" w:color="auto"/>
        <w:right w:val="none" w:sz="0" w:space="0" w:color="auto"/>
      </w:divBdr>
    </w:div>
    <w:div w:id="1180851179">
      <w:bodyDiv w:val="1"/>
      <w:marLeft w:val="0"/>
      <w:marRight w:val="0"/>
      <w:marTop w:val="0"/>
      <w:marBottom w:val="0"/>
      <w:divBdr>
        <w:top w:val="none" w:sz="0" w:space="0" w:color="auto"/>
        <w:left w:val="none" w:sz="0" w:space="0" w:color="auto"/>
        <w:bottom w:val="none" w:sz="0" w:space="0" w:color="auto"/>
        <w:right w:val="none" w:sz="0" w:space="0" w:color="auto"/>
      </w:divBdr>
    </w:div>
    <w:div w:id="1182085861">
      <w:bodyDiv w:val="1"/>
      <w:marLeft w:val="0"/>
      <w:marRight w:val="0"/>
      <w:marTop w:val="0"/>
      <w:marBottom w:val="0"/>
      <w:divBdr>
        <w:top w:val="none" w:sz="0" w:space="0" w:color="auto"/>
        <w:left w:val="none" w:sz="0" w:space="0" w:color="auto"/>
        <w:bottom w:val="none" w:sz="0" w:space="0" w:color="auto"/>
        <w:right w:val="none" w:sz="0" w:space="0" w:color="auto"/>
      </w:divBdr>
    </w:div>
    <w:div w:id="1183973939">
      <w:bodyDiv w:val="1"/>
      <w:marLeft w:val="0"/>
      <w:marRight w:val="0"/>
      <w:marTop w:val="0"/>
      <w:marBottom w:val="0"/>
      <w:divBdr>
        <w:top w:val="none" w:sz="0" w:space="0" w:color="auto"/>
        <w:left w:val="none" w:sz="0" w:space="0" w:color="auto"/>
        <w:bottom w:val="none" w:sz="0" w:space="0" w:color="auto"/>
        <w:right w:val="none" w:sz="0" w:space="0" w:color="auto"/>
      </w:divBdr>
    </w:div>
    <w:div w:id="1185554662">
      <w:bodyDiv w:val="1"/>
      <w:marLeft w:val="0"/>
      <w:marRight w:val="0"/>
      <w:marTop w:val="0"/>
      <w:marBottom w:val="0"/>
      <w:divBdr>
        <w:top w:val="none" w:sz="0" w:space="0" w:color="auto"/>
        <w:left w:val="none" w:sz="0" w:space="0" w:color="auto"/>
        <w:bottom w:val="none" w:sz="0" w:space="0" w:color="auto"/>
        <w:right w:val="none" w:sz="0" w:space="0" w:color="auto"/>
      </w:divBdr>
    </w:div>
    <w:div w:id="1185942307">
      <w:bodyDiv w:val="1"/>
      <w:marLeft w:val="0"/>
      <w:marRight w:val="0"/>
      <w:marTop w:val="0"/>
      <w:marBottom w:val="0"/>
      <w:divBdr>
        <w:top w:val="none" w:sz="0" w:space="0" w:color="auto"/>
        <w:left w:val="none" w:sz="0" w:space="0" w:color="auto"/>
        <w:bottom w:val="none" w:sz="0" w:space="0" w:color="auto"/>
        <w:right w:val="none" w:sz="0" w:space="0" w:color="auto"/>
      </w:divBdr>
    </w:div>
    <w:div w:id="1189023721">
      <w:bodyDiv w:val="1"/>
      <w:marLeft w:val="0"/>
      <w:marRight w:val="0"/>
      <w:marTop w:val="0"/>
      <w:marBottom w:val="0"/>
      <w:divBdr>
        <w:top w:val="none" w:sz="0" w:space="0" w:color="auto"/>
        <w:left w:val="none" w:sz="0" w:space="0" w:color="auto"/>
        <w:bottom w:val="none" w:sz="0" w:space="0" w:color="auto"/>
        <w:right w:val="none" w:sz="0" w:space="0" w:color="auto"/>
      </w:divBdr>
    </w:div>
    <w:div w:id="1191382339">
      <w:bodyDiv w:val="1"/>
      <w:marLeft w:val="0"/>
      <w:marRight w:val="0"/>
      <w:marTop w:val="0"/>
      <w:marBottom w:val="0"/>
      <w:divBdr>
        <w:top w:val="none" w:sz="0" w:space="0" w:color="auto"/>
        <w:left w:val="none" w:sz="0" w:space="0" w:color="auto"/>
        <w:bottom w:val="none" w:sz="0" w:space="0" w:color="auto"/>
        <w:right w:val="none" w:sz="0" w:space="0" w:color="auto"/>
      </w:divBdr>
      <w:divsChild>
        <w:div w:id="1258250722">
          <w:marLeft w:val="0"/>
          <w:marRight w:val="0"/>
          <w:marTop w:val="27"/>
          <w:marBottom w:val="27"/>
          <w:divBdr>
            <w:top w:val="none" w:sz="0" w:space="0" w:color="auto"/>
            <w:left w:val="none" w:sz="0" w:space="0" w:color="auto"/>
            <w:bottom w:val="none" w:sz="0" w:space="0" w:color="auto"/>
            <w:right w:val="none" w:sz="0" w:space="0" w:color="auto"/>
          </w:divBdr>
        </w:div>
      </w:divsChild>
    </w:div>
    <w:div w:id="1191918162">
      <w:bodyDiv w:val="1"/>
      <w:marLeft w:val="0"/>
      <w:marRight w:val="0"/>
      <w:marTop w:val="0"/>
      <w:marBottom w:val="0"/>
      <w:divBdr>
        <w:top w:val="none" w:sz="0" w:space="0" w:color="auto"/>
        <w:left w:val="none" w:sz="0" w:space="0" w:color="auto"/>
        <w:bottom w:val="none" w:sz="0" w:space="0" w:color="auto"/>
        <w:right w:val="none" w:sz="0" w:space="0" w:color="auto"/>
      </w:divBdr>
    </w:div>
    <w:div w:id="1193307069">
      <w:bodyDiv w:val="1"/>
      <w:marLeft w:val="0"/>
      <w:marRight w:val="0"/>
      <w:marTop w:val="0"/>
      <w:marBottom w:val="0"/>
      <w:divBdr>
        <w:top w:val="none" w:sz="0" w:space="0" w:color="auto"/>
        <w:left w:val="none" w:sz="0" w:space="0" w:color="auto"/>
        <w:bottom w:val="none" w:sz="0" w:space="0" w:color="auto"/>
        <w:right w:val="none" w:sz="0" w:space="0" w:color="auto"/>
      </w:divBdr>
    </w:div>
    <w:div w:id="1194268715">
      <w:bodyDiv w:val="1"/>
      <w:marLeft w:val="0"/>
      <w:marRight w:val="0"/>
      <w:marTop w:val="0"/>
      <w:marBottom w:val="0"/>
      <w:divBdr>
        <w:top w:val="none" w:sz="0" w:space="0" w:color="auto"/>
        <w:left w:val="none" w:sz="0" w:space="0" w:color="auto"/>
        <w:bottom w:val="none" w:sz="0" w:space="0" w:color="auto"/>
        <w:right w:val="none" w:sz="0" w:space="0" w:color="auto"/>
      </w:divBdr>
    </w:div>
    <w:div w:id="1195314766">
      <w:bodyDiv w:val="1"/>
      <w:marLeft w:val="0"/>
      <w:marRight w:val="0"/>
      <w:marTop w:val="0"/>
      <w:marBottom w:val="0"/>
      <w:divBdr>
        <w:top w:val="none" w:sz="0" w:space="0" w:color="auto"/>
        <w:left w:val="none" w:sz="0" w:space="0" w:color="auto"/>
        <w:bottom w:val="none" w:sz="0" w:space="0" w:color="auto"/>
        <w:right w:val="none" w:sz="0" w:space="0" w:color="auto"/>
      </w:divBdr>
    </w:div>
    <w:div w:id="1198466752">
      <w:bodyDiv w:val="1"/>
      <w:marLeft w:val="0"/>
      <w:marRight w:val="0"/>
      <w:marTop w:val="0"/>
      <w:marBottom w:val="0"/>
      <w:divBdr>
        <w:top w:val="none" w:sz="0" w:space="0" w:color="auto"/>
        <w:left w:val="none" w:sz="0" w:space="0" w:color="auto"/>
        <w:bottom w:val="none" w:sz="0" w:space="0" w:color="auto"/>
        <w:right w:val="none" w:sz="0" w:space="0" w:color="auto"/>
      </w:divBdr>
    </w:div>
    <w:div w:id="1199509120">
      <w:bodyDiv w:val="1"/>
      <w:marLeft w:val="0"/>
      <w:marRight w:val="0"/>
      <w:marTop w:val="0"/>
      <w:marBottom w:val="0"/>
      <w:divBdr>
        <w:top w:val="none" w:sz="0" w:space="0" w:color="auto"/>
        <w:left w:val="none" w:sz="0" w:space="0" w:color="auto"/>
        <w:bottom w:val="none" w:sz="0" w:space="0" w:color="auto"/>
        <w:right w:val="none" w:sz="0" w:space="0" w:color="auto"/>
      </w:divBdr>
    </w:div>
    <w:div w:id="1200707911">
      <w:bodyDiv w:val="1"/>
      <w:marLeft w:val="0"/>
      <w:marRight w:val="0"/>
      <w:marTop w:val="0"/>
      <w:marBottom w:val="0"/>
      <w:divBdr>
        <w:top w:val="none" w:sz="0" w:space="0" w:color="auto"/>
        <w:left w:val="none" w:sz="0" w:space="0" w:color="auto"/>
        <w:bottom w:val="none" w:sz="0" w:space="0" w:color="auto"/>
        <w:right w:val="none" w:sz="0" w:space="0" w:color="auto"/>
      </w:divBdr>
    </w:div>
    <w:div w:id="1202549027">
      <w:bodyDiv w:val="1"/>
      <w:marLeft w:val="0"/>
      <w:marRight w:val="0"/>
      <w:marTop w:val="0"/>
      <w:marBottom w:val="0"/>
      <w:divBdr>
        <w:top w:val="none" w:sz="0" w:space="0" w:color="auto"/>
        <w:left w:val="none" w:sz="0" w:space="0" w:color="auto"/>
        <w:bottom w:val="none" w:sz="0" w:space="0" w:color="auto"/>
        <w:right w:val="none" w:sz="0" w:space="0" w:color="auto"/>
      </w:divBdr>
    </w:div>
    <w:div w:id="1202747844">
      <w:bodyDiv w:val="1"/>
      <w:marLeft w:val="0"/>
      <w:marRight w:val="0"/>
      <w:marTop w:val="0"/>
      <w:marBottom w:val="0"/>
      <w:divBdr>
        <w:top w:val="none" w:sz="0" w:space="0" w:color="auto"/>
        <w:left w:val="none" w:sz="0" w:space="0" w:color="auto"/>
        <w:bottom w:val="none" w:sz="0" w:space="0" w:color="auto"/>
        <w:right w:val="none" w:sz="0" w:space="0" w:color="auto"/>
      </w:divBdr>
    </w:div>
    <w:div w:id="1204950468">
      <w:bodyDiv w:val="1"/>
      <w:marLeft w:val="0"/>
      <w:marRight w:val="0"/>
      <w:marTop w:val="0"/>
      <w:marBottom w:val="0"/>
      <w:divBdr>
        <w:top w:val="none" w:sz="0" w:space="0" w:color="auto"/>
        <w:left w:val="none" w:sz="0" w:space="0" w:color="auto"/>
        <w:bottom w:val="none" w:sz="0" w:space="0" w:color="auto"/>
        <w:right w:val="none" w:sz="0" w:space="0" w:color="auto"/>
      </w:divBdr>
    </w:div>
    <w:div w:id="1208298911">
      <w:bodyDiv w:val="1"/>
      <w:marLeft w:val="0"/>
      <w:marRight w:val="0"/>
      <w:marTop w:val="0"/>
      <w:marBottom w:val="0"/>
      <w:divBdr>
        <w:top w:val="none" w:sz="0" w:space="0" w:color="auto"/>
        <w:left w:val="none" w:sz="0" w:space="0" w:color="auto"/>
        <w:bottom w:val="none" w:sz="0" w:space="0" w:color="auto"/>
        <w:right w:val="none" w:sz="0" w:space="0" w:color="auto"/>
      </w:divBdr>
    </w:div>
    <w:div w:id="1209293619">
      <w:bodyDiv w:val="1"/>
      <w:marLeft w:val="0"/>
      <w:marRight w:val="0"/>
      <w:marTop w:val="0"/>
      <w:marBottom w:val="0"/>
      <w:divBdr>
        <w:top w:val="none" w:sz="0" w:space="0" w:color="auto"/>
        <w:left w:val="none" w:sz="0" w:space="0" w:color="auto"/>
        <w:bottom w:val="none" w:sz="0" w:space="0" w:color="auto"/>
        <w:right w:val="none" w:sz="0" w:space="0" w:color="auto"/>
      </w:divBdr>
    </w:div>
    <w:div w:id="1210189816">
      <w:bodyDiv w:val="1"/>
      <w:marLeft w:val="0"/>
      <w:marRight w:val="0"/>
      <w:marTop w:val="0"/>
      <w:marBottom w:val="0"/>
      <w:divBdr>
        <w:top w:val="none" w:sz="0" w:space="0" w:color="auto"/>
        <w:left w:val="none" w:sz="0" w:space="0" w:color="auto"/>
        <w:bottom w:val="none" w:sz="0" w:space="0" w:color="auto"/>
        <w:right w:val="none" w:sz="0" w:space="0" w:color="auto"/>
      </w:divBdr>
      <w:divsChild>
        <w:div w:id="810249272">
          <w:marLeft w:val="0"/>
          <w:marRight w:val="0"/>
          <w:marTop w:val="66"/>
          <w:marBottom w:val="0"/>
          <w:divBdr>
            <w:top w:val="none" w:sz="0" w:space="0" w:color="auto"/>
            <w:left w:val="none" w:sz="0" w:space="0" w:color="auto"/>
            <w:bottom w:val="none" w:sz="0" w:space="0" w:color="auto"/>
            <w:right w:val="none" w:sz="0" w:space="0" w:color="auto"/>
          </w:divBdr>
        </w:div>
      </w:divsChild>
    </w:div>
    <w:div w:id="1213931735">
      <w:bodyDiv w:val="1"/>
      <w:marLeft w:val="0"/>
      <w:marRight w:val="0"/>
      <w:marTop w:val="0"/>
      <w:marBottom w:val="0"/>
      <w:divBdr>
        <w:top w:val="none" w:sz="0" w:space="0" w:color="auto"/>
        <w:left w:val="none" w:sz="0" w:space="0" w:color="auto"/>
        <w:bottom w:val="none" w:sz="0" w:space="0" w:color="auto"/>
        <w:right w:val="none" w:sz="0" w:space="0" w:color="auto"/>
      </w:divBdr>
    </w:div>
    <w:div w:id="1216698268">
      <w:bodyDiv w:val="1"/>
      <w:marLeft w:val="0"/>
      <w:marRight w:val="0"/>
      <w:marTop w:val="0"/>
      <w:marBottom w:val="0"/>
      <w:divBdr>
        <w:top w:val="none" w:sz="0" w:space="0" w:color="auto"/>
        <w:left w:val="none" w:sz="0" w:space="0" w:color="auto"/>
        <w:bottom w:val="none" w:sz="0" w:space="0" w:color="auto"/>
        <w:right w:val="none" w:sz="0" w:space="0" w:color="auto"/>
      </w:divBdr>
    </w:div>
    <w:div w:id="1220900706">
      <w:bodyDiv w:val="1"/>
      <w:marLeft w:val="0"/>
      <w:marRight w:val="0"/>
      <w:marTop w:val="0"/>
      <w:marBottom w:val="0"/>
      <w:divBdr>
        <w:top w:val="none" w:sz="0" w:space="0" w:color="auto"/>
        <w:left w:val="none" w:sz="0" w:space="0" w:color="auto"/>
        <w:bottom w:val="none" w:sz="0" w:space="0" w:color="auto"/>
        <w:right w:val="none" w:sz="0" w:space="0" w:color="auto"/>
      </w:divBdr>
    </w:div>
    <w:div w:id="1227035919">
      <w:bodyDiv w:val="1"/>
      <w:marLeft w:val="0"/>
      <w:marRight w:val="0"/>
      <w:marTop w:val="0"/>
      <w:marBottom w:val="0"/>
      <w:divBdr>
        <w:top w:val="none" w:sz="0" w:space="0" w:color="auto"/>
        <w:left w:val="none" w:sz="0" w:space="0" w:color="auto"/>
        <w:bottom w:val="none" w:sz="0" w:space="0" w:color="auto"/>
        <w:right w:val="none" w:sz="0" w:space="0" w:color="auto"/>
      </w:divBdr>
      <w:divsChild>
        <w:div w:id="1911887762">
          <w:marLeft w:val="0"/>
          <w:marRight w:val="0"/>
          <w:marTop w:val="0"/>
          <w:marBottom w:val="0"/>
          <w:divBdr>
            <w:top w:val="none" w:sz="0" w:space="0" w:color="auto"/>
            <w:left w:val="none" w:sz="0" w:space="0" w:color="auto"/>
            <w:bottom w:val="none" w:sz="0" w:space="0" w:color="auto"/>
            <w:right w:val="none" w:sz="0" w:space="0" w:color="auto"/>
          </w:divBdr>
          <w:divsChild>
            <w:div w:id="1485505696">
              <w:marLeft w:val="0"/>
              <w:marRight w:val="0"/>
              <w:marTop w:val="0"/>
              <w:marBottom w:val="0"/>
              <w:divBdr>
                <w:top w:val="none" w:sz="0" w:space="0" w:color="auto"/>
                <w:left w:val="none" w:sz="0" w:space="0" w:color="auto"/>
                <w:bottom w:val="none" w:sz="0" w:space="0" w:color="auto"/>
                <w:right w:val="none" w:sz="0" w:space="0" w:color="auto"/>
              </w:divBdr>
              <w:divsChild>
                <w:div w:id="693381956">
                  <w:marLeft w:val="0"/>
                  <w:marRight w:val="0"/>
                  <w:marTop w:val="0"/>
                  <w:marBottom w:val="0"/>
                  <w:divBdr>
                    <w:top w:val="none" w:sz="0" w:space="0" w:color="auto"/>
                    <w:left w:val="none" w:sz="0" w:space="0" w:color="auto"/>
                    <w:bottom w:val="none" w:sz="0" w:space="0" w:color="auto"/>
                    <w:right w:val="none" w:sz="0" w:space="0" w:color="auto"/>
                  </w:divBdr>
                  <w:divsChild>
                    <w:div w:id="1969818309">
                      <w:marLeft w:val="0"/>
                      <w:marRight w:val="0"/>
                      <w:marTop w:val="0"/>
                      <w:marBottom w:val="0"/>
                      <w:divBdr>
                        <w:top w:val="none" w:sz="0" w:space="0" w:color="auto"/>
                        <w:left w:val="none" w:sz="0" w:space="0" w:color="auto"/>
                        <w:bottom w:val="none" w:sz="0" w:space="0" w:color="auto"/>
                        <w:right w:val="none" w:sz="0" w:space="0" w:color="auto"/>
                      </w:divBdr>
                      <w:divsChild>
                        <w:div w:id="159115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1035750">
      <w:bodyDiv w:val="1"/>
      <w:marLeft w:val="0"/>
      <w:marRight w:val="0"/>
      <w:marTop w:val="0"/>
      <w:marBottom w:val="0"/>
      <w:divBdr>
        <w:top w:val="none" w:sz="0" w:space="0" w:color="auto"/>
        <w:left w:val="none" w:sz="0" w:space="0" w:color="auto"/>
        <w:bottom w:val="none" w:sz="0" w:space="0" w:color="auto"/>
        <w:right w:val="none" w:sz="0" w:space="0" w:color="auto"/>
      </w:divBdr>
    </w:div>
    <w:div w:id="1240138589">
      <w:bodyDiv w:val="1"/>
      <w:marLeft w:val="0"/>
      <w:marRight w:val="0"/>
      <w:marTop w:val="0"/>
      <w:marBottom w:val="0"/>
      <w:divBdr>
        <w:top w:val="none" w:sz="0" w:space="0" w:color="auto"/>
        <w:left w:val="none" w:sz="0" w:space="0" w:color="auto"/>
        <w:bottom w:val="none" w:sz="0" w:space="0" w:color="auto"/>
        <w:right w:val="none" w:sz="0" w:space="0" w:color="auto"/>
      </w:divBdr>
    </w:div>
    <w:div w:id="1240599655">
      <w:bodyDiv w:val="1"/>
      <w:marLeft w:val="0"/>
      <w:marRight w:val="0"/>
      <w:marTop w:val="0"/>
      <w:marBottom w:val="0"/>
      <w:divBdr>
        <w:top w:val="none" w:sz="0" w:space="0" w:color="auto"/>
        <w:left w:val="none" w:sz="0" w:space="0" w:color="auto"/>
        <w:bottom w:val="none" w:sz="0" w:space="0" w:color="auto"/>
        <w:right w:val="none" w:sz="0" w:space="0" w:color="auto"/>
      </w:divBdr>
    </w:div>
    <w:div w:id="1241063582">
      <w:bodyDiv w:val="1"/>
      <w:marLeft w:val="0"/>
      <w:marRight w:val="0"/>
      <w:marTop w:val="0"/>
      <w:marBottom w:val="0"/>
      <w:divBdr>
        <w:top w:val="none" w:sz="0" w:space="0" w:color="auto"/>
        <w:left w:val="none" w:sz="0" w:space="0" w:color="auto"/>
        <w:bottom w:val="none" w:sz="0" w:space="0" w:color="auto"/>
        <w:right w:val="none" w:sz="0" w:space="0" w:color="auto"/>
      </w:divBdr>
    </w:div>
    <w:div w:id="1242715665">
      <w:bodyDiv w:val="1"/>
      <w:marLeft w:val="0"/>
      <w:marRight w:val="0"/>
      <w:marTop w:val="0"/>
      <w:marBottom w:val="0"/>
      <w:divBdr>
        <w:top w:val="none" w:sz="0" w:space="0" w:color="auto"/>
        <w:left w:val="none" w:sz="0" w:space="0" w:color="auto"/>
        <w:bottom w:val="none" w:sz="0" w:space="0" w:color="auto"/>
        <w:right w:val="none" w:sz="0" w:space="0" w:color="auto"/>
      </w:divBdr>
    </w:div>
    <w:div w:id="1242837415">
      <w:bodyDiv w:val="1"/>
      <w:marLeft w:val="0"/>
      <w:marRight w:val="0"/>
      <w:marTop w:val="0"/>
      <w:marBottom w:val="0"/>
      <w:divBdr>
        <w:top w:val="none" w:sz="0" w:space="0" w:color="auto"/>
        <w:left w:val="none" w:sz="0" w:space="0" w:color="auto"/>
        <w:bottom w:val="none" w:sz="0" w:space="0" w:color="auto"/>
        <w:right w:val="none" w:sz="0" w:space="0" w:color="auto"/>
      </w:divBdr>
    </w:div>
    <w:div w:id="1243368119">
      <w:bodyDiv w:val="1"/>
      <w:marLeft w:val="0"/>
      <w:marRight w:val="0"/>
      <w:marTop w:val="0"/>
      <w:marBottom w:val="0"/>
      <w:divBdr>
        <w:top w:val="none" w:sz="0" w:space="0" w:color="auto"/>
        <w:left w:val="none" w:sz="0" w:space="0" w:color="auto"/>
        <w:bottom w:val="none" w:sz="0" w:space="0" w:color="auto"/>
        <w:right w:val="none" w:sz="0" w:space="0" w:color="auto"/>
      </w:divBdr>
    </w:div>
    <w:div w:id="1244678536">
      <w:bodyDiv w:val="1"/>
      <w:marLeft w:val="0"/>
      <w:marRight w:val="0"/>
      <w:marTop w:val="0"/>
      <w:marBottom w:val="0"/>
      <w:divBdr>
        <w:top w:val="none" w:sz="0" w:space="0" w:color="auto"/>
        <w:left w:val="none" w:sz="0" w:space="0" w:color="auto"/>
        <w:bottom w:val="none" w:sz="0" w:space="0" w:color="auto"/>
        <w:right w:val="none" w:sz="0" w:space="0" w:color="auto"/>
      </w:divBdr>
    </w:div>
    <w:div w:id="1252011432">
      <w:bodyDiv w:val="1"/>
      <w:marLeft w:val="0"/>
      <w:marRight w:val="0"/>
      <w:marTop w:val="0"/>
      <w:marBottom w:val="0"/>
      <w:divBdr>
        <w:top w:val="none" w:sz="0" w:space="0" w:color="auto"/>
        <w:left w:val="none" w:sz="0" w:space="0" w:color="auto"/>
        <w:bottom w:val="none" w:sz="0" w:space="0" w:color="auto"/>
        <w:right w:val="none" w:sz="0" w:space="0" w:color="auto"/>
      </w:divBdr>
    </w:div>
    <w:div w:id="1254508189">
      <w:bodyDiv w:val="1"/>
      <w:marLeft w:val="0"/>
      <w:marRight w:val="0"/>
      <w:marTop w:val="0"/>
      <w:marBottom w:val="0"/>
      <w:divBdr>
        <w:top w:val="none" w:sz="0" w:space="0" w:color="auto"/>
        <w:left w:val="none" w:sz="0" w:space="0" w:color="auto"/>
        <w:bottom w:val="none" w:sz="0" w:space="0" w:color="auto"/>
        <w:right w:val="none" w:sz="0" w:space="0" w:color="auto"/>
      </w:divBdr>
    </w:div>
    <w:div w:id="1254586816">
      <w:bodyDiv w:val="1"/>
      <w:marLeft w:val="0"/>
      <w:marRight w:val="0"/>
      <w:marTop w:val="0"/>
      <w:marBottom w:val="0"/>
      <w:divBdr>
        <w:top w:val="none" w:sz="0" w:space="0" w:color="auto"/>
        <w:left w:val="none" w:sz="0" w:space="0" w:color="auto"/>
        <w:bottom w:val="none" w:sz="0" w:space="0" w:color="auto"/>
        <w:right w:val="none" w:sz="0" w:space="0" w:color="auto"/>
      </w:divBdr>
    </w:div>
    <w:div w:id="1255433289">
      <w:bodyDiv w:val="1"/>
      <w:marLeft w:val="0"/>
      <w:marRight w:val="0"/>
      <w:marTop w:val="0"/>
      <w:marBottom w:val="0"/>
      <w:divBdr>
        <w:top w:val="none" w:sz="0" w:space="0" w:color="auto"/>
        <w:left w:val="none" w:sz="0" w:space="0" w:color="auto"/>
        <w:bottom w:val="none" w:sz="0" w:space="0" w:color="auto"/>
        <w:right w:val="none" w:sz="0" w:space="0" w:color="auto"/>
      </w:divBdr>
    </w:div>
    <w:div w:id="1258169720">
      <w:bodyDiv w:val="1"/>
      <w:marLeft w:val="0"/>
      <w:marRight w:val="0"/>
      <w:marTop w:val="0"/>
      <w:marBottom w:val="0"/>
      <w:divBdr>
        <w:top w:val="none" w:sz="0" w:space="0" w:color="auto"/>
        <w:left w:val="none" w:sz="0" w:space="0" w:color="auto"/>
        <w:bottom w:val="none" w:sz="0" w:space="0" w:color="auto"/>
        <w:right w:val="none" w:sz="0" w:space="0" w:color="auto"/>
      </w:divBdr>
    </w:div>
    <w:div w:id="1259875056">
      <w:bodyDiv w:val="1"/>
      <w:marLeft w:val="0"/>
      <w:marRight w:val="0"/>
      <w:marTop w:val="0"/>
      <w:marBottom w:val="0"/>
      <w:divBdr>
        <w:top w:val="none" w:sz="0" w:space="0" w:color="auto"/>
        <w:left w:val="none" w:sz="0" w:space="0" w:color="auto"/>
        <w:bottom w:val="none" w:sz="0" w:space="0" w:color="auto"/>
        <w:right w:val="none" w:sz="0" w:space="0" w:color="auto"/>
      </w:divBdr>
    </w:div>
    <w:div w:id="1261598862">
      <w:bodyDiv w:val="1"/>
      <w:marLeft w:val="0"/>
      <w:marRight w:val="0"/>
      <w:marTop w:val="0"/>
      <w:marBottom w:val="0"/>
      <w:divBdr>
        <w:top w:val="none" w:sz="0" w:space="0" w:color="auto"/>
        <w:left w:val="none" w:sz="0" w:space="0" w:color="auto"/>
        <w:bottom w:val="none" w:sz="0" w:space="0" w:color="auto"/>
        <w:right w:val="none" w:sz="0" w:space="0" w:color="auto"/>
      </w:divBdr>
    </w:div>
    <w:div w:id="1261646756">
      <w:bodyDiv w:val="1"/>
      <w:marLeft w:val="0"/>
      <w:marRight w:val="0"/>
      <w:marTop w:val="0"/>
      <w:marBottom w:val="0"/>
      <w:divBdr>
        <w:top w:val="none" w:sz="0" w:space="0" w:color="auto"/>
        <w:left w:val="none" w:sz="0" w:space="0" w:color="auto"/>
        <w:bottom w:val="none" w:sz="0" w:space="0" w:color="auto"/>
        <w:right w:val="none" w:sz="0" w:space="0" w:color="auto"/>
      </w:divBdr>
    </w:div>
    <w:div w:id="1261913891">
      <w:bodyDiv w:val="1"/>
      <w:marLeft w:val="0"/>
      <w:marRight w:val="0"/>
      <w:marTop w:val="0"/>
      <w:marBottom w:val="0"/>
      <w:divBdr>
        <w:top w:val="none" w:sz="0" w:space="0" w:color="auto"/>
        <w:left w:val="none" w:sz="0" w:space="0" w:color="auto"/>
        <w:bottom w:val="none" w:sz="0" w:space="0" w:color="auto"/>
        <w:right w:val="none" w:sz="0" w:space="0" w:color="auto"/>
      </w:divBdr>
    </w:div>
    <w:div w:id="1262104821">
      <w:bodyDiv w:val="1"/>
      <w:marLeft w:val="0"/>
      <w:marRight w:val="0"/>
      <w:marTop w:val="0"/>
      <w:marBottom w:val="0"/>
      <w:divBdr>
        <w:top w:val="none" w:sz="0" w:space="0" w:color="auto"/>
        <w:left w:val="none" w:sz="0" w:space="0" w:color="auto"/>
        <w:bottom w:val="none" w:sz="0" w:space="0" w:color="auto"/>
        <w:right w:val="none" w:sz="0" w:space="0" w:color="auto"/>
      </w:divBdr>
    </w:div>
    <w:div w:id="1268385630">
      <w:bodyDiv w:val="1"/>
      <w:marLeft w:val="0"/>
      <w:marRight w:val="0"/>
      <w:marTop w:val="0"/>
      <w:marBottom w:val="0"/>
      <w:divBdr>
        <w:top w:val="none" w:sz="0" w:space="0" w:color="auto"/>
        <w:left w:val="none" w:sz="0" w:space="0" w:color="auto"/>
        <w:bottom w:val="none" w:sz="0" w:space="0" w:color="auto"/>
        <w:right w:val="none" w:sz="0" w:space="0" w:color="auto"/>
      </w:divBdr>
    </w:div>
    <w:div w:id="1271469387">
      <w:bodyDiv w:val="1"/>
      <w:marLeft w:val="0"/>
      <w:marRight w:val="0"/>
      <w:marTop w:val="0"/>
      <w:marBottom w:val="0"/>
      <w:divBdr>
        <w:top w:val="none" w:sz="0" w:space="0" w:color="auto"/>
        <w:left w:val="none" w:sz="0" w:space="0" w:color="auto"/>
        <w:bottom w:val="none" w:sz="0" w:space="0" w:color="auto"/>
        <w:right w:val="none" w:sz="0" w:space="0" w:color="auto"/>
      </w:divBdr>
    </w:div>
    <w:div w:id="1273199991">
      <w:bodyDiv w:val="1"/>
      <w:marLeft w:val="0"/>
      <w:marRight w:val="0"/>
      <w:marTop w:val="0"/>
      <w:marBottom w:val="0"/>
      <w:divBdr>
        <w:top w:val="none" w:sz="0" w:space="0" w:color="auto"/>
        <w:left w:val="none" w:sz="0" w:space="0" w:color="auto"/>
        <w:bottom w:val="none" w:sz="0" w:space="0" w:color="auto"/>
        <w:right w:val="none" w:sz="0" w:space="0" w:color="auto"/>
      </w:divBdr>
    </w:div>
    <w:div w:id="1277709898">
      <w:bodyDiv w:val="1"/>
      <w:marLeft w:val="0"/>
      <w:marRight w:val="0"/>
      <w:marTop w:val="0"/>
      <w:marBottom w:val="0"/>
      <w:divBdr>
        <w:top w:val="none" w:sz="0" w:space="0" w:color="auto"/>
        <w:left w:val="none" w:sz="0" w:space="0" w:color="auto"/>
        <w:bottom w:val="none" w:sz="0" w:space="0" w:color="auto"/>
        <w:right w:val="none" w:sz="0" w:space="0" w:color="auto"/>
      </w:divBdr>
    </w:div>
    <w:div w:id="1280574028">
      <w:bodyDiv w:val="1"/>
      <w:marLeft w:val="0"/>
      <w:marRight w:val="0"/>
      <w:marTop w:val="0"/>
      <w:marBottom w:val="0"/>
      <w:divBdr>
        <w:top w:val="none" w:sz="0" w:space="0" w:color="auto"/>
        <w:left w:val="none" w:sz="0" w:space="0" w:color="auto"/>
        <w:bottom w:val="none" w:sz="0" w:space="0" w:color="auto"/>
        <w:right w:val="none" w:sz="0" w:space="0" w:color="auto"/>
      </w:divBdr>
    </w:div>
    <w:div w:id="1284773727">
      <w:bodyDiv w:val="1"/>
      <w:marLeft w:val="0"/>
      <w:marRight w:val="0"/>
      <w:marTop w:val="0"/>
      <w:marBottom w:val="0"/>
      <w:divBdr>
        <w:top w:val="none" w:sz="0" w:space="0" w:color="auto"/>
        <w:left w:val="none" w:sz="0" w:space="0" w:color="auto"/>
        <w:bottom w:val="none" w:sz="0" w:space="0" w:color="auto"/>
        <w:right w:val="none" w:sz="0" w:space="0" w:color="auto"/>
      </w:divBdr>
    </w:div>
    <w:div w:id="1287539177">
      <w:bodyDiv w:val="1"/>
      <w:marLeft w:val="0"/>
      <w:marRight w:val="0"/>
      <w:marTop w:val="0"/>
      <w:marBottom w:val="0"/>
      <w:divBdr>
        <w:top w:val="none" w:sz="0" w:space="0" w:color="auto"/>
        <w:left w:val="none" w:sz="0" w:space="0" w:color="auto"/>
        <w:bottom w:val="none" w:sz="0" w:space="0" w:color="auto"/>
        <w:right w:val="none" w:sz="0" w:space="0" w:color="auto"/>
      </w:divBdr>
    </w:div>
    <w:div w:id="1287616954">
      <w:bodyDiv w:val="1"/>
      <w:marLeft w:val="0"/>
      <w:marRight w:val="0"/>
      <w:marTop w:val="0"/>
      <w:marBottom w:val="0"/>
      <w:divBdr>
        <w:top w:val="none" w:sz="0" w:space="0" w:color="auto"/>
        <w:left w:val="none" w:sz="0" w:space="0" w:color="auto"/>
        <w:bottom w:val="none" w:sz="0" w:space="0" w:color="auto"/>
        <w:right w:val="none" w:sz="0" w:space="0" w:color="auto"/>
      </w:divBdr>
    </w:div>
    <w:div w:id="1287618133">
      <w:bodyDiv w:val="1"/>
      <w:marLeft w:val="0"/>
      <w:marRight w:val="0"/>
      <w:marTop w:val="0"/>
      <w:marBottom w:val="0"/>
      <w:divBdr>
        <w:top w:val="none" w:sz="0" w:space="0" w:color="auto"/>
        <w:left w:val="none" w:sz="0" w:space="0" w:color="auto"/>
        <w:bottom w:val="none" w:sz="0" w:space="0" w:color="auto"/>
        <w:right w:val="none" w:sz="0" w:space="0" w:color="auto"/>
      </w:divBdr>
    </w:div>
    <w:div w:id="1288469514">
      <w:bodyDiv w:val="1"/>
      <w:marLeft w:val="0"/>
      <w:marRight w:val="0"/>
      <w:marTop w:val="0"/>
      <w:marBottom w:val="0"/>
      <w:divBdr>
        <w:top w:val="none" w:sz="0" w:space="0" w:color="auto"/>
        <w:left w:val="none" w:sz="0" w:space="0" w:color="auto"/>
        <w:bottom w:val="none" w:sz="0" w:space="0" w:color="auto"/>
        <w:right w:val="none" w:sz="0" w:space="0" w:color="auto"/>
      </w:divBdr>
    </w:div>
    <w:div w:id="1289362660">
      <w:bodyDiv w:val="1"/>
      <w:marLeft w:val="0"/>
      <w:marRight w:val="0"/>
      <w:marTop w:val="0"/>
      <w:marBottom w:val="0"/>
      <w:divBdr>
        <w:top w:val="none" w:sz="0" w:space="0" w:color="auto"/>
        <w:left w:val="none" w:sz="0" w:space="0" w:color="auto"/>
        <w:bottom w:val="none" w:sz="0" w:space="0" w:color="auto"/>
        <w:right w:val="none" w:sz="0" w:space="0" w:color="auto"/>
      </w:divBdr>
    </w:div>
    <w:div w:id="1292515262">
      <w:bodyDiv w:val="1"/>
      <w:marLeft w:val="0"/>
      <w:marRight w:val="0"/>
      <w:marTop w:val="0"/>
      <w:marBottom w:val="0"/>
      <w:divBdr>
        <w:top w:val="none" w:sz="0" w:space="0" w:color="auto"/>
        <w:left w:val="none" w:sz="0" w:space="0" w:color="auto"/>
        <w:bottom w:val="none" w:sz="0" w:space="0" w:color="auto"/>
        <w:right w:val="none" w:sz="0" w:space="0" w:color="auto"/>
      </w:divBdr>
    </w:div>
    <w:div w:id="1295404634">
      <w:bodyDiv w:val="1"/>
      <w:marLeft w:val="0"/>
      <w:marRight w:val="0"/>
      <w:marTop w:val="0"/>
      <w:marBottom w:val="0"/>
      <w:divBdr>
        <w:top w:val="none" w:sz="0" w:space="0" w:color="auto"/>
        <w:left w:val="none" w:sz="0" w:space="0" w:color="auto"/>
        <w:bottom w:val="none" w:sz="0" w:space="0" w:color="auto"/>
        <w:right w:val="none" w:sz="0" w:space="0" w:color="auto"/>
      </w:divBdr>
    </w:div>
    <w:div w:id="1296911768">
      <w:bodyDiv w:val="1"/>
      <w:marLeft w:val="0"/>
      <w:marRight w:val="0"/>
      <w:marTop w:val="0"/>
      <w:marBottom w:val="0"/>
      <w:divBdr>
        <w:top w:val="none" w:sz="0" w:space="0" w:color="auto"/>
        <w:left w:val="none" w:sz="0" w:space="0" w:color="auto"/>
        <w:bottom w:val="none" w:sz="0" w:space="0" w:color="auto"/>
        <w:right w:val="none" w:sz="0" w:space="0" w:color="auto"/>
      </w:divBdr>
    </w:div>
    <w:div w:id="1297178860">
      <w:bodyDiv w:val="1"/>
      <w:marLeft w:val="0"/>
      <w:marRight w:val="0"/>
      <w:marTop w:val="0"/>
      <w:marBottom w:val="0"/>
      <w:divBdr>
        <w:top w:val="none" w:sz="0" w:space="0" w:color="auto"/>
        <w:left w:val="none" w:sz="0" w:space="0" w:color="auto"/>
        <w:bottom w:val="none" w:sz="0" w:space="0" w:color="auto"/>
        <w:right w:val="none" w:sz="0" w:space="0" w:color="auto"/>
      </w:divBdr>
    </w:div>
    <w:div w:id="1299842472">
      <w:bodyDiv w:val="1"/>
      <w:marLeft w:val="0"/>
      <w:marRight w:val="0"/>
      <w:marTop w:val="0"/>
      <w:marBottom w:val="0"/>
      <w:divBdr>
        <w:top w:val="none" w:sz="0" w:space="0" w:color="auto"/>
        <w:left w:val="none" w:sz="0" w:space="0" w:color="auto"/>
        <w:bottom w:val="none" w:sz="0" w:space="0" w:color="auto"/>
        <w:right w:val="none" w:sz="0" w:space="0" w:color="auto"/>
      </w:divBdr>
    </w:div>
    <w:div w:id="1300720551">
      <w:bodyDiv w:val="1"/>
      <w:marLeft w:val="0"/>
      <w:marRight w:val="0"/>
      <w:marTop w:val="0"/>
      <w:marBottom w:val="0"/>
      <w:divBdr>
        <w:top w:val="none" w:sz="0" w:space="0" w:color="auto"/>
        <w:left w:val="none" w:sz="0" w:space="0" w:color="auto"/>
        <w:bottom w:val="none" w:sz="0" w:space="0" w:color="auto"/>
        <w:right w:val="none" w:sz="0" w:space="0" w:color="auto"/>
      </w:divBdr>
    </w:div>
    <w:div w:id="1301232082">
      <w:bodyDiv w:val="1"/>
      <w:marLeft w:val="0"/>
      <w:marRight w:val="0"/>
      <w:marTop w:val="0"/>
      <w:marBottom w:val="0"/>
      <w:divBdr>
        <w:top w:val="none" w:sz="0" w:space="0" w:color="auto"/>
        <w:left w:val="none" w:sz="0" w:space="0" w:color="auto"/>
        <w:bottom w:val="none" w:sz="0" w:space="0" w:color="auto"/>
        <w:right w:val="none" w:sz="0" w:space="0" w:color="auto"/>
      </w:divBdr>
    </w:div>
    <w:div w:id="1301349897">
      <w:bodyDiv w:val="1"/>
      <w:marLeft w:val="0"/>
      <w:marRight w:val="0"/>
      <w:marTop w:val="0"/>
      <w:marBottom w:val="0"/>
      <w:divBdr>
        <w:top w:val="none" w:sz="0" w:space="0" w:color="auto"/>
        <w:left w:val="none" w:sz="0" w:space="0" w:color="auto"/>
        <w:bottom w:val="none" w:sz="0" w:space="0" w:color="auto"/>
        <w:right w:val="none" w:sz="0" w:space="0" w:color="auto"/>
      </w:divBdr>
    </w:div>
    <w:div w:id="1302731308">
      <w:bodyDiv w:val="1"/>
      <w:marLeft w:val="0"/>
      <w:marRight w:val="0"/>
      <w:marTop w:val="0"/>
      <w:marBottom w:val="0"/>
      <w:divBdr>
        <w:top w:val="none" w:sz="0" w:space="0" w:color="auto"/>
        <w:left w:val="none" w:sz="0" w:space="0" w:color="auto"/>
        <w:bottom w:val="none" w:sz="0" w:space="0" w:color="auto"/>
        <w:right w:val="none" w:sz="0" w:space="0" w:color="auto"/>
      </w:divBdr>
    </w:div>
    <w:div w:id="1303383194">
      <w:bodyDiv w:val="1"/>
      <w:marLeft w:val="0"/>
      <w:marRight w:val="0"/>
      <w:marTop w:val="0"/>
      <w:marBottom w:val="0"/>
      <w:divBdr>
        <w:top w:val="none" w:sz="0" w:space="0" w:color="auto"/>
        <w:left w:val="none" w:sz="0" w:space="0" w:color="auto"/>
        <w:bottom w:val="none" w:sz="0" w:space="0" w:color="auto"/>
        <w:right w:val="none" w:sz="0" w:space="0" w:color="auto"/>
      </w:divBdr>
    </w:div>
    <w:div w:id="1305163575">
      <w:bodyDiv w:val="1"/>
      <w:marLeft w:val="0"/>
      <w:marRight w:val="0"/>
      <w:marTop w:val="0"/>
      <w:marBottom w:val="0"/>
      <w:divBdr>
        <w:top w:val="none" w:sz="0" w:space="0" w:color="auto"/>
        <w:left w:val="none" w:sz="0" w:space="0" w:color="auto"/>
        <w:bottom w:val="none" w:sz="0" w:space="0" w:color="auto"/>
        <w:right w:val="none" w:sz="0" w:space="0" w:color="auto"/>
      </w:divBdr>
    </w:div>
    <w:div w:id="1308441363">
      <w:bodyDiv w:val="1"/>
      <w:marLeft w:val="0"/>
      <w:marRight w:val="0"/>
      <w:marTop w:val="0"/>
      <w:marBottom w:val="0"/>
      <w:divBdr>
        <w:top w:val="none" w:sz="0" w:space="0" w:color="auto"/>
        <w:left w:val="none" w:sz="0" w:space="0" w:color="auto"/>
        <w:bottom w:val="none" w:sz="0" w:space="0" w:color="auto"/>
        <w:right w:val="none" w:sz="0" w:space="0" w:color="auto"/>
      </w:divBdr>
    </w:div>
    <w:div w:id="1314286808">
      <w:bodyDiv w:val="1"/>
      <w:marLeft w:val="0"/>
      <w:marRight w:val="0"/>
      <w:marTop w:val="0"/>
      <w:marBottom w:val="0"/>
      <w:divBdr>
        <w:top w:val="none" w:sz="0" w:space="0" w:color="auto"/>
        <w:left w:val="none" w:sz="0" w:space="0" w:color="auto"/>
        <w:bottom w:val="none" w:sz="0" w:space="0" w:color="auto"/>
        <w:right w:val="none" w:sz="0" w:space="0" w:color="auto"/>
      </w:divBdr>
    </w:div>
    <w:div w:id="1314796293">
      <w:bodyDiv w:val="1"/>
      <w:marLeft w:val="0"/>
      <w:marRight w:val="0"/>
      <w:marTop w:val="0"/>
      <w:marBottom w:val="0"/>
      <w:divBdr>
        <w:top w:val="none" w:sz="0" w:space="0" w:color="auto"/>
        <w:left w:val="none" w:sz="0" w:space="0" w:color="auto"/>
        <w:bottom w:val="none" w:sz="0" w:space="0" w:color="auto"/>
        <w:right w:val="none" w:sz="0" w:space="0" w:color="auto"/>
      </w:divBdr>
    </w:div>
    <w:div w:id="1315142885">
      <w:bodyDiv w:val="1"/>
      <w:marLeft w:val="0"/>
      <w:marRight w:val="0"/>
      <w:marTop w:val="0"/>
      <w:marBottom w:val="0"/>
      <w:divBdr>
        <w:top w:val="none" w:sz="0" w:space="0" w:color="auto"/>
        <w:left w:val="none" w:sz="0" w:space="0" w:color="auto"/>
        <w:bottom w:val="none" w:sz="0" w:space="0" w:color="auto"/>
        <w:right w:val="none" w:sz="0" w:space="0" w:color="auto"/>
      </w:divBdr>
    </w:div>
    <w:div w:id="1315380727">
      <w:bodyDiv w:val="1"/>
      <w:marLeft w:val="0"/>
      <w:marRight w:val="0"/>
      <w:marTop w:val="0"/>
      <w:marBottom w:val="0"/>
      <w:divBdr>
        <w:top w:val="none" w:sz="0" w:space="0" w:color="auto"/>
        <w:left w:val="none" w:sz="0" w:space="0" w:color="auto"/>
        <w:bottom w:val="none" w:sz="0" w:space="0" w:color="auto"/>
        <w:right w:val="none" w:sz="0" w:space="0" w:color="auto"/>
      </w:divBdr>
    </w:div>
    <w:div w:id="1318999948">
      <w:bodyDiv w:val="1"/>
      <w:marLeft w:val="0"/>
      <w:marRight w:val="0"/>
      <w:marTop w:val="0"/>
      <w:marBottom w:val="0"/>
      <w:divBdr>
        <w:top w:val="none" w:sz="0" w:space="0" w:color="auto"/>
        <w:left w:val="none" w:sz="0" w:space="0" w:color="auto"/>
        <w:bottom w:val="none" w:sz="0" w:space="0" w:color="auto"/>
        <w:right w:val="none" w:sz="0" w:space="0" w:color="auto"/>
      </w:divBdr>
    </w:div>
    <w:div w:id="1320040989">
      <w:bodyDiv w:val="1"/>
      <w:marLeft w:val="0"/>
      <w:marRight w:val="0"/>
      <w:marTop w:val="0"/>
      <w:marBottom w:val="0"/>
      <w:divBdr>
        <w:top w:val="none" w:sz="0" w:space="0" w:color="auto"/>
        <w:left w:val="none" w:sz="0" w:space="0" w:color="auto"/>
        <w:bottom w:val="none" w:sz="0" w:space="0" w:color="auto"/>
        <w:right w:val="none" w:sz="0" w:space="0" w:color="auto"/>
      </w:divBdr>
    </w:div>
    <w:div w:id="1322123793">
      <w:bodyDiv w:val="1"/>
      <w:marLeft w:val="0"/>
      <w:marRight w:val="0"/>
      <w:marTop w:val="0"/>
      <w:marBottom w:val="0"/>
      <w:divBdr>
        <w:top w:val="none" w:sz="0" w:space="0" w:color="auto"/>
        <w:left w:val="none" w:sz="0" w:space="0" w:color="auto"/>
        <w:bottom w:val="none" w:sz="0" w:space="0" w:color="auto"/>
        <w:right w:val="none" w:sz="0" w:space="0" w:color="auto"/>
      </w:divBdr>
    </w:div>
    <w:div w:id="1322387817">
      <w:bodyDiv w:val="1"/>
      <w:marLeft w:val="0"/>
      <w:marRight w:val="0"/>
      <w:marTop w:val="0"/>
      <w:marBottom w:val="0"/>
      <w:divBdr>
        <w:top w:val="none" w:sz="0" w:space="0" w:color="auto"/>
        <w:left w:val="none" w:sz="0" w:space="0" w:color="auto"/>
        <w:bottom w:val="none" w:sz="0" w:space="0" w:color="auto"/>
        <w:right w:val="none" w:sz="0" w:space="0" w:color="auto"/>
      </w:divBdr>
    </w:div>
    <w:div w:id="1324622828">
      <w:bodyDiv w:val="1"/>
      <w:marLeft w:val="0"/>
      <w:marRight w:val="0"/>
      <w:marTop w:val="0"/>
      <w:marBottom w:val="0"/>
      <w:divBdr>
        <w:top w:val="none" w:sz="0" w:space="0" w:color="auto"/>
        <w:left w:val="none" w:sz="0" w:space="0" w:color="auto"/>
        <w:bottom w:val="none" w:sz="0" w:space="0" w:color="auto"/>
        <w:right w:val="none" w:sz="0" w:space="0" w:color="auto"/>
      </w:divBdr>
    </w:div>
    <w:div w:id="1329332317">
      <w:bodyDiv w:val="1"/>
      <w:marLeft w:val="0"/>
      <w:marRight w:val="0"/>
      <w:marTop w:val="0"/>
      <w:marBottom w:val="0"/>
      <w:divBdr>
        <w:top w:val="none" w:sz="0" w:space="0" w:color="auto"/>
        <w:left w:val="none" w:sz="0" w:space="0" w:color="auto"/>
        <w:bottom w:val="none" w:sz="0" w:space="0" w:color="auto"/>
        <w:right w:val="none" w:sz="0" w:space="0" w:color="auto"/>
      </w:divBdr>
    </w:div>
    <w:div w:id="1329484887">
      <w:bodyDiv w:val="1"/>
      <w:marLeft w:val="0"/>
      <w:marRight w:val="0"/>
      <w:marTop w:val="0"/>
      <w:marBottom w:val="0"/>
      <w:divBdr>
        <w:top w:val="none" w:sz="0" w:space="0" w:color="auto"/>
        <w:left w:val="none" w:sz="0" w:space="0" w:color="auto"/>
        <w:bottom w:val="none" w:sz="0" w:space="0" w:color="auto"/>
        <w:right w:val="none" w:sz="0" w:space="0" w:color="auto"/>
      </w:divBdr>
    </w:div>
    <w:div w:id="1330057637">
      <w:bodyDiv w:val="1"/>
      <w:marLeft w:val="0"/>
      <w:marRight w:val="0"/>
      <w:marTop w:val="0"/>
      <w:marBottom w:val="0"/>
      <w:divBdr>
        <w:top w:val="none" w:sz="0" w:space="0" w:color="auto"/>
        <w:left w:val="none" w:sz="0" w:space="0" w:color="auto"/>
        <w:bottom w:val="none" w:sz="0" w:space="0" w:color="auto"/>
        <w:right w:val="none" w:sz="0" w:space="0" w:color="auto"/>
      </w:divBdr>
    </w:div>
    <w:div w:id="1331131381">
      <w:bodyDiv w:val="1"/>
      <w:marLeft w:val="0"/>
      <w:marRight w:val="0"/>
      <w:marTop w:val="0"/>
      <w:marBottom w:val="0"/>
      <w:divBdr>
        <w:top w:val="none" w:sz="0" w:space="0" w:color="auto"/>
        <w:left w:val="none" w:sz="0" w:space="0" w:color="auto"/>
        <w:bottom w:val="none" w:sz="0" w:space="0" w:color="auto"/>
        <w:right w:val="none" w:sz="0" w:space="0" w:color="auto"/>
      </w:divBdr>
    </w:div>
    <w:div w:id="1333876239">
      <w:bodyDiv w:val="1"/>
      <w:marLeft w:val="0"/>
      <w:marRight w:val="0"/>
      <w:marTop w:val="0"/>
      <w:marBottom w:val="0"/>
      <w:divBdr>
        <w:top w:val="none" w:sz="0" w:space="0" w:color="auto"/>
        <w:left w:val="none" w:sz="0" w:space="0" w:color="auto"/>
        <w:bottom w:val="none" w:sz="0" w:space="0" w:color="auto"/>
        <w:right w:val="none" w:sz="0" w:space="0" w:color="auto"/>
      </w:divBdr>
    </w:div>
    <w:div w:id="1335038046">
      <w:bodyDiv w:val="1"/>
      <w:marLeft w:val="0"/>
      <w:marRight w:val="0"/>
      <w:marTop w:val="0"/>
      <w:marBottom w:val="0"/>
      <w:divBdr>
        <w:top w:val="none" w:sz="0" w:space="0" w:color="auto"/>
        <w:left w:val="none" w:sz="0" w:space="0" w:color="auto"/>
        <w:bottom w:val="none" w:sz="0" w:space="0" w:color="auto"/>
        <w:right w:val="none" w:sz="0" w:space="0" w:color="auto"/>
      </w:divBdr>
    </w:div>
    <w:div w:id="1335304291">
      <w:bodyDiv w:val="1"/>
      <w:marLeft w:val="0"/>
      <w:marRight w:val="0"/>
      <w:marTop w:val="0"/>
      <w:marBottom w:val="0"/>
      <w:divBdr>
        <w:top w:val="none" w:sz="0" w:space="0" w:color="auto"/>
        <w:left w:val="none" w:sz="0" w:space="0" w:color="auto"/>
        <w:bottom w:val="none" w:sz="0" w:space="0" w:color="auto"/>
        <w:right w:val="none" w:sz="0" w:space="0" w:color="auto"/>
      </w:divBdr>
    </w:div>
    <w:div w:id="1341856153">
      <w:bodyDiv w:val="1"/>
      <w:marLeft w:val="0"/>
      <w:marRight w:val="0"/>
      <w:marTop w:val="0"/>
      <w:marBottom w:val="0"/>
      <w:divBdr>
        <w:top w:val="none" w:sz="0" w:space="0" w:color="auto"/>
        <w:left w:val="none" w:sz="0" w:space="0" w:color="auto"/>
        <w:bottom w:val="none" w:sz="0" w:space="0" w:color="auto"/>
        <w:right w:val="none" w:sz="0" w:space="0" w:color="auto"/>
      </w:divBdr>
    </w:div>
    <w:div w:id="1343505102">
      <w:bodyDiv w:val="1"/>
      <w:marLeft w:val="0"/>
      <w:marRight w:val="0"/>
      <w:marTop w:val="0"/>
      <w:marBottom w:val="0"/>
      <w:divBdr>
        <w:top w:val="none" w:sz="0" w:space="0" w:color="auto"/>
        <w:left w:val="none" w:sz="0" w:space="0" w:color="auto"/>
        <w:bottom w:val="none" w:sz="0" w:space="0" w:color="auto"/>
        <w:right w:val="none" w:sz="0" w:space="0" w:color="auto"/>
      </w:divBdr>
    </w:div>
    <w:div w:id="1346517710">
      <w:bodyDiv w:val="1"/>
      <w:marLeft w:val="0"/>
      <w:marRight w:val="0"/>
      <w:marTop w:val="0"/>
      <w:marBottom w:val="0"/>
      <w:divBdr>
        <w:top w:val="none" w:sz="0" w:space="0" w:color="auto"/>
        <w:left w:val="none" w:sz="0" w:space="0" w:color="auto"/>
        <w:bottom w:val="none" w:sz="0" w:space="0" w:color="auto"/>
        <w:right w:val="none" w:sz="0" w:space="0" w:color="auto"/>
      </w:divBdr>
    </w:div>
    <w:div w:id="1347975354">
      <w:bodyDiv w:val="1"/>
      <w:marLeft w:val="0"/>
      <w:marRight w:val="0"/>
      <w:marTop w:val="0"/>
      <w:marBottom w:val="0"/>
      <w:divBdr>
        <w:top w:val="none" w:sz="0" w:space="0" w:color="auto"/>
        <w:left w:val="none" w:sz="0" w:space="0" w:color="auto"/>
        <w:bottom w:val="none" w:sz="0" w:space="0" w:color="auto"/>
        <w:right w:val="none" w:sz="0" w:space="0" w:color="auto"/>
      </w:divBdr>
    </w:div>
    <w:div w:id="1348752270">
      <w:bodyDiv w:val="1"/>
      <w:marLeft w:val="0"/>
      <w:marRight w:val="0"/>
      <w:marTop w:val="0"/>
      <w:marBottom w:val="0"/>
      <w:divBdr>
        <w:top w:val="none" w:sz="0" w:space="0" w:color="auto"/>
        <w:left w:val="none" w:sz="0" w:space="0" w:color="auto"/>
        <w:bottom w:val="none" w:sz="0" w:space="0" w:color="auto"/>
        <w:right w:val="none" w:sz="0" w:space="0" w:color="auto"/>
      </w:divBdr>
    </w:div>
    <w:div w:id="1349604267">
      <w:bodyDiv w:val="1"/>
      <w:marLeft w:val="0"/>
      <w:marRight w:val="0"/>
      <w:marTop w:val="0"/>
      <w:marBottom w:val="0"/>
      <w:divBdr>
        <w:top w:val="none" w:sz="0" w:space="0" w:color="auto"/>
        <w:left w:val="none" w:sz="0" w:space="0" w:color="auto"/>
        <w:bottom w:val="none" w:sz="0" w:space="0" w:color="auto"/>
        <w:right w:val="none" w:sz="0" w:space="0" w:color="auto"/>
      </w:divBdr>
    </w:div>
    <w:div w:id="1351881985">
      <w:bodyDiv w:val="1"/>
      <w:marLeft w:val="0"/>
      <w:marRight w:val="0"/>
      <w:marTop w:val="0"/>
      <w:marBottom w:val="0"/>
      <w:divBdr>
        <w:top w:val="none" w:sz="0" w:space="0" w:color="auto"/>
        <w:left w:val="none" w:sz="0" w:space="0" w:color="auto"/>
        <w:bottom w:val="none" w:sz="0" w:space="0" w:color="auto"/>
        <w:right w:val="none" w:sz="0" w:space="0" w:color="auto"/>
      </w:divBdr>
    </w:div>
    <w:div w:id="1355498989">
      <w:bodyDiv w:val="1"/>
      <w:marLeft w:val="0"/>
      <w:marRight w:val="0"/>
      <w:marTop w:val="0"/>
      <w:marBottom w:val="0"/>
      <w:divBdr>
        <w:top w:val="none" w:sz="0" w:space="0" w:color="auto"/>
        <w:left w:val="none" w:sz="0" w:space="0" w:color="auto"/>
        <w:bottom w:val="none" w:sz="0" w:space="0" w:color="auto"/>
        <w:right w:val="none" w:sz="0" w:space="0" w:color="auto"/>
      </w:divBdr>
    </w:div>
    <w:div w:id="1357080414">
      <w:bodyDiv w:val="1"/>
      <w:marLeft w:val="0"/>
      <w:marRight w:val="0"/>
      <w:marTop w:val="0"/>
      <w:marBottom w:val="0"/>
      <w:divBdr>
        <w:top w:val="none" w:sz="0" w:space="0" w:color="auto"/>
        <w:left w:val="none" w:sz="0" w:space="0" w:color="auto"/>
        <w:bottom w:val="none" w:sz="0" w:space="0" w:color="auto"/>
        <w:right w:val="none" w:sz="0" w:space="0" w:color="auto"/>
      </w:divBdr>
    </w:div>
    <w:div w:id="1358580249">
      <w:bodyDiv w:val="1"/>
      <w:marLeft w:val="0"/>
      <w:marRight w:val="0"/>
      <w:marTop w:val="0"/>
      <w:marBottom w:val="0"/>
      <w:divBdr>
        <w:top w:val="none" w:sz="0" w:space="0" w:color="auto"/>
        <w:left w:val="none" w:sz="0" w:space="0" w:color="auto"/>
        <w:bottom w:val="none" w:sz="0" w:space="0" w:color="auto"/>
        <w:right w:val="none" w:sz="0" w:space="0" w:color="auto"/>
      </w:divBdr>
    </w:div>
    <w:div w:id="1360350419">
      <w:bodyDiv w:val="1"/>
      <w:marLeft w:val="0"/>
      <w:marRight w:val="0"/>
      <w:marTop w:val="0"/>
      <w:marBottom w:val="0"/>
      <w:divBdr>
        <w:top w:val="none" w:sz="0" w:space="0" w:color="auto"/>
        <w:left w:val="none" w:sz="0" w:space="0" w:color="auto"/>
        <w:bottom w:val="none" w:sz="0" w:space="0" w:color="auto"/>
        <w:right w:val="none" w:sz="0" w:space="0" w:color="auto"/>
      </w:divBdr>
    </w:div>
    <w:div w:id="1363048616">
      <w:bodyDiv w:val="1"/>
      <w:marLeft w:val="0"/>
      <w:marRight w:val="0"/>
      <w:marTop w:val="0"/>
      <w:marBottom w:val="0"/>
      <w:divBdr>
        <w:top w:val="none" w:sz="0" w:space="0" w:color="auto"/>
        <w:left w:val="none" w:sz="0" w:space="0" w:color="auto"/>
        <w:bottom w:val="none" w:sz="0" w:space="0" w:color="auto"/>
        <w:right w:val="none" w:sz="0" w:space="0" w:color="auto"/>
      </w:divBdr>
    </w:div>
    <w:div w:id="1363243931">
      <w:bodyDiv w:val="1"/>
      <w:marLeft w:val="0"/>
      <w:marRight w:val="0"/>
      <w:marTop w:val="0"/>
      <w:marBottom w:val="0"/>
      <w:divBdr>
        <w:top w:val="none" w:sz="0" w:space="0" w:color="auto"/>
        <w:left w:val="none" w:sz="0" w:space="0" w:color="auto"/>
        <w:bottom w:val="none" w:sz="0" w:space="0" w:color="auto"/>
        <w:right w:val="none" w:sz="0" w:space="0" w:color="auto"/>
      </w:divBdr>
    </w:div>
    <w:div w:id="1364206745">
      <w:bodyDiv w:val="1"/>
      <w:marLeft w:val="0"/>
      <w:marRight w:val="0"/>
      <w:marTop w:val="0"/>
      <w:marBottom w:val="0"/>
      <w:divBdr>
        <w:top w:val="none" w:sz="0" w:space="0" w:color="auto"/>
        <w:left w:val="none" w:sz="0" w:space="0" w:color="auto"/>
        <w:bottom w:val="none" w:sz="0" w:space="0" w:color="auto"/>
        <w:right w:val="none" w:sz="0" w:space="0" w:color="auto"/>
      </w:divBdr>
    </w:div>
    <w:div w:id="1365903453">
      <w:bodyDiv w:val="1"/>
      <w:marLeft w:val="0"/>
      <w:marRight w:val="0"/>
      <w:marTop w:val="0"/>
      <w:marBottom w:val="0"/>
      <w:divBdr>
        <w:top w:val="none" w:sz="0" w:space="0" w:color="auto"/>
        <w:left w:val="none" w:sz="0" w:space="0" w:color="auto"/>
        <w:bottom w:val="none" w:sz="0" w:space="0" w:color="auto"/>
        <w:right w:val="none" w:sz="0" w:space="0" w:color="auto"/>
      </w:divBdr>
    </w:div>
    <w:div w:id="1366249296">
      <w:bodyDiv w:val="1"/>
      <w:marLeft w:val="0"/>
      <w:marRight w:val="0"/>
      <w:marTop w:val="0"/>
      <w:marBottom w:val="0"/>
      <w:divBdr>
        <w:top w:val="none" w:sz="0" w:space="0" w:color="auto"/>
        <w:left w:val="none" w:sz="0" w:space="0" w:color="auto"/>
        <w:bottom w:val="none" w:sz="0" w:space="0" w:color="auto"/>
        <w:right w:val="none" w:sz="0" w:space="0" w:color="auto"/>
      </w:divBdr>
      <w:divsChild>
        <w:div w:id="1707900232">
          <w:marLeft w:val="0"/>
          <w:marRight w:val="0"/>
          <w:marTop w:val="0"/>
          <w:marBottom w:val="0"/>
          <w:divBdr>
            <w:top w:val="none" w:sz="0" w:space="0" w:color="auto"/>
            <w:left w:val="none" w:sz="0" w:space="0" w:color="auto"/>
            <w:bottom w:val="none" w:sz="0" w:space="0" w:color="auto"/>
            <w:right w:val="none" w:sz="0" w:space="0" w:color="auto"/>
          </w:divBdr>
          <w:divsChild>
            <w:div w:id="300384127">
              <w:marLeft w:val="0"/>
              <w:marRight w:val="0"/>
              <w:marTop w:val="0"/>
              <w:marBottom w:val="0"/>
              <w:divBdr>
                <w:top w:val="none" w:sz="0" w:space="0" w:color="auto"/>
                <w:left w:val="none" w:sz="0" w:space="0" w:color="auto"/>
                <w:bottom w:val="none" w:sz="0" w:space="0" w:color="auto"/>
                <w:right w:val="none" w:sz="0" w:space="0" w:color="auto"/>
              </w:divBdr>
              <w:divsChild>
                <w:div w:id="201553628">
                  <w:marLeft w:val="0"/>
                  <w:marRight w:val="0"/>
                  <w:marTop w:val="0"/>
                  <w:marBottom w:val="0"/>
                  <w:divBdr>
                    <w:top w:val="none" w:sz="0" w:space="0" w:color="auto"/>
                    <w:left w:val="none" w:sz="0" w:space="0" w:color="auto"/>
                    <w:bottom w:val="none" w:sz="0" w:space="0" w:color="auto"/>
                    <w:right w:val="none" w:sz="0" w:space="0" w:color="auto"/>
                  </w:divBdr>
                  <w:divsChild>
                    <w:div w:id="343019288">
                      <w:marLeft w:val="0"/>
                      <w:marRight w:val="0"/>
                      <w:marTop w:val="0"/>
                      <w:marBottom w:val="0"/>
                      <w:divBdr>
                        <w:top w:val="none" w:sz="0" w:space="0" w:color="auto"/>
                        <w:left w:val="none" w:sz="0" w:space="0" w:color="auto"/>
                        <w:bottom w:val="none" w:sz="0" w:space="0" w:color="auto"/>
                        <w:right w:val="none" w:sz="0" w:space="0" w:color="auto"/>
                      </w:divBdr>
                      <w:divsChild>
                        <w:div w:id="84876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562335">
      <w:bodyDiv w:val="1"/>
      <w:marLeft w:val="0"/>
      <w:marRight w:val="0"/>
      <w:marTop w:val="0"/>
      <w:marBottom w:val="0"/>
      <w:divBdr>
        <w:top w:val="none" w:sz="0" w:space="0" w:color="auto"/>
        <w:left w:val="none" w:sz="0" w:space="0" w:color="auto"/>
        <w:bottom w:val="none" w:sz="0" w:space="0" w:color="auto"/>
        <w:right w:val="none" w:sz="0" w:space="0" w:color="auto"/>
      </w:divBdr>
    </w:div>
    <w:div w:id="1369838164">
      <w:bodyDiv w:val="1"/>
      <w:marLeft w:val="0"/>
      <w:marRight w:val="0"/>
      <w:marTop w:val="0"/>
      <w:marBottom w:val="0"/>
      <w:divBdr>
        <w:top w:val="none" w:sz="0" w:space="0" w:color="auto"/>
        <w:left w:val="none" w:sz="0" w:space="0" w:color="auto"/>
        <w:bottom w:val="none" w:sz="0" w:space="0" w:color="auto"/>
        <w:right w:val="none" w:sz="0" w:space="0" w:color="auto"/>
      </w:divBdr>
    </w:div>
    <w:div w:id="1371147898">
      <w:bodyDiv w:val="1"/>
      <w:marLeft w:val="0"/>
      <w:marRight w:val="0"/>
      <w:marTop w:val="0"/>
      <w:marBottom w:val="0"/>
      <w:divBdr>
        <w:top w:val="none" w:sz="0" w:space="0" w:color="auto"/>
        <w:left w:val="none" w:sz="0" w:space="0" w:color="auto"/>
        <w:bottom w:val="none" w:sz="0" w:space="0" w:color="auto"/>
        <w:right w:val="none" w:sz="0" w:space="0" w:color="auto"/>
      </w:divBdr>
    </w:div>
    <w:div w:id="1377005012">
      <w:bodyDiv w:val="1"/>
      <w:marLeft w:val="0"/>
      <w:marRight w:val="0"/>
      <w:marTop w:val="0"/>
      <w:marBottom w:val="0"/>
      <w:divBdr>
        <w:top w:val="none" w:sz="0" w:space="0" w:color="auto"/>
        <w:left w:val="none" w:sz="0" w:space="0" w:color="auto"/>
        <w:bottom w:val="none" w:sz="0" w:space="0" w:color="auto"/>
        <w:right w:val="none" w:sz="0" w:space="0" w:color="auto"/>
      </w:divBdr>
    </w:div>
    <w:div w:id="1377511705">
      <w:bodyDiv w:val="1"/>
      <w:marLeft w:val="0"/>
      <w:marRight w:val="0"/>
      <w:marTop w:val="0"/>
      <w:marBottom w:val="0"/>
      <w:divBdr>
        <w:top w:val="none" w:sz="0" w:space="0" w:color="auto"/>
        <w:left w:val="none" w:sz="0" w:space="0" w:color="auto"/>
        <w:bottom w:val="none" w:sz="0" w:space="0" w:color="auto"/>
        <w:right w:val="none" w:sz="0" w:space="0" w:color="auto"/>
      </w:divBdr>
    </w:div>
    <w:div w:id="1380277923">
      <w:bodyDiv w:val="1"/>
      <w:marLeft w:val="0"/>
      <w:marRight w:val="0"/>
      <w:marTop w:val="0"/>
      <w:marBottom w:val="0"/>
      <w:divBdr>
        <w:top w:val="none" w:sz="0" w:space="0" w:color="auto"/>
        <w:left w:val="none" w:sz="0" w:space="0" w:color="auto"/>
        <w:bottom w:val="none" w:sz="0" w:space="0" w:color="auto"/>
        <w:right w:val="none" w:sz="0" w:space="0" w:color="auto"/>
      </w:divBdr>
    </w:div>
    <w:div w:id="1384405060">
      <w:bodyDiv w:val="1"/>
      <w:marLeft w:val="0"/>
      <w:marRight w:val="0"/>
      <w:marTop w:val="0"/>
      <w:marBottom w:val="0"/>
      <w:divBdr>
        <w:top w:val="none" w:sz="0" w:space="0" w:color="auto"/>
        <w:left w:val="none" w:sz="0" w:space="0" w:color="auto"/>
        <w:bottom w:val="none" w:sz="0" w:space="0" w:color="auto"/>
        <w:right w:val="none" w:sz="0" w:space="0" w:color="auto"/>
      </w:divBdr>
    </w:div>
    <w:div w:id="1387486744">
      <w:bodyDiv w:val="1"/>
      <w:marLeft w:val="0"/>
      <w:marRight w:val="0"/>
      <w:marTop w:val="0"/>
      <w:marBottom w:val="0"/>
      <w:divBdr>
        <w:top w:val="none" w:sz="0" w:space="0" w:color="auto"/>
        <w:left w:val="none" w:sz="0" w:space="0" w:color="auto"/>
        <w:bottom w:val="none" w:sz="0" w:space="0" w:color="auto"/>
        <w:right w:val="none" w:sz="0" w:space="0" w:color="auto"/>
      </w:divBdr>
    </w:div>
    <w:div w:id="1387681606">
      <w:bodyDiv w:val="1"/>
      <w:marLeft w:val="0"/>
      <w:marRight w:val="0"/>
      <w:marTop w:val="0"/>
      <w:marBottom w:val="0"/>
      <w:divBdr>
        <w:top w:val="none" w:sz="0" w:space="0" w:color="auto"/>
        <w:left w:val="none" w:sz="0" w:space="0" w:color="auto"/>
        <w:bottom w:val="none" w:sz="0" w:space="0" w:color="auto"/>
        <w:right w:val="none" w:sz="0" w:space="0" w:color="auto"/>
      </w:divBdr>
    </w:div>
    <w:div w:id="1389187108">
      <w:bodyDiv w:val="1"/>
      <w:marLeft w:val="0"/>
      <w:marRight w:val="0"/>
      <w:marTop w:val="0"/>
      <w:marBottom w:val="0"/>
      <w:divBdr>
        <w:top w:val="none" w:sz="0" w:space="0" w:color="auto"/>
        <w:left w:val="none" w:sz="0" w:space="0" w:color="auto"/>
        <w:bottom w:val="none" w:sz="0" w:space="0" w:color="auto"/>
        <w:right w:val="none" w:sz="0" w:space="0" w:color="auto"/>
      </w:divBdr>
    </w:div>
    <w:div w:id="1389913489">
      <w:bodyDiv w:val="1"/>
      <w:marLeft w:val="0"/>
      <w:marRight w:val="0"/>
      <w:marTop w:val="0"/>
      <w:marBottom w:val="0"/>
      <w:divBdr>
        <w:top w:val="none" w:sz="0" w:space="0" w:color="auto"/>
        <w:left w:val="none" w:sz="0" w:space="0" w:color="auto"/>
        <w:bottom w:val="none" w:sz="0" w:space="0" w:color="auto"/>
        <w:right w:val="none" w:sz="0" w:space="0" w:color="auto"/>
      </w:divBdr>
    </w:div>
    <w:div w:id="1394699562">
      <w:bodyDiv w:val="1"/>
      <w:marLeft w:val="0"/>
      <w:marRight w:val="0"/>
      <w:marTop w:val="0"/>
      <w:marBottom w:val="0"/>
      <w:divBdr>
        <w:top w:val="none" w:sz="0" w:space="0" w:color="auto"/>
        <w:left w:val="none" w:sz="0" w:space="0" w:color="auto"/>
        <w:bottom w:val="none" w:sz="0" w:space="0" w:color="auto"/>
        <w:right w:val="none" w:sz="0" w:space="0" w:color="auto"/>
      </w:divBdr>
    </w:div>
    <w:div w:id="1394741403">
      <w:bodyDiv w:val="1"/>
      <w:marLeft w:val="0"/>
      <w:marRight w:val="0"/>
      <w:marTop w:val="0"/>
      <w:marBottom w:val="0"/>
      <w:divBdr>
        <w:top w:val="none" w:sz="0" w:space="0" w:color="auto"/>
        <w:left w:val="none" w:sz="0" w:space="0" w:color="auto"/>
        <w:bottom w:val="none" w:sz="0" w:space="0" w:color="auto"/>
        <w:right w:val="none" w:sz="0" w:space="0" w:color="auto"/>
      </w:divBdr>
      <w:divsChild>
        <w:div w:id="1252855588">
          <w:marLeft w:val="0"/>
          <w:marRight w:val="0"/>
          <w:marTop w:val="0"/>
          <w:marBottom w:val="0"/>
          <w:divBdr>
            <w:top w:val="none" w:sz="0" w:space="0" w:color="auto"/>
            <w:left w:val="none" w:sz="0" w:space="0" w:color="auto"/>
            <w:bottom w:val="none" w:sz="0" w:space="0" w:color="auto"/>
            <w:right w:val="none" w:sz="0" w:space="0" w:color="auto"/>
          </w:divBdr>
          <w:divsChild>
            <w:div w:id="1976987181">
              <w:marLeft w:val="0"/>
              <w:marRight w:val="0"/>
              <w:marTop w:val="0"/>
              <w:marBottom w:val="0"/>
              <w:divBdr>
                <w:top w:val="none" w:sz="0" w:space="0" w:color="auto"/>
                <w:left w:val="none" w:sz="0" w:space="0" w:color="auto"/>
                <w:bottom w:val="none" w:sz="0" w:space="0" w:color="auto"/>
                <w:right w:val="none" w:sz="0" w:space="0" w:color="auto"/>
              </w:divBdr>
              <w:divsChild>
                <w:div w:id="909541081">
                  <w:marLeft w:val="0"/>
                  <w:marRight w:val="0"/>
                  <w:marTop w:val="0"/>
                  <w:marBottom w:val="0"/>
                  <w:divBdr>
                    <w:top w:val="none" w:sz="0" w:space="0" w:color="auto"/>
                    <w:left w:val="none" w:sz="0" w:space="0" w:color="auto"/>
                    <w:bottom w:val="none" w:sz="0" w:space="0" w:color="auto"/>
                    <w:right w:val="none" w:sz="0" w:space="0" w:color="auto"/>
                  </w:divBdr>
                  <w:divsChild>
                    <w:div w:id="57346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354335">
      <w:bodyDiv w:val="1"/>
      <w:marLeft w:val="0"/>
      <w:marRight w:val="0"/>
      <w:marTop w:val="0"/>
      <w:marBottom w:val="0"/>
      <w:divBdr>
        <w:top w:val="none" w:sz="0" w:space="0" w:color="auto"/>
        <w:left w:val="none" w:sz="0" w:space="0" w:color="auto"/>
        <w:bottom w:val="none" w:sz="0" w:space="0" w:color="auto"/>
        <w:right w:val="none" w:sz="0" w:space="0" w:color="auto"/>
      </w:divBdr>
    </w:div>
    <w:div w:id="1396472719">
      <w:bodyDiv w:val="1"/>
      <w:marLeft w:val="0"/>
      <w:marRight w:val="0"/>
      <w:marTop w:val="0"/>
      <w:marBottom w:val="0"/>
      <w:divBdr>
        <w:top w:val="none" w:sz="0" w:space="0" w:color="auto"/>
        <w:left w:val="none" w:sz="0" w:space="0" w:color="auto"/>
        <w:bottom w:val="none" w:sz="0" w:space="0" w:color="auto"/>
        <w:right w:val="none" w:sz="0" w:space="0" w:color="auto"/>
      </w:divBdr>
    </w:div>
    <w:div w:id="1399474004">
      <w:bodyDiv w:val="1"/>
      <w:marLeft w:val="0"/>
      <w:marRight w:val="0"/>
      <w:marTop w:val="0"/>
      <w:marBottom w:val="0"/>
      <w:divBdr>
        <w:top w:val="none" w:sz="0" w:space="0" w:color="auto"/>
        <w:left w:val="none" w:sz="0" w:space="0" w:color="auto"/>
        <w:bottom w:val="none" w:sz="0" w:space="0" w:color="auto"/>
        <w:right w:val="none" w:sz="0" w:space="0" w:color="auto"/>
      </w:divBdr>
    </w:div>
    <w:div w:id="1400329437">
      <w:bodyDiv w:val="1"/>
      <w:marLeft w:val="0"/>
      <w:marRight w:val="0"/>
      <w:marTop w:val="0"/>
      <w:marBottom w:val="0"/>
      <w:divBdr>
        <w:top w:val="none" w:sz="0" w:space="0" w:color="auto"/>
        <w:left w:val="none" w:sz="0" w:space="0" w:color="auto"/>
        <w:bottom w:val="none" w:sz="0" w:space="0" w:color="auto"/>
        <w:right w:val="none" w:sz="0" w:space="0" w:color="auto"/>
      </w:divBdr>
    </w:div>
    <w:div w:id="1401826969">
      <w:bodyDiv w:val="1"/>
      <w:marLeft w:val="0"/>
      <w:marRight w:val="0"/>
      <w:marTop w:val="0"/>
      <w:marBottom w:val="0"/>
      <w:divBdr>
        <w:top w:val="none" w:sz="0" w:space="0" w:color="auto"/>
        <w:left w:val="none" w:sz="0" w:space="0" w:color="auto"/>
        <w:bottom w:val="none" w:sz="0" w:space="0" w:color="auto"/>
        <w:right w:val="none" w:sz="0" w:space="0" w:color="auto"/>
      </w:divBdr>
    </w:div>
    <w:div w:id="1406605733">
      <w:bodyDiv w:val="1"/>
      <w:marLeft w:val="0"/>
      <w:marRight w:val="0"/>
      <w:marTop w:val="0"/>
      <w:marBottom w:val="0"/>
      <w:divBdr>
        <w:top w:val="none" w:sz="0" w:space="0" w:color="auto"/>
        <w:left w:val="none" w:sz="0" w:space="0" w:color="auto"/>
        <w:bottom w:val="none" w:sz="0" w:space="0" w:color="auto"/>
        <w:right w:val="none" w:sz="0" w:space="0" w:color="auto"/>
      </w:divBdr>
    </w:div>
    <w:div w:id="1406730815">
      <w:bodyDiv w:val="1"/>
      <w:marLeft w:val="0"/>
      <w:marRight w:val="0"/>
      <w:marTop w:val="0"/>
      <w:marBottom w:val="0"/>
      <w:divBdr>
        <w:top w:val="none" w:sz="0" w:space="0" w:color="auto"/>
        <w:left w:val="none" w:sz="0" w:space="0" w:color="auto"/>
        <w:bottom w:val="none" w:sz="0" w:space="0" w:color="auto"/>
        <w:right w:val="none" w:sz="0" w:space="0" w:color="auto"/>
      </w:divBdr>
    </w:div>
    <w:div w:id="1409646466">
      <w:bodyDiv w:val="1"/>
      <w:marLeft w:val="0"/>
      <w:marRight w:val="0"/>
      <w:marTop w:val="0"/>
      <w:marBottom w:val="0"/>
      <w:divBdr>
        <w:top w:val="none" w:sz="0" w:space="0" w:color="auto"/>
        <w:left w:val="none" w:sz="0" w:space="0" w:color="auto"/>
        <w:bottom w:val="none" w:sz="0" w:space="0" w:color="auto"/>
        <w:right w:val="none" w:sz="0" w:space="0" w:color="auto"/>
      </w:divBdr>
    </w:div>
    <w:div w:id="1409838124">
      <w:bodyDiv w:val="1"/>
      <w:marLeft w:val="0"/>
      <w:marRight w:val="0"/>
      <w:marTop w:val="0"/>
      <w:marBottom w:val="0"/>
      <w:divBdr>
        <w:top w:val="none" w:sz="0" w:space="0" w:color="auto"/>
        <w:left w:val="none" w:sz="0" w:space="0" w:color="auto"/>
        <w:bottom w:val="none" w:sz="0" w:space="0" w:color="auto"/>
        <w:right w:val="none" w:sz="0" w:space="0" w:color="auto"/>
      </w:divBdr>
    </w:div>
    <w:div w:id="1413088774">
      <w:bodyDiv w:val="1"/>
      <w:marLeft w:val="0"/>
      <w:marRight w:val="0"/>
      <w:marTop w:val="0"/>
      <w:marBottom w:val="0"/>
      <w:divBdr>
        <w:top w:val="none" w:sz="0" w:space="0" w:color="auto"/>
        <w:left w:val="none" w:sz="0" w:space="0" w:color="auto"/>
        <w:bottom w:val="none" w:sz="0" w:space="0" w:color="auto"/>
        <w:right w:val="none" w:sz="0" w:space="0" w:color="auto"/>
      </w:divBdr>
      <w:divsChild>
        <w:div w:id="1726181746">
          <w:marLeft w:val="0"/>
          <w:marRight w:val="0"/>
          <w:marTop w:val="0"/>
          <w:marBottom w:val="0"/>
          <w:divBdr>
            <w:top w:val="none" w:sz="0" w:space="0" w:color="auto"/>
            <w:left w:val="none" w:sz="0" w:space="0" w:color="auto"/>
            <w:bottom w:val="none" w:sz="0" w:space="0" w:color="auto"/>
            <w:right w:val="none" w:sz="0" w:space="0" w:color="auto"/>
          </w:divBdr>
        </w:div>
      </w:divsChild>
    </w:div>
    <w:div w:id="1414159862">
      <w:bodyDiv w:val="1"/>
      <w:marLeft w:val="0"/>
      <w:marRight w:val="0"/>
      <w:marTop w:val="0"/>
      <w:marBottom w:val="0"/>
      <w:divBdr>
        <w:top w:val="none" w:sz="0" w:space="0" w:color="auto"/>
        <w:left w:val="none" w:sz="0" w:space="0" w:color="auto"/>
        <w:bottom w:val="none" w:sz="0" w:space="0" w:color="auto"/>
        <w:right w:val="none" w:sz="0" w:space="0" w:color="auto"/>
      </w:divBdr>
    </w:div>
    <w:div w:id="1416781169">
      <w:bodyDiv w:val="1"/>
      <w:marLeft w:val="0"/>
      <w:marRight w:val="0"/>
      <w:marTop w:val="0"/>
      <w:marBottom w:val="0"/>
      <w:divBdr>
        <w:top w:val="none" w:sz="0" w:space="0" w:color="auto"/>
        <w:left w:val="none" w:sz="0" w:space="0" w:color="auto"/>
        <w:bottom w:val="none" w:sz="0" w:space="0" w:color="auto"/>
        <w:right w:val="none" w:sz="0" w:space="0" w:color="auto"/>
      </w:divBdr>
    </w:div>
    <w:div w:id="1417703488">
      <w:bodyDiv w:val="1"/>
      <w:marLeft w:val="0"/>
      <w:marRight w:val="0"/>
      <w:marTop w:val="0"/>
      <w:marBottom w:val="0"/>
      <w:divBdr>
        <w:top w:val="none" w:sz="0" w:space="0" w:color="auto"/>
        <w:left w:val="none" w:sz="0" w:space="0" w:color="auto"/>
        <w:bottom w:val="none" w:sz="0" w:space="0" w:color="auto"/>
        <w:right w:val="none" w:sz="0" w:space="0" w:color="auto"/>
      </w:divBdr>
    </w:div>
    <w:div w:id="1420324838">
      <w:bodyDiv w:val="1"/>
      <w:marLeft w:val="0"/>
      <w:marRight w:val="0"/>
      <w:marTop w:val="0"/>
      <w:marBottom w:val="0"/>
      <w:divBdr>
        <w:top w:val="none" w:sz="0" w:space="0" w:color="auto"/>
        <w:left w:val="none" w:sz="0" w:space="0" w:color="auto"/>
        <w:bottom w:val="none" w:sz="0" w:space="0" w:color="auto"/>
        <w:right w:val="none" w:sz="0" w:space="0" w:color="auto"/>
      </w:divBdr>
    </w:div>
    <w:div w:id="1422139845">
      <w:bodyDiv w:val="1"/>
      <w:marLeft w:val="0"/>
      <w:marRight w:val="0"/>
      <w:marTop w:val="0"/>
      <w:marBottom w:val="0"/>
      <w:divBdr>
        <w:top w:val="none" w:sz="0" w:space="0" w:color="auto"/>
        <w:left w:val="none" w:sz="0" w:space="0" w:color="auto"/>
        <w:bottom w:val="none" w:sz="0" w:space="0" w:color="auto"/>
        <w:right w:val="none" w:sz="0" w:space="0" w:color="auto"/>
      </w:divBdr>
    </w:div>
    <w:div w:id="1423258776">
      <w:bodyDiv w:val="1"/>
      <w:marLeft w:val="0"/>
      <w:marRight w:val="0"/>
      <w:marTop w:val="0"/>
      <w:marBottom w:val="0"/>
      <w:divBdr>
        <w:top w:val="none" w:sz="0" w:space="0" w:color="auto"/>
        <w:left w:val="none" w:sz="0" w:space="0" w:color="auto"/>
        <w:bottom w:val="none" w:sz="0" w:space="0" w:color="auto"/>
        <w:right w:val="none" w:sz="0" w:space="0" w:color="auto"/>
      </w:divBdr>
    </w:div>
    <w:div w:id="1427381065">
      <w:bodyDiv w:val="1"/>
      <w:marLeft w:val="0"/>
      <w:marRight w:val="0"/>
      <w:marTop w:val="0"/>
      <w:marBottom w:val="0"/>
      <w:divBdr>
        <w:top w:val="none" w:sz="0" w:space="0" w:color="auto"/>
        <w:left w:val="none" w:sz="0" w:space="0" w:color="auto"/>
        <w:bottom w:val="none" w:sz="0" w:space="0" w:color="auto"/>
        <w:right w:val="none" w:sz="0" w:space="0" w:color="auto"/>
      </w:divBdr>
    </w:div>
    <w:div w:id="1429351237">
      <w:bodyDiv w:val="1"/>
      <w:marLeft w:val="0"/>
      <w:marRight w:val="0"/>
      <w:marTop w:val="0"/>
      <w:marBottom w:val="0"/>
      <w:divBdr>
        <w:top w:val="none" w:sz="0" w:space="0" w:color="auto"/>
        <w:left w:val="none" w:sz="0" w:space="0" w:color="auto"/>
        <w:bottom w:val="none" w:sz="0" w:space="0" w:color="auto"/>
        <w:right w:val="none" w:sz="0" w:space="0" w:color="auto"/>
      </w:divBdr>
    </w:div>
    <w:div w:id="1434739818">
      <w:bodyDiv w:val="1"/>
      <w:marLeft w:val="0"/>
      <w:marRight w:val="0"/>
      <w:marTop w:val="0"/>
      <w:marBottom w:val="0"/>
      <w:divBdr>
        <w:top w:val="none" w:sz="0" w:space="0" w:color="auto"/>
        <w:left w:val="none" w:sz="0" w:space="0" w:color="auto"/>
        <w:bottom w:val="none" w:sz="0" w:space="0" w:color="auto"/>
        <w:right w:val="none" w:sz="0" w:space="0" w:color="auto"/>
      </w:divBdr>
    </w:div>
    <w:div w:id="1439831237">
      <w:bodyDiv w:val="1"/>
      <w:marLeft w:val="0"/>
      <w:marRight w:val="0"/>
      <w:marTop w:val="0"/>
      <w:marBottom w:val="0"/>
      <w:divBdr>
        <w:top w:val="none" w:sz="0" w:space="0" w:color="auto"/>
        <w:left w:val="none" w:sz="0" w:space="0" w:color="auto"/>
        <w:bottom w:val="none" w:sz="0" w:space="0" w:color="auto"/>
        <w:right w:val="none" w:sz="0" w:space="0" w:color="auto"/>
      </w:divBdr>
    </w:div>
    <w:div w:id="1440905288">
      <w:bodyDiv w:val="1"/>
      <w:marLeft w:val="0"/>
      <w:marRight w:val="0"/>
      <w:marTop w:val="0"/>
      <w:marBottom w:val="0"/>
      <w:divBdr>
        <w:top w:val="none" w:sz="0" w:space="0" w:color="auto"/>
        <w:left w:val="none" w:sz="0" w:space="0" w:color="auto"/>
        <w:bottom w:val="none" w:sz="0" w:space="0" w:color="auto"/>
        <w:right w:val="none" w:sz="0" w:space="0" w:color="auto"/>
      </w:divBdr>
    </w:div>
    <w:div w:id="1442263462">
      <w:bodyDiv w:val="1"/>
      <w:marLeft w:val="0"/>
      <w:marRight w:val="0"/>
      <w:marTop w:val="0"/>
      <w:marBottom w:val="0"/>
      <w:divBdr>
        <w:top w:val="none" w:sz="0" w:space="0" w:color="auto"/>
        <w:left w:val="none" w:sz="0" w:space="0" w:color="auto"/>
        <w:bottom w:val="none" w:sz="0" w:space="0" w:color="auto"/>
        <w:right w:val="none" w:sz="0" w:space="0" w:color="auto"/>
      </w:divBdr>
    </w:div>
    <w:div w:id="1443454685">
      <w:bodyDiv w:val="1"/>
      <w:marLeft w:val="0"/>
      <w:marRight w:val="0"/>
      <w:marTop w:val="0"/>
      <w:marBottom w:val="0"/>
      <w:divBdr>
        <w:top w:val="none" w:sz="0" w:space="0" w:color="auto"/>
        <w:left w:val="none" w:sz="0" w:space="0" w:color="auto"/>
        <w:bottom w:val="none" w:sz="0" w:space="0" w:color="auto"/>
        <w:right w:val="none" w:sz="0" w:space="0" w:color="auto"/>
      </w:divBdr>
    </w:div>
    <w:div w:id="1443496488">
      <w:bodyDiv w:val="1"/>
      <w:marLeft w:val="0"/>
      <w:marRight w:val="0"/>
      <w:marTop w:val="0"/>
      <w:marBottom w:val="0"/>
      <w:divBdr>
        <w:top w:val="none" w:sz="0" w:space="0" w:color="auto"/>
        <w:left w:val="none" w:sz="0" w:space="0" w:color="auto"/>
        <w:bottom w:val="none" w:sz="0" w:space="0" w:color="auto"/>
        <w:right w:val="none" w:sz="0" w:space="0" w:color="auto"/>
      </w:divBdr>
    </w:div>
    <w:div w:id="1450473946">
      <w:bodyDiv w:val="1"/>
      <w:marLeft w:val="0"/>
      <w:marRight w:val="0"/>
      <w:marTop w:val="0"/>
      <w:marBottom w:val="0"/>
      <w:divBdr>
        <w:top w:val="none" w:sz="0" w:space="0" w:color="auto"/>
        <w:left w:val="none" w:sz="0" w:space="0" w:color="auto"/>
        <w:bottom w:val="none" w:sz="0" w:space="0" w:color="auto"/>
        <w:right w:val="none" w:sz="0" w:space="0" w:color="auto"/>
      </w:divBdr>
    </w:div>
    <w:div w:id="1452893574">
      <w:bodyDiv w:val="1"/>
      <w:marLeft w:val="0"/>
      <w:marRight w:val="0"/>
      <w:marTop w:val="0"/>
      <w:marBottom w:val="0"/>
      <w:divBdr>
        <w:top w:val="none" w:sz="0" w:space="0" w:color="auto"/>
        <w:left w:val="none" w:sz="0" w:space="0" w:color="auto"/>
        <w:bottom w:val="none" w:sz="0" w:space="0" w:color="auto"/>
        <w:right w:val="none" w:sz="0" w:space="0" w:color="auto"/>
      </w:divBdr>
      <w:divsChild>
        <w:div w:id="14498265">
          <w:marLeft w:val="0"/>
          <w:marRight w:val="0"/>
          <w:marTop w:val="0"/>
          <w:marBottom w:val="0"/>
          <w:divBdr>
            <w:top w:val="none" w:sz="0" w:space="0" w:color="auto"/>
            <w:left w:val="none" w:sz="0" w:space="0" w:color="auto"/>
            <w:bottom w:val="none" w:sz="0" w:space="0" w:color="auto"/>
            <w:right w:val="none" w:sz="0" w:space="0" w:color="auto"/>
          </w:divBdr>
          <w:divsChild>
            <w:div w:id="332804576">
              <w:marLeft w:val="0"/>
              <w:marRight w:val="0"/>
              <w:marTop w:val="0"/>
              <w:marBottom w:val="0"/>
              <w:divBdr>
                <w:top w:val="none" w:sz="0" w:space="0" w:color="auto"/>
                <w:left w:val="none" w:sz="0" w:space="0" w:color="auto"/>
                <w:bottom w:val="none" w:sz="0" w:space="0" w:color="auto"/>
                <w:right w:val="none" w:sz="0" w:space="0" w:color="auto"/>
              </w:divBdr>
              <w:divsChild>
                <w:div w:id="1834298405">
                  <w:marLeft w:val="0"/>
                  <w:marRight w:val="0"/>
                  <w:marTop w:val="0"/>
                  <w:marBottom w:val="0"/>
                  <w:divBdr>
                    <w:top w:val="none" w:sz="0" w:space="0" w:color="auto"/>
                    <w:left w:val="none" w:sz="0" w:space="0" w:color="auto"/>
                    <w:bottom w:val="none" w:sz="0" w:space="0" w:color="auto"/>
                    <w:right w:val="none" w:sz="0" w:space="0" w:color="auto"/>
                  </w:divBdr>
                  <w:divsChild>
                    <w:div w:id="428280018">
                      <w:marLeft w:val="0"/>
                      <w:marRight w:val="0"/>
                      <w:marTop w:val="0"/>
                      <w:marBottom w:val="0"/>
                      <w:divBdr>
                        <w:top w:val="none" w:sz="0" w:space="0" w:color="auto"/>
                        <w:left w:val="none" w:sz="0" w:space="0" w:color="auto"/>
                        <w:bottom w:val="none" w:sz="0" w:space="0" w:color="auto"/>
                        <w:right w:val="none" w:sz="0" w:space="0" w:color="auto"/>
                      </w:divBdr>
                      <w:divsChild>
                        <w:div w:id="963075436">
                          <w:marLeft w:val="0"/>
                          <w:marRight w:val="0"/>
                          <w:marTop w:val="0"/>
                          <w:marBottom w:val="0"/>
                          <w:divBdr>
                            <w:top w:val="none" w:sz="0" w:space="0" w:color="auto"/>
                            <w:left w:val="none" w:sz="0" w:space="0" w:color="auto"/>
                            <w:bottom w:val="none" w:sz="0" w:space="0" w:color="auto"/>
                            <w:right w:val="none" w:sz="0" w:space="0" w:color="auto"/>
                          </w:divBdr>
                          <w:divsChild>
                            <w:div w:id="1483887039">
                              <w:marLeft w:val="0"/>
                              <w:marRight w:val="0"/>
                              <w:marTop w:val="0"/>
                              <w:marBottom w:val="0"/>
                              <w:divBdr>
                                <w:top w:val="none" w:sz="0" w:space="0" w:color="auto"/>
                                <w:left w:val="none" w:sz="0" w:space="0" w:color="auto"/>
                                <w:bottom w:val="none" w:sz="0" w:space="0" w:color="auto"/>
                                <w:right w:val="none" w:sz="0" w:space="0" w:color="auto"/>
                              </w:divBdr>
                              <w:divsChild>
                                <w:div w:id="1437597915">
                                  <w:marLeft w:val="0"/>
                                  <w:marRight w:val="0"/>
                                  <w:marTop w:val="0"/>
                                  <w:marBottom w:val="0"/>
                                  <w:divBdr>
                                    <w:top w:val="none" w:sz="0" w:space="0" w:color="auto"/>
                                    <w:left w:val="none" w:sz="0" w:space="0" w:color="auto"/>
                                    <w:bottom w:val="none" w:sz="0" w:space="0" w:color="auto"/>
                                    <w:right w:val="none" w:sz="0" w:space="0" w:color="auto"/>
                                  </w:divBdr>
                                  <w:divsChild>
                                    <w:div w:id="1306623901">
                                      <w:marLeft w:val="60"/>
                                      <w:marRight w:val="0"/>
                                      <w:marTop w:val="0"/>
                                      <w:marBottom w:val="0"/>
                                      <w:divBdr>
                                        <w:top w:val="none" w:sz="0" w:space="0" w:color="auto"/>
                                        <w:left w:val="none" w:sz="0" w:space="0" w:color="auto"/>
                                        <w:bottom w:val="none" w:sz="0" w:space="0" w:color="auto"/>
                                        <w:right w:val="none" w:sz="0" w:space="0" w:color="auto"/>
                                      </w:divBdr>
                                      <w:divsChild>
                                        <w:div w:id="1803573987">
                                          <w:marLeft w:val="0"/>
                                          <w:marRight w:val="0"/>
                                          <w:marTop w:val="0"/>
                                          <w:marBottom w:val="0"/>
                                          <w:divBdr>
                                            <w:top w:val="none" w:sz="0" w:space="0" w:color="auto"/>
                                            <w:left w:val="none" w:sz="0" w:space="0" w:color="auto"/>
                                            <w:bottom w:val="none" w:sz="0" w:space="0" w:color="auto"/>
                                            <w:right w:val="none" w:sz="0" w:space="0" w:color="auto"/>
                                          </w:divBdr>
                                          <w:divsChild>
                                            <w:div w:id="1522936277">
                                              <w:marLeft w:val="0"/>
                                              <w:marRight w:val="0"/>
                                              <w:marTop w:val="0"/>
                                              <w:marBottom w:val="120"/>
                                              <w:divBdr>
                                                <w:top w:val="single" w:sz="6" w:space="0" w:color="F5F5F5"/>
                                                <w:left w:val="single" w:sz="6" w:space="0" w:color="F5F5F5"/>
                                                <w:bottom w:val="single" w:sz="6" w:space="0" w:color="F5F5F5"/>
                                                <w:right w:val="single" w:sz="6" w:space="0" w:color="F5F5F5"/>
                                              </w:divBdr>
                                              <w:divsChild>
                                                <w:div w:id="1488092341">
                                                  <w:marLeft w:val="0"/>
                                                  <w:marRight w:val="0"/>
                                                  <w:marTop w:val="0"/>
                                                  <w:marBottom w:val="0"/>
                                                  <w:divBdr>
                                                    <w:top w:val="none" w:sz="0" w:space="0" w:color="auto"/>
                                                    <w:left w:val="none" w:sz="0" w:space="0" w:color="auto"/>
                                                    <w:bottom w:val="none" w:sz="0" w:space="0" w:color="auto"/>
                                                    <w:right w:val="none" w:sz="0" w:space="0" w:color="auto"/>
                                                  </w:divBdr>
                                                  <w:divsChild>
                                                    <w:div w:id="77398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4404999">
      <w:bodyDiv w:val="1"/>
      <w:marLeft w:val="0"/>
      <w:marRight w:val="0"/>
      <w:marTop w:val="0"/>
      <w:marBottom w:val="0"/>
      <w:divBdr>
        <w:top w:val="none" w:sz="0" w:space="0" w:color="auto"/>
        <w:left w:val="none" w:sz="0" w:space="0" w:color="auto"/>
        <w:bottom w:val="none" w:sz="0" w:space="0" w:color="auto"/>
        <w:right w:val="none" w:sz="0" w:space="0" w:color="auto"/>
      </w:divBdr>
    </w:div>
    <w:div w:id="1454597169">
      <w:bodyDiv w:val="1"/>
      <w:marLeft w:val="0"/>
      <w:marRight w:val="0"/>
      <w:marTop w:val="0"/>
      <w:marBottom w:val="0"/>
      <w:divBdr>
        <w:top w:val="none" w:sz="0" w:space="0" w:color="auto"/>
        <w:left w:val="none" w:sz="0" w:space="0" w:color="auto"/>
        <w:bottom w:val="none" w:sz="0" w:space="0" w:color="auto"/>
        <w:right w:val="none" w:sz="0" w:space="0" w:color="auto"/>
      </w:divBdr>
    </w:div>
    <w:div w:id="1455244729">
      <w:bodyDiv w:val="1"/>
      <w:marLeft w:val="0"/>
      <w:marRight w:val="0"/>
      <w:marTop w:val="0"/>
      <w:marBottom w:val="0"/>
      <w:divBdr>
        <w:top w:val="none" w:sz="0" w:space="0" w:color="auto"/>
        <w:left w:val="none" w:sz="0" w:space="0" w:color="auto"/>
        <w:bottom w:val="none" w:sz="0" w:space="0" w:color="auto"/>
        <w:right w:val="none" w:sz="0" w:space="0" w:color="auto"/>
      </w:divBdr>
    </w:div>
    <w:div w:id="1456094452">
      <w:bodyDiv w:val="1"/>
      <w:marLeft w:val="0"/>
      <w:marRight w:val="0"/>
      <w:marTop w:val="0"/>
      <w:marBottom w:val="0"/>
      <w:divBdr>
        <w:top w:val="none" w:sz="0" w:space="0" w:color="auto"/>
        <w:left w:val="none" w:sz="0" w:space="0" w:color="auto"/>
        <w:bottom w:val="none" w:sz="0" w:space="0" w:color="auto"/>
        <w:right w:val="none" w:sz="0" w:space="0" w:color="auto"/>
      </w:divBdr>
    </w:div>
    <w:div w:id="1456946885">
      <w:bodyDiv w:val="1"/>
      <w:marLeft w:val="0"/>
      <w:marRight w:val="0"/>
      <w:marTop w:val="0"/>
      <w:marBottom w:val="0"/>
      <w:divBdr>
        <w:top w:val="none" w:sz="0" w:space="0" w:color="auto"/>
        <w:left w:val="none" w:sz="0" w:space="0" w:color="auto"/>
        <w:bottom w:val="none" w:sz="0" w:space="0" w:color="auto"/>
        <w:right w:val="none" w:sz="0" w:space="0" w:color="auto"/>
      </w:divBdr>
    </w:div>
    <w:div w:id="1458454628">
      <w:bodyDiv w:val="1"/>
      <w:marLeft w:val="0"/>
      <w:marRight w:val="0"/>
      <w:marTop w:val="0"/>
      <w:marBottom w:val="0"/>
      <w:divBdr>
        <w:top w:val="none" w:sz="0" w:space="0" w:color="auto"/>
        <w:left w:val="none" w:sz="0" w:space="0" w:color="auto"/>
        <w:bottom w:val="none" w:sz="0" w:space="0" w:color="auto"/>
        <w:right w:val="none" w:sz="0" w:space="0" w:color="auto"/>
      </w:divBdr>
    </w:div>
    <w:div w:id="1459713720">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7822034">
      <w:bodyDiv w:val="1"/>
      <w:marLeft w:val="0"/>
      <w:marRight w:val="0"/>
      <w:marTop w:val="0"/>
      <w:marBottom w:val="0"/>
      <w:divBdr>
        <w:top w:val="none" w:sz="0" w:space="0" w:color="auto"/>
        <w:left w:val="none" w:sz="0" w:space="0" w:color="auto"/>
        <w:bottom w:val="none" w:sz="0" w:space="0" w:color="auto"/>
        <w:right w:val="none" w:sz="0" w:space="0" w:color="auto"/>
      </w:divBdr>
    </w:div>
    <w:div w:id="1472166958">
      <w:bodyDiv w:val="1"/>
      <w:marLeft w:val="0"/>
      <w:marRight w:val="0"/>
      <w:marTop w:val="0"/>
      <w:marBottom w:val="0"/>
      <w:divBdr>
        <w:top w:val="none" w:sz="0" w:space="0" w:color="auto"/>
        <w:left w:val="none" w:sz="0" w:space="0" w:color="auto"/>
        <w:bottom w:val="none" w:sz="0" w:space="0" w:color="auto"/>
        <w:right w:val="none" w:sz="0" w:space="0" w:color="auto"/>
      </w:divBdr>
    </w:div>
    <w:div w:id="1473911500">
      <w:bodyDiv w:val="1"/>
      <w:marLeft w:val="0"/>
      <w:marRight w:val="0"/>
      <w:marTop w:val="0"/>
      <w:marBottom w:val="0"/>
      <w:divBdr>
        <w:top w:val="none" w:sz="0" w:space="0" w:color="auto"/>
        <w:left w:val="none" w:sz="0" w:space="0" w:color="auto"/>
        <w:bottom w:val="none" w:sz="0" w:space="0" w:color="auto"/>
        <w:right w:val="none" w:sz="0" w:space="0" w:color="auto"/>
      </w:divBdr>
    </w:div>
    <w:div w:id="1477606429">
      <w:bodyDiv w:val="1"/>
      <w:marLeft w:val="0"/>
      <w:marRight w:val="0"/>
      <w:marTop w:val="0"/>
      <w:marBottom w:val="0"/>
      <w:divBdr>
        <w:top w:val="none" w:sz="0" w:space="0" w:color="auto"/>
        <w:left w:val="none" w:sz="0" w:space="0" w:color="auto"/>
        <w:bottom w:val="none" w:sz="0" w:space="0" w:color="auto"/>
        <w:right w:val="none" w:sz="0" w:space="0" w:color="auto"/>
      </w:divBdr>
    </w:div>
    <w:div w:id="1479955900">
      <w:bodyDiv w:val="1"/>
      <w:marLeft w:val="0"/>
      <w:marRight w:val="0"/>
      <w:marTop w:val="0"/>
      <w:marBottom w:val="0"/>
      <w:divBdr>
        <w:top w:val="none" w:sz="0" w:space="0" w:color="auto"/>
        <w:left w:val="none" w:sz="0" w:space="0" w:color="auto"/>
        <w:bottom w:val="none" w:sz="0" w:space="0" w:color="auto"/>
        <w:right w:val="none" w:sz="0" w:space="0" w:color="auto"/>
      </w:divBdr>
    </w:div>
    <w:div w:id="1483080661">
      <w:bodyDiv w:val="1"/>
      <w:marLeft w:val="0"/>
      <w:marRight w:val="0"/>
      <w:marTop w:val="0"/>
      <w:marBottom w:val="0"/>
      <w:divBdr>
        <w:top w:val="none" w:sz="0" w:space="0" w:color="auto"/>
        <w:left w:val="none" w:sz="0" w:space="0" w:color="auto"/>
        <w:bottom w:val="none" w:sz="0" w:space="0" w:color="auto"/>
        <w:right w:val="none" w:sz="0" w:space="0" w:color="auto"/>
      </w:divBdr>
    </w:div>
    <w:div w:id="1483083102">
      <w:bodyDiv w:val="1"/>
      <w:marLeft w:val="0"/>
      <w:marRight w:val="0"/>
      <w:marTop w:val="0"/>
      <w:marBottom w:val="0"/>
      <w:divBdr>
        <w:top w:val="none" w:sz="0" w:space="0" w:color="auto"/>
        <w:left w:val="none" w:sz="0" w:space="0" w:color="auto"/>
        <w:bottom w:val="none" w:sz="0" w:space="0" w:color="auto"/>
        <w:right w:val="none" w:sz="0" w:space="0" w:color="auto"/>
      </w:divBdr>
      <w:divsChild>
        <w:div w:id="233442827">
          <w:marLeft w:val="0"/>
          <w:marRight w:val="0"/>
          <w:marTop w:val="0"/>
          <w:marBottom w:val="0"/>
          <w:divBdr>
            <w:top w:val="none" w:sz="0" w:space="0" w:color="auto"/>
            <w:left w:val="none" w:sz="0" w:space="0" w:color="auto"/>
            <w:bottom w:val="none" w:sz="0" w:space="0" w:color="auto"/>
            <w:right w:val="none" w:sz="0" w:space="0" w:color="auto"/>
          </w:divBdr>
          <w:divsChild>
            <w:div w:id="1086998089">
              <w:marLeft w:val="0"/>
              <w:marRight w:val="0"/>
              <w:marTop w:val="0"/>
              <w:marBottom w:val="0"/>
              <w:divBdr>
                <w:top w:val="none" w:sz="0" w:space="0" w:color="auto"/>
                <w:left w:val="none" w:sz="0" w:space="0" w:color="auto"/>
                <w:bottom w:val="none" w:sz="0" w:space="0" w:color="auto"/>
                <w:right w:val="none" w:sz="0" w:space="0" w:color="auto"/>
              </w:divBdr>
              <w:divsChild>
                <w:div w:id="33162896">
                  <w:marLeft w:val="0"/>
                  <w:marRight w:val="0"/>
                  <w:marTop w:val="0"/>
                  <w:marBottom w:val="0"/>
                  <w:divBdr>
                    <w:top w:val="none" w:sz="0" w:space="0" w:color="auto"/>
                    <w:left w:val="none" w:sz="0" w:space="0" w:color="auto"/>
                    <w:bottom w:val="none" w:sz="0" w:space="0" w:color="auto"/>
                    <w:right w:val="none" w:sz="0" w:space="0" w:color="auto"/>
                  </w:divBdr>
                  <w:divsChild>
                    <w:div w:id="1091705945">
                      <w:marLeft w:val="0"/>
                      <w:marRight w:val="0"/>
                      <w:marTop w:val="0"/>
                      <w:marBottom w:val="0"/>
                      <w:divBdr>
                        <w:top w:val="none" w:sz="0" w:space="0" w:color="auto"/>
                        <w:left w:val="none" w:sz="0" w:space="0" w:color="auto"/>
                        <w:bottom w:val="none" w:sz="0" w:space="0" w:color="auto"/>
                        <w:right w:val="none" w:sz="0" w:space="0" w:color="auto"/>
                      </w:divBdr>
                      <w:divsChild>
                        <w:div w:id="1057122463">
                          <w:marLeft w:val="0"/>
                          <w:marRight w:val="0"/>
                          <w:marTop w:val="0"/>
                          <w:marBottom w:val="0"/>
                          <w:divBdr>
                            <w:top w:val="none" w:sz="0" w:space="0" w:color="auto"/>
                            <w:left w:val="none" w:sz="0" w:space="0" w:color="auto"/>
                            <w:bottom w:val="none" w:sz="0" w:space="0" w:color="auto"/>
                            <w:right w:val="none" w:sz="0" w:space="0" w:color="auto"/>
                          </w:divBdr>
                          <w:divsChild>
                            <w:div w:id="403455666">
                              <w:marLeft w:val="0"/>
                              <w:marRight w:val="0"/>
                              <w:marTop w:val="0"/>
                              <w:marBottom w:val="0"/>
                              <w:divBdr>
                                <w:top w:val="none" w:sz="0" w:space="0" w:color="auto"/>
                                <w:left w:val="none" w:sz="0" w:space="0" w:color="auto"/>
                                <w:bottom w:val="none" w:sz="0" w:space="0" w:color="auto"/>
                                <w:right w:val="none" w:sz="0" w:space="0" w:color="auto"/>
                              </w:divBdr>
                              <w:divsChild>
                                <w:div w:id="815681772">
                                  <w:marLeft w:val="0"/>
                                  <w:marRight w:val="0"/>
                                  <w:marTop w:val="0"/>
                                  <w:marBottom w:val="0"/>
                                  <w:divBdr>
                                    <w:top w:val="none" w:sz="0" w:space="0" w:color="auto"/>
                                    <w:left w:val="none" w:sz="0" w:space="0" w:color="auto"/>
                                    <w:bottom w:val="none" w:sz="0" w:space="0" w:color="auto"/>
                                    <w:right w:val="none" w:sz="0" w:space="0" w:color="auto"/>
                                  </w:divBdr>
                                  <w:divsChild>
                                    <w:div w:id="711198975">
                                      <w:marLeft w:val="60"/>
                                      <w:marRight w:val="0"/>
                                      <w:marTop w:val="0"/>
                                      <w:marBottom w:val="0"/>
                                      <w:divBdr>
                                        <w:top w:val="none" w:sz="0" w:space="0" w:color="auto"/>
                                        <w:left w:val="none" w:sz="0" w:space="0" w:color="auto"/>
                                        <w:bottom w:val="none" w:sz="0" w:space="0" w:color="auto"/>
                                        <w:right w:val="none" w:sz="0" w:space="0" w:color="auto"/>
                                      </w:divBdr>
                                      <w:divsChild>
                                        <w:div w:id="1007057496">
                                          <w:marLeft w:val="0"/>
                                          <w:marRight w:val="0"/>
                                          <w:marTop w:val="0"/>
                                          <w:marBottom w:val="0"/>
                                          <w:divBdr>
                                            <w:top w:val="none" w:sz="0" w:space="0" w:color="auto"/>
                                            <w:left w:val="none" w:sz="0" w:space="0" w:color="auto"/>
                                            <w:bottom w:val="none" w:sz="0" w:space="0" w:color="auto"/>
                                            <w:right w:val="none" w:sz="0" w:space="0" w:color="auto"/>
                                          </w:divBdr>
                                          <w:divsChild>
                                            <w:div w:id="969018821">
                                              <w:marLeft w:val="0"/>
                                              <w:marRight w:val="0"/>
                                              <w:marTop w:val="0"/>
                                              <w:marBottom w:val="120"/>
                                              <w:divBdr>
                                                <w:top w:val="single" w:sz="6" w:space="0" w:color="F5F5F5"/>
                                                <w:left w:val="single" w:sz="6" w:space="0" w:color="F5F5F5"/>
                                                <w:bottom w:val="single" w:sz="6" w:space="0" w:color="F5F5F5"/>
                                                <w:right w:val="single" w:sz="6" w:space="0" w:color="F5F5F5"/>
                                              </w:divBdr>
                                              <w:divsChild>
                                                <w:div w:id="903837002">
                                                  <w:marLeft w:val="0"/>
                                                  <w:marRight w:val="0"/>
                                                  <w:marTop w:val="0"/>
                                                  <w:marBottom w:val="0"/>
                                                  <w:divBdr>
                                                    <w:top w:val="none" w:sz="0" w:space="0" w:color="auto"/>
                                                    <w:left w:val="none" w:sz="0" w:space="0" w:color="auto"/>
                                                    <w:bottom w:val="none" w:sz="0" w:space="0" w:color="auto"/>
                                                    <w:right w:val="none" w:sz="0" w:space="0" w:color="auto"/>
                                                  </w:divBdr>
                                                  <w:divsChild>
                                                    <w:div w:id="108176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4274489">
      <w:bodyDiv w:val="1"/>
      <w:marLeft w:val="0"/>
      <w:marRight w:val="0"/>
      <w:marTop w:val="0"/>
      <w:marBottom w:val="0"/>
      <w:divBdr>
        <w:top w:val="none" w:sz="0" w:space="0" w:color="auto"/>
        <w:left w:val="none" w:sz="0" w:space="0" w:color="auto"/>
        <w:bottom w:val="none" w:sz="0" w:space="0" w:color="auto"/>
        <w:right w:val="none" w:sz="0" w:space="0" w:color="auto"/>
      </w:divBdr>
    </w:div>
    <w:div w:id="1484810264">
      <w:bodyDiv w:val="1"/>
      <w:marLeft w:val="0"/>
      <w:marRight w:val="0"/>
      <w:marTop w:val="0"/>
      <w:marBottom w:val="0"/>
      <w:divBdr>
        <w:top w:val="none" w:sz="0" w:space="0" w:color="auto"/>
        <w:left w:val="none" w:sz="0" w:space="0" w:color="auto"/>
        <w:bottom w:val="none" w:sz="0" w:space="0" w:color="auto"/>
        <w:right w:val="none" w:sz="0" w:space="0" w:color="auto"/>
      </w:divBdr>
    </w:div>
    <w:div w:id="1488745810">
      <w:bodyDiv w:val="1"/>
      <w:marLeft w:val="0"/>
      <w:marRight w:val="0"/>
      <w:marTop w:val="0"/>
      <w:marBottom w:val="0"/>
      <w:divBdr>
        <w:top w:val="none" w:sz="0" w:space="0" w:color="auto"/>
        <w:left w:val="none" w:sz="0" w:space="0" w:color="auto"/>
        <w:bottom w:val="none" w:sz="0" w:space="0" w:color="auto"/>
        <w:right w:val="none" w:sz="0" w:space="0" w:color="auto"/>
      </w:divBdr>
    </w:div>
    <w:div w:id="1489253090">
      <w:bodyDiv w:val="1"/>
      <w:marLeft w:val="0"/>
      <w:marRight w:val="0"/>
      <w:marTop w:val="0"/>
      <w:marBottom w:val="0"/>
      <w:divBdr>
        <w:top w:val="none" w:sz="0" w:space="0" w:color="auto"/>
        <w:left w:val="none" w:sz="0" w:space="0" w:color="auto"/>
        <w:bottom w:val="none" w:sz="0" w:space="0" w:color="auto"/>
        <w:right w:val="none" w:sz="0" w:space="0" w:color="auto"/>
      </w:divBdr>
    </w:div>
    <w:div w:id="1489979704">
      <w:bodyDiv w:val="1"/>
      <w:marLeft w:val="0"/>
      <w:marRight w:val="0"/>
      <w:marTop w:val="0"/>
      <w:marBottom w:val="0"/>
      <w:divBdr>
        <w:top w:val="none" w:sz="0" w:space="0" w:color="auto"/>
        <w:left w:val="none" w:sz="0" w:space="0" w:color="auto"/>
        <w:bottom w:val="none" w:sz="0" w:space="0" w:color="auto"/>
        <w:right w:val="none" w:sz="0" w:space="0" w:color="auto"/>
      </w:divBdr>
    </w:div>
    <w:div w:id="1490705118">
      <w:bodyDiv w:val="1"/>
      <w:marLeft w:val="0"/>
      <w:marRight w:val="0"/>
      <w:marTop w:val="0"/>
      <w:marBottom w:val="0"/>
      <w:divBdr>
        <w:top w:val="none" w:sz="0" w:space="0" w:color="auto"/>
        <w:left w:val="none" w:sz="0" w:space="0" w:color="auto"/>
        <w:bottom w:val="none" w:sz="0" w:space="0" w:color="auto"/>
        <w:right w:val="none" w:sz="0" w:space="0" w:color="auto"/>
      </w:divBdr>
    </w:div>
    <w:div w:id="1492452560">
      <w:bodyDiv w:val="1"/>
      <w:marLeft w:val="0"/>
      <w:marRight w:val="0"/>
      <w:marTop w:val="0"/>
      <w:marBottom w:val="0"/>
      <w:divBdr>
        <w:top w:val="none" w:sz="0" w:space="0" w:color="auto"/>
        <w:left w:val="none" w:sz="0" w:space="0" w:color="auto"/>
        <w:bottom w:val="none" w:sz="0" w:space="0" w:color="auto"/>
        <w:right w:val="none" w:sz="0" w:space="0" w:color="auto"/>
      </w:divBdr>
    </w:div>
    <w:div w:id="1502544108">
      <w:bodyDiv w:val="1"/>
      <w:marLeft w:val="0"/>
      <w:marRight w:val="0"/>
      <w:marTop w:val="0"/>
      <w:marBottom w:val="0"/>
      <w:divBdr>
        <w:top w:val="none" w:sz="0" w:space="0" w:color="auto"/>
        <w:left w:val="none" w:sz="0" w:space="0" w:color="auto"/>
        <w:bottom w:val="none" w:sz="0" w:space="0" w:color="auto"/>
        <w:right w:val="none" w:sz="0" w:space="0" w:color="auto"/>
      </w:divBdr>
      <w:divsChild>
        <w:div w:id="2042247501">
          <w:marLeft w:val="0"/>
          <w:marRight w:val="0"/>
          <w:marTop w:val="75"/>
          <w:marBottom w:val="75"/>
          <w:divBdr>
            <w:top w:val="none" w:sz="0" w:space="0" w:color="auto"/>
            <w:left w:val="none" w:sz="0" w:space="0" w:color="auto"/>
            <w:bottom w:val="none" w:sz="0" w:space="0" w:color="auto"/>
            <w:right w:val="none" w:sz="0" w:space="0" w:color="auto"/>
          </w:divBdr>
          <w:divsChild>
            <w:div w:id="810290884">
              <w:marLeft w:val="0"/>
              <w:marRight w:val="0"/>
              <w:marTop w:val="180"/>
              <w:marBottom w:val="300"/>
              <w:divBdr>
                <w:top w:val="none" w:sz="0" w:space="0" w:color="auto"/>
                <w:left w:val="none" w:sz="0" w:space="0" w:color="auto"/>
                <w:bottom w:val="none" w:sz="0" w:space="0" w:color="auto"/>
                <w:right w:val="none" w:sz="0" w:space="0" w:color="auto"/>
              </w:divBdr>
              <w:divsChild>
                <w:div w:id="238559679">
                  <w:marLeft w:val="0"/>
                  <w:marRight w:val="0"/>
                  <w:marTop w:val="0"/>
                  <w:marBottom w:val="0"/>
                  <w:divBdr>
                    <w:top w:val="none" w:sz="0" w:space="0" w:color="auto"/>
                    <w:left w:val="none" w:sz="0" w:space="0" w:color="auto"/>
                    <w:bottom w:val="none" w:sz="0" w:space="0" w:color="auto"/>
                    <w:right w:val="none" w:sz="0" w:space="0" w:color="auto"/>
                  </w:divBdr>
                  <w:divsChild>
                    <w:div w:id="113039294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504011914">
      <w:bodyDiv w:val="1"/>
      <w:marLeft w:val="0"/>
      <w:marRight w:val="0"/>
      <w:marTop w:val="0"/>
      <w:marBottom w:val="0"/>
      <w:divBdr>
        <w:top w:val="none" w:sz="0" w:space="0" w:color="auto"/>
        <w:left w:val="none" w:sz="0" w:space="0" w:color="auto"/>
        <w:bottom w:val="none" w:sz="0" w:space="0" w:color="auto"/>
        <w:right w:val="none" w:sz="0" w:space="0" w:color="auto"/>
      </w:divBdr>
    </w:div>
    <w:div w:id="1506087891">
      <w:bodyDiv w:val="1"/>
      <w:marLeft w:val="0"/>
      <w:marRight w:val="0"/>
      <w:marTop w:val="0"/>
      <w:marBottom w:val="0"/>
      <w:divBdr>
        <w:top w:val="none" w:sz="0" w:space="0" w:color="auto"/>
        <w:left w:val="none" w:sz="0" w:space="0" w:color="auto"/>
        <w:bottom w:val="none" w:sz="0" w:space="0" w:color="auto"/>
        <w:right w:val="none" w:sz="0" w:space="0" w:color="auto"/>
      </w:divBdr>
    </w:div>
    <w:div w:id="1508710430">
      <w:bodyDiv w:val="1"/>
      <w:marLeft w:val="0"/>
      <w:marRight w:val="0"/>
      <w:marTop w:val="0"/>
      <w:marBottom w:val="0"/>
      <w:divBdr>
        <w:top w:val="none" w:sz="0" w:space="0" w:color="auto"/>
        <w:left w:val="none" w:sz="0" w:space="0" w:color="auto"/>
        <w:bottom w:val="none" w:sz="0" w:space="0" w:color="auto"/>
        <w:right w:val="none" w:sz="0" w:space="0" w:color="auto"/>
      </w:divBdr>
    </w:div>
    <w:div w:id="1509103166">
      <w:bodyDiv w:val="1"/>
      <w:marLeft w:val="0"/>
      <w:marRight w:val="0"/>
      <w:marTop w:val="0"/>
      <w:marBottom w:val="0"/>
      <w:divBdr>
        <w:top w:val="none" w:sz="0" w:space="0" w:color="auto"/>
        <w:left w:val="none" w:sz="0" w:space="0" w:color="auto"/>
        <w:bottom w:val="none" w:sz="0" w:space="0" w:color="auto"/>
        <w:right w:val="none" w:sz="0" w:space="0" w:color="auto"/>
      </w:divBdr>
    </w:div>
    <w:div w:id="1510608361">
      <w:bodyDiv w:val="1"/>
      <w:marLeft w:val="0"/>
      <w:marRight w:val="0"/>
      <w:marTop w:val="0"/>
      <w:marBottom w:val="0"/>
      <w:divBdr>
        <w:top w:val="none" w:sz="0" w:space="0" w:color="auto"/>
        <w:left w:val="none" w:sz="0" w:space="0" w:color="auto"/>
        <w:bottom w:val="none" w:sz="0" w:space="0" w:color="auto"/>
        <w:right w:val="none" w:sz="0" w:space="0" w:color="auto"/>
      </w:divBdr>
    </w:div>
    <w:div w:id="1512141459">
      <w:bodyDiv w:val="1"/>
      <w:marLeft w:val="0"/>
      <w:marRight w:val="0"/>
      <w:marTop w:val="0"/>
      <w:marBottom w:val="0"/>
      <w:divBdr>
        <w:top w:val="none" w:sz="0" w:space="0" w:color="auto"/>
        <w:left w:val="none" w:sz="0" w:space="0" w:color="auto"/>
        <w:bottom w:val="none" w:sz="0" w:space="0" w:color="auto"/>
        <w:right w:val="none" w:sz="0" w:space="0" w:color="auto"/>
      </w:divBdr>
    </w:div>
    <w:div w:id="1514372541">
      <w:bodyDiv w:val="1"/>
      <w:marLeft w:val="0"/>
      <w:marRight w:val="0"/>
      <w:marTop w:val="0"/>
      <w:marBottom w:val="0"/>
      <w:divBdr>
        <w:top w:val="none" w:sz="0" w:space="0" w:color="auto"/>
        <w:left w:val="none" w:sz="0" w:space="0" w:color="auto"/>
        <w:bottom w:val="none" w:sz="0" w:space="0" w:color="auto"/>
        <w:right w:val="none" w:sz="0" w:space="0" w:color="auto"/>
      </w:divBdr>
    </w:div>
    <w:div w:id="1515652056">
      <w:bodyDiv w:val="1"/>
      <w:marLeft w:val="0"/>
      <w:marRight w:val="0"/>
      <w:marTop w:val="0"/>
      <w:marBottom w:val="0"/>
      <w:divBdr>
        <w:top w:val="none" w:sz="0" w:space="0" w:color="auto"/>
        <w:left w:val="none" w:sz="0" w:space="0" w:color="auto"/>
        <w:bottom w:val="none" w:sz="0" w:space="0" w:color="auto"/>
        <w:right w:val="none" w:sz="0" w:space="0" w:color="auto"/>
      </w:divBdr>
    </w:div>
    <w:div w:id="1516965988">
      <w:bodyDiv w:val="1"/>
      <w:marLeft w:val="0"/>
      <w:marRight w:val="0"/>
      <w:marTop w:val="0"/>
      <w:marBottom w:val="0"/>
      <w:divBdr>
        <w:top w:val="none" w:sz="0" w:space="0" w:color="auto"/>
        <w:left w:val="none" w:sz="0" w:space="0" w:color="auto"/>
        <w:bottom w:val="none" w:sz="0" w:space="0" w:color="auto"/>
        <w:right w:val="none" w:sz="0" w:space="0" w:color="auto"/>
      </w:divBdr>
    </w:div>
    <w:div w:id="1517424060">
      <w:bodyDiv w:val="1"/>
      <w:marLeft w:val="0"/>
      <w:marRight w:val="0"/>
      <w:marTop w:val="0"/>
      <w:marBottom w:val="0"/>
      <w:divBdr>
        <w:top w:val="none" w:sz="0" w:space="0" w:color="auto"/>
        <w:left w:val="none" w:sz="0" w:space="0" w:color="auto"/>
        <w:bottom w:val="none" w:sz="0" w:space="0" w:color="auto"/>
        <w:right w:val="none" w:sz="0" w:space="0" w:color="auto"/>
      </w:divBdr>
    </w:div>
    <w:div w:id="1518807335">
      <w:bodyDiv w:val="1"/>
      <w:marLeft w:val="0"/>
      <w:marRight w:val="0"/>
      <w:marTop w:val="0"/>
      <w:marBottom w:val="0"/>
      <w:divBdr>
        <w:top w:val="none" w:sz="0" w:space="0" w:color="auto"/>
        <w:left w:val="none" w:sz="0" w:space="0" w:color="auto"/>
        <w:bottom w:val="none" w:sz="0" w:space="0" w:color="auto"/>
        <w:right w:val="none" w:sz="0" w:space="0" w:color="auto"/>
      </w:divBdr>
    </w:div>
    <w:div w:id="1518883115">
      <w:bodyDiv w:val="1"/>
      <w:marLeft w:val="0"/>
      <w:marRight w:val="0"/>
      <w:marTop w:val="0"/>
      <w:marBottom w:val="0"/>
      <w:divBdr>
        <w:top w:val="none" w:sz="0" w:space="0" w:color="auto"/>
        <w:left w:val="none" w:sz="0" w:space="0" w:color="auto"/>
        <w:bottom w:val="none" w:sz="0" w:space="0" w:color="auto"/>
        <w:right w:val="none" w:sz="0" w:space="0" w:color="auto"/>
      </w:divBdr>
    </w:div>
    <w:div w:id="1530410708">
      <w:bodyDiv w:val="1"/>
      <w:marLeft w:val="0"/>
      <w:marRight w:val="0"/>
      <w:marTop w:val="0"/>
      <w:marBottom w:val="0"/>
      <w:divBdr>
        <w:top w:val="none" w:sz="0" w:space="0" w:color="auto"/>
        <w:left w:val="none" w:sz="0" w:space="0" w:color="auto"/>
        <w:bottom w:val="none" w:sz="0" w:space="0" w:color="auto"/>
        <w:right w:val="none" w:sz="0" w:space="0" w:color="auto"/>
      </w:divBdr>
    </w:div>
    <w:div w:id="1534809653">
      <w:bodyDiv w:val="1"/>
      <w:marLeft w:val="0"/>
      <w:marRight w:val="0"/>
      <w:marTop w:val="0"/>
      <w:marBottom w:val="0"/>
      <w:divBdr>
        <w:top w:val="none" w:sz="0" w:space="0" w:color="auto"/>
        <w:left w:val="none" w:sz="0" w:space="0" w:color="auto"/>
        <w:bottom w:val="none" w:sz="0" w:space="0" w:color="auto"/>
        <w:right w:val="none" w:sz="0" w:space="0" w:color="auto"/>
      </w:divBdr>
    </w:div>
    <w:div w:id="1535729136">
      <w:bodyDiv w:val="1"/>
      <w:marLeft w:val="0"/>
      <w:marRight w:val="0"/>
      <w:marTop w:val="0"/>
      <w:marBottom w:val="0"/>
      <w:divBdr>
        <w:top w:val="none" w:sz="0" w:space="0" w:color="auto"/>
        <w:left w:val="none" w:sz="0" w:space="0" w:color="auto"/>
        <w:bottom w:val="none" w:sz="0" w:space="0" w:color="auto"/>
        <w:right w:val="none" w:sz="0" w:space="0" w:color="auto"/>
      </w:divBdr>
    </w:div>
    <w:div w:id="1536503305">
      <w:bodyDiv w:val="1"/>
      <w:marLeft w:val="0"/>
      <w:marRight w:val="0"/>
      <w:marTop w:val="0"/>
      <w:marBottom w:val="0"/>
      <w:divBdr>
        <w:top w:val="none" w:sz="0" w:space="0" w:color="auto"/>
        <w:left w:val="none" w:sz="0" w:space="0" w:color="auto"/>
        <w:bottom w:val="none" w:sz="0" w:space="0" w:color="auto"/>
        <w:right w:val="none" w:sz="0" w:space="0" w:color="auto"/>
      </w:divBdr>
    </w:div>
    <w:div w:id="1537351505">
      <w:bodyDiv w:val="1"/>
      <w:marLeft w:val="0"/>
      <w:marRight w:val="0"/>
      <w:marTop w:val="0"/>
      <w:marBottom w:val="0"/>
      <w:divBdr>
        <w:top w:val="none" w:sz="0" w:space="0" w:color="auto"/>
        <w:left w:val="none" w:sz="0" w:space="0" w:color="auto"/>
        <w:bottom w:val="none" w:sz="0" w:space="0" w:color="auto"/>
        <w:right w:val="none" w:sz="0" w:space="0" w:color="auto"/>
      </w:divBdr>
      <w:divsChild>
        <w:div w:id="1746338548">
          <w:marLeft w:val="0"/>
          <w:marRight w:val="0"/>
          <w:marTop w:val="27"/>
          <w:marBottom w:val="27"/>
          <w:divBdr>
            <w:top w:val="none" w:sz="0" w:space="0" w:color="auto"/>
            <w:left w:val="none" w:sz="0" w:space="0" w:color="auto"/>
            <w:bottom w:val="none" w:sz="0" w:space="0" w:color="auto"/>
            <w:right w:val="none" w:sz="0" w:space="0" w:color="auto"/>
          </w:divBdr>
        </w:div>
      </w:divsChild>
    </w:div>
    <w:div w:id="1539926110">
      <w:bodyDiv w:val="1"/>
      <w:marLeft w:val="0"/>
      <w:marRight w:val="0"/>
      <w:marTop w:val="0"/>
      <w:marBottom w:val="0"/>
      <w:divBdr>
        <w:top w:val="none" w:sz="0" w:space="0" w:color="auto"/>
        <w:left w:val="none" w:sz="0" w:space="0" w:color="auto"/>
        <w:bottom w:val="none" w:sz="0" w:space="0" w:color="auto"/>
        <w:right w:val="none" w:sz="0" w:space="0" w:color="auto"/>
      </w:divBdr>
    </w:div>
    <w:div w:id="1544099095">
      <w:bodyDiv w:val="1"/>
      <w:marLeft w:val="0"/>
      <w:marRight w:val="0"/>
      <w:marTop w:val="0"/>
      <w:marBottom w:val="0"/>
      <w:divBdr>
        <w:top w:val="none" w:sz="0" w:space="0" w:color="auto"/>
        <w:left w:val="none" w:sz="0" w:space="0" w:color="auto"/>
        <w:bottom w:val="none" w:sz="0" w:space="0" w:color="auto"/>
        <w:right w:val="none" w:sz="0" w:space="0" w:color="auto"/>
      </w:divBdr>
    </w:div>
    <w:div w:id="1547795650">
      <w:bodyDiv w:val="1"/>
      <w:marLeft w:val="0"/>
      <w:marRight w:val="0"/>
      <w:marTop w:val="0"/>
      <w:marBottom w:val="0"/>
      <w:divBdr>
        <w:top w:val="none" w:sz="0" w:space="0" w:color="auto"/>
        <w:left w:val="none" w:sz="0" w:space="0" w:color="auto"/>
        <w:bottom w:val="none" w:sz="0" w:space="0" w:color="auto"/>
        <w:right w:val="none" w:sz="0" w:space="0" w:color="auto"/>
      </w:divBdr>
    </w:div>
    <w:div w:id="1548296279">
      <w:bodyDiv w:val="1"/>
      <w:marLeft w:val="0"/>
      <w:marRight w:val="0"/>
      <w:marTop w:val="0"/>
      <w:marBottom w:val="0"/>
      <w:divBdr>
        <w:top w:val="none" w:sz="0" w:space="0" w:color="auto"/>
        <w:left w:val="none" w:sz="0" w:space="0" w:color="auto"/>
        <w:bottom w:val="none" w:sz="0" w:space="0" w:color="auto"/>
        <w:right w:val="none" w:sz="0" w:space="0" w:color="auto"/>
      </w:divBdr>
    </w:div>
    <w:div w:id="1555265468">
      <w:bodyDiv w:val="1"/>
      <w:marLeft w:val="0"/>
      <w:marRight w:val="0"/>
      <w:marTop w:val="0"/>
      <w:marBottom w:val="0"/>
      <w:divBdr>
        <w:top w:val="none" w:sz="0" w:space="0" w:color="auto"/>
        <w:left w:val="none" w:sz="0" w:space="0" w:color="auto"/>
        <w:bottom w:val="none" w:sz="0" w:space="0" w:color="auto"/>
        <w:right w:val="none" w:sz="0" w:space="0" w:color="auto"/>
      </w:divBdr>
    </w:div>
    <w:div w:id="1556500393">
      <w:bodyDiv w:val="1"/>
      <w:marLeft w:val="0"/>
      <w:marRight w:val="0"/>
      <w:marTop w:val="0"/>
      <w:marBottom w:val="0"/>
      <w:divBdr>
        <w:top w:val="none" w:sz="0" w:space="0" w:color="auto"/>
        <w:left w:val="none" w:sz="0" w:space="0" w:color="auto"/>
        <w:bottom w:val="none" w:sz="0" w:space="0" w:color="auto"/>
        <w:right w:val="none" w:sz="0" w:space="0" w:color="auto"/>
      </w:divBdr>
    </w:div>
    <w:div w:id="1558585099">
      <w:bodyDiv w:val="1"/>
      <w:marLeft w:val="0"/>
      <w:marRight w:val="0"/>
      <w:marTop w:val="0"/>
      <w:marBottom w:val="0"/>
      <w:divBdr>
        <w:top w:val="none" w:sz="0" w:space="0" w:color="auto"/>
        <w:left w:val="none" w:sz="0" w:space="0" w:color="auto"/>
        <w:bottom w:val="none" w:sz="0" w:space="0" w:color="auto"/>
        <w:right w:val="none" w:sz="0" w:space="0" w:color="auto"/>
      </w:divBdr>
    </w:div>
    <w:div w:id="1559631545">
      <w:bodyDiv w:val="1"/>
      <w:marLeft w:val="0"/>
      <w:marRight w:val="0"/>
      <w:marTop w:val="0"/>
      <w:marBottom w:val="0"/>
      <w:divBdr>
        <w:top w:val="none" w:sz="0" w:space="0" w:color="auto"/>
        <w:left w:val="none" w:sz="0" w:space="0" w:color="auto"/>
        <w:bottom w:val="none" w:sz="0" w:space="0" w:color="auto"/>
        <w:right w:val="none" w:sz="0" w:space="0" w:color="auto"/>
      </w:divBdr>
    </w:div>
    <w:div w:id="1559778325">
      <w:bodyDiv w:val="1"/>
      <w:marLeft w:val="0"/>
      <w:marRight w:val="0"/>
      <w:marTop w:val="0"/>
      <w:marBottom w:val="0"/>
      <w:divBdr>
        <w:top w:val="none" w:sz="0" w:space="0" w:color="auto"/>
        <w:left w:val="none" w:sz="0" w:space="0" w:color="auto"/>
        <w:bottom w:val="none" w:sz="0" w:space="0" w:color="auto"/>
        <w:right w:val="none" w:sz="0" w:space="0" w:color="auto"/>
      </w:divBdr>
    </w:div>
    <w:div w:id="1562211553">
      <w:bodyDiv w:val="1"/>
      <w:marLeft w:val="0"/>
      <w:marRight w:val="0"/>
      <w:marTop w:val="0"/>
      <w:marBottom w:val="0"/>
      <w:divBdr>
        <w:top w:val="none" w:sz="0" w:space="0" w:color="auto"/>
        <w:left w:val="none" w:sz="0" w:space="0" w:color="auto"/>
        <w:bottom w:val="none" w:sz="0" w:space="0" w:color="auto"/>
        <w:right w:val="none" w:sz="0" w:space="0" w:color="auto"/>
      </w:divBdr>
    </w:div>
    <w:div w:id="1562981025">
      <w:bodyDiv w:val="1"/>
      <w:marLeft w:val="0"/>
      <w:marRight w:val="0"/>
      <w:marTop w:val="0"/>
      <w:marBottom w:val="0"/>
      <w:divBdr>
        <w:top w:val="none" w:sz="0" w:space="0" w:color="auto"/>
        <w:left w:val="none" w:sz="0" w:space="0" w:color="auto"/>
        <w:bottom w:val="none" w:sz="0" w:space="0" w:color="auto"/>
        <w:right w:val="none" w:sz="0" w:space="0" w:color="auto"/>
      </w:divBdr>
    </w:div>
    <w:div w:id="1564488190">
      <w:bodyDiv w:val="1"/>
      <w:marLeft w:val="0"/>
      <w:marRight w:val="0"/>
      <w:marTop w:val="0"/>
      <w:marBottom w:val="0"/>
      <w:divBdr>
        <w:top w:val="none" w:sz="0" w:space="0" w:color="auto"/>
        <w:left w:val="none" w:sz="0" w:space="0" w:color="auto"/>
        <w:bottom w:val="none" w:sz="0" w:space="0" w:color="auto"/>
        <w:right w:val="none" w:sz="0" w:space="0" w:color="auto"/>
      </w:divBdr>
    </w:div>
    <w:div w:id="1565488878">
      <w:bodyDiv w:val="1"/>
      <w:marLeft w:val="0"/>
      <w:marRight w:val="0"/>
      <w:marTop w:val="0"/>
      <w:marBottom w:val="0"/>
      <w:divBdr>
        <w:top w:val="none" w:sz="0" w:space="0" w:color="auto"/>
        <w:left w:val="none" w:sz="0" w:space="0" w:color="auto"/>
        <w:bottom w:val="none" w:sz="0" w:space="0" w:color="auto"/>
        <w:right w:val="none" w:sz="0" w:space="0" w:color="auto"/>
      </w:divBdr>
    </w:div>
    <w:div w:id="1572349473">
      <w:bodyDiv w:val="1"/>
      <w:marLeft w:val="0"/>
      <w:marRight w:val="0"/>
      <w:marTop w:val="0"/>
      <w:marBottom w:val="0"/>
      <w:divBdr>
        <w:top w:val="none" w:sz="0" w:space="0" w:color="auto"/>
        <w:left w:val="none" w:sz="0" w:space="0" w:color="auto"/>
        <w:bottom w:val="none" w:sz="0" w:space="0" w:color="auto"/>
        <w:right w:val="none" w:sz="0" w:space="0" w:color="auto"/>
      </w:divBdr>
    </w:div>
    <w:div w:id="1574504130">
      <w:bodyDiv w:val="1"/>
      <w:marLeft w:val="0"/>
      <w:marRight w:val="0"/>
      <w:marTop w:val="0"/>
      <w:marBottom w:val="0"/>
      <w:divBdr>
        <w:top w:val="none" w:sz="0" w:space="0" w:color="auto"/>
        <w:left w:val="none" w:sz="0" w:space="0" w:color="auto"/>
        <w:bottom w:val="none" w:sz="0" w:space="0" w:color="auto"/>
        <w:right w:val="none" w:sz="0" w:space="0" w:color="auto"/>
      </w:divBdr>
    </w:div>
    <w:div w:id="1574970173">
      <w:bodyDiv w:val="1"/>
      <w:marLeft w:val="0"/>
      <w:marRight w:val="0"/>
      <w:marTop w:val="0"/>
      <w:marBottom w:val="0"/>
      <w:divBdr>
        <w:top w:val="none" w:sz="0" w:space="0" w:color="auto"/>
        <w:left w:val="none" w:sz="0" w:space="0" w:color="auto"/>
        <w:bottom w:val="none" w:sz="0" w:space="0" w:color="auto"/>
        <w:right w:val="none" w:sz="0" w:space="0" w:color="auto"/>
      </w:divBdr>
    </w:div>
    <w:div w:id="1578635836">
      <w:bodyDiv w:val="1"/>
      <w:marLeft w:val="0"/>
      <w:marRight w:val="0"/>
      <w:marTop w:val="0"/>
      <w:marBottom w:val="0"/>
      <w:divBdr>
        <w:top w:val="none" w:sz="0" w:space="0" w:color="auto"/>
        <w:left w:val="none" w:sz="0" w:space="0" w:color="auto"/>
        <w:bottom w:val="none" w:sz="0" w:space="0" w:color="auto"/>
        <w:right w:val="none" w:sz="0" w:space="0" w:color="auto"/>
      </w:divBdr>
    </w:div>
    <w:div w:id="1580483056">
      <w:bodyDiv w:val="1"/>
      <w:marLeft w:val="0"/>
      <w:marRight w:val="0"/>
      <w:marTop w:val="0"/>
      <w:marBottom w:val="0"/>
      <w:divBdr>
        <w:top w:val="none" w:sz="0" w:space="0" w:color="auto"/>
        <w:left w:val="none" w:sz="0" w:space="0" w:color="auto"/>
        <w:bottom w:val="none" w:sz="0" w:space="0" w:color="auto"/>
        <w:right w:val="none" w:sz="0" w:space="0" w:color="auto"/>
      </w:divBdr>
    </w:div>
    <w:div w:id="1581521905">
      <w:bodyDiv w:val="1"/>
      <w:marLeft w:val="0"/>
      <w:marRight w:val="0"/>
      <w:marTop w:val="0"/>
      <w:marBottom w:val="0"/>
      <w:divBdr>
        <w:top w:val="none" w:sz="0" w:space="0" w:color="auto"/>
        <w:left w:val="none" w:sz="0" w:space="0" w:color="auto"/>
        <w:bottom w:val="none" w:sz="0" w:space="0" w:color="auto"/>
        <w:right w:val="none" w:sz="0" w:space="0" w:color="auto"/>
      </w:divBdr>
    </w:div>
    <w:div w:id="1581718030">
      <w:bodyDiv w:val="1"/>
      <w:marLeft w:val="0"/>
      <w:marRight w:val="0"/>
      <w:marTop w:val="0"/>
      <w:marBottom w:val="0"/>
      <w:divBdr>
        <w:top w:val="none" w:sz="0" w:space="0" w:color="auto"/>
        <w:left w:val="none" w:sz="0" w:space="0" w:color="auto"/>
        <w:bottom w:val="none" w:sz="0" w:space="0" w:color="auto"/>
        <w:right w:val="none" w:sz="0" w:space="0" w:color="auto"/>
      </w:divBdr>
    </w:div>
    <w:div w:id="1582104641">
      <w:bodyDiv w:val="1"/>
      <w:marLeft w:val="0"/>
      <w:marRight w:val="0"/>
      <w:marTop w:val="0"/>
      <w:marBottom w:val="0"/>
      <w:divBdr>
        <w:top w:val="none" w:sz="0" w:space="0" w:color="auto"/>
        <w:left w:val="none" w:sz="0" w:space="0" w:color="auto"/>
        <w:bottom w:val="none" w:sz="0" w:space="0" w:color="auto"/>
        <w:right w:val="none" w:sz="0" w:space="0" w:color="auto"/>
      </w:divBdr>
    </w:div>
    <w:div w:id="1583447334">
      <w:bodyDiv w:val="1"/>
      <w:marLeft w:val="0"/>
      <w:marRight w:val="0"/>
      <w:marTop w:val="0"/>
      <w:marBottom w:val="0"/>
      <w:divBdr>
        <w:top w:val="none" w:sz="0" w:space="0" w:color="auto"/>
        <w:left w:val="none" w:sz="0" w:space="0" w:color="auto"/>
        <w:bottom w:val="none" w:sz="0" w:space="0" w:color="auto"/>
        <w:right w:val="none" w:sz="0" w:space="0" w:color="auto"/>
      </w:divBdr>
    </w:div>
    <w:div w:id="1583447980">
      <w:bodyDiv w:val="1"/>
      <w:marLeft w:val="0"/>
      <w:marRight w:val="0"/>
      <w:marTop w:val="0"/>
      <w:marBottom w:val="0"/>
      <w:divBdr>
        <w:top w:val="none" w:sz="0" w:space="0" w:color="auto"/>
        <w:left w:val="none" w:sz="0" w:space="0" w:color="auto"/>
        <w:bottom w:val="none" w:sz="0" w:space="0" w:color="auto"/>
        <w:right w:val="none" w:sz="0" w:space="0" w:color="auto"/>
      </w:divBdr>
    </w:div>
    <w:div w:id="1584752585">
      <w:bodyDiv w:val="1"/>
      <w:marLeft w:val="0"/>
      <w:marRight w:val="0"/>
      <w:marTop w:val="0"/>
      <w:marBottom w:val="0"/>
      <w:divBdr>
        <w:top w:val="none" w:sz="0" w:space="0" w:color="auto"/>
        <w:left w:val="none" w:sz="0" w:space="0" w:color="auto"/>
        <w:bottom w:val="none" w:sz="0" w:space="0" w:color="auto"/>
        <w:right w:val="none" w:sz="0" w:space="0" w:color="auto"/>
      </w:divBdr>
    </w:div>
    <w:div w:id="1585647353">
      <w:bodyDiv w:val="1"/>
      <w:marLeft w:val="0"/>
      <w:marRight w:val="0"/>
      <w:marTop w:val="0"/>
      <w:marBottom w:val="0"/>
      <w:divBdr>
        <w:top w:val="none" w:sz="0" w:space="0" w:color="auto"/>
        <w:left w:val="none" w:sz="0" w:space="0" w:color="auto"/>
        <w:bottom w:val="none" w:sz="0" w:space="0" w:color="auto"/>
        <w:right w:val="none" w:sz="0" w:space="0" w:color="auto"/>
      </w:divBdr>
    </w:div>
    <w:div w:id="1593511578">
      <w:bodyDiv w:val="1"/>
      <w:marLeft w:val="0"/>
      <w:marRight w:val="0"/>
      <w:marTop w:val="0"/>
      <w:marBottom w:val="0"/>
      <w:divBdr>
        <w:top w:val="none" w:sz="0" w:space="0" w:color="auto"/>
        <w:left w:val="none" w:sz="0" w:space="0" w:color="auto"/>
        <w:bottom w:val="none" w:sz="0" w:space="0" w:color="auto"/>
        <w:right w:val="none" w:sz="0" w:space="0" w:color="auto"/>
      </w:divBdr>
    </w:div>
    <w:div w:id="1594239397">
      <w:bodyDiv w:val="1"/>
      <w:marLeft w:val="0"/>
      <w:marRight w:val="0"/>
      <w:marTop w:val="0"/>
      <w:marBottom w:val="0"/>
      <w:divBdr>
        <w:top w:val="none" w:sz="0" w:space="0" w:color="auto"/>
        <w:left w:val="none" w:sz="0" w:space="0" w:color="auto"/>
        <w:bottom w:val="none" w:sz="0" w:space="0" w:color="auto"/>
        <w:right w:val="none" w:sz="0" w:space="0" w:color="auto"/>
      </w:divBdr>
    </w:div>
    <w:div w:id="1600483227">
      <w:bodyDiv w:val="1"/>
      <w:marLeft w:val="0"/>
      <w:marRight w:val="0"/>
      <w:marTop w:val="0"/>
      <w:marBottom w:val="0"/>
      <w:divBdr>
        <w:top w:val="none" w:sz="0" w:space="0" w:color="auto"/>
        <w:left w:val="none" w:sz="0" w:space="0" w:color="auto"/>
        <w:bottom w:val="none" w:sz="0" w:space="0" w:color="auto"/>
        <w:right w:val="none" w:sz="0" w:space="0" w:color="auto"/>
      </w:divBdr>
    </w:div>
    <w:div w:id="1604722105">
      <w:bodyDiv w:val="1"/>
      <w:marLeft w:val="0"/>
      <w:marRight w:val="0"/>
      <w:marTop w:val="0"/>
      <w:marBottom w:val="0"/>
      <w:divBdr>
        <w:top w:val="none" w:sz="0" w:space="0" w:color="auto"/>
        <w:left w:val="none" w:sz="0" w:space="0" w:color="auto"/>
        <w:bottom w:val="none" w:sz="0" w:space="0" w:color="auto"/>
        <w:right w:val="none" w:sz="0" w:space="0" w:color="auto"/>
      </w:divBdr>
    </w:div>
    <w:div w:id="1606767916">
      <w:bodyDiv w:val="1"/>
      <w:marLeft w:val="0"/>
      <w:marRight w:val="0"/>
      <w:marTop w:val="0"/>
      <w:marBottom w:val="0"/>
      <w:divBdr>
        <w:top w:val="none" w:sz="0" w:space="0" w:color="auto"/>
        <w:left w:val="none" w:sz="0" w:space="0" w:color="auto"/>
        <w:bottom w:val="none" w:sz="0" w:space="0" w:color="auto"/>
        <w:right w:val="none" w:sz="0" w:space="0" w:color="auto"/>
      </w:divBdr>
    </w:div>
    <w:div w:id="1611820221">
      <w:bodyDiv w:val="1"/>
      <w:marLeft w:val="0"/>
      <w:marRight w:val="0"/>
      <w:marTop w:val="0"/>
      <w:marBottom w:val="0"/>
      <w:divBdr>
        <w:top w:val="none" w:sz="0" w:space="0" w:color="auto"/>
        <w:left w:val="none" w:sz="0" w:space="0" w:color="auto"/>
        <w:bottom w:val="none" w:sz="0" w:space="0" w:color="auto"/>
        <w:right w:val="none" w:sz="0" w:space="0" w:color="auto"/>
      </w:divBdr>
    </w:div>
    <w:div w:id="1615020199">
      <w:bodyDiv w:val="1"/>
      <w:marLeft w:val="0"/>
      <w:marRight w:val="0"/>
      <w:marTop w:val="0"/>
      <w:marBottom w:val="0"/>
      <w:divBdr>
        <w:top w:val="none" w:sz="0" w:space="0" w:color="auto"/>
        <w:left w:val="none" w:sz="0" w:space="0" w:color="auto"/>
        <w:bottom w:val="none" w:sz="0" w:space="0" w:color="auto"/>
        <w:right w:val="none" w:sz="0" w:space="0" w:color="auto"/>
      </w:divBdr>
    </w:div>
    <w:div w:id="1615625565">
      <w:bodyDiv w:val="1"/>
      <w:marLeft w:val="0"/>
      <w:marRight w:val="0"/>
      <w:marTop w:val="0"/>
      <w:marBottom w:val="0"/>
      <w:divBdr>
        <w:top w:val="none" w:sz="0" w:space="0" w:color="auto"/>
        <w:left w:val="none" w:sz="0" w:space="0" w:color="auto"/>
        <w:bottom w:val="none" w:sz="0" w:space="0" w:color="auto"/>
        <w:right w:val="none" w:sz="0" w:space="0" w:color="auto"/>
      </w:divBdr>
    </w:div>
    <w:div w:id="1619679977">
      <w:bodyDiv w:val="1"/>
      <w:marLeft w:val="0"/>
      <w:marRight w:val="0"/>
      <w:marTop w:val="0"/>
      <w:marBottom w:val="0"/>
      <w:divBdr>
        <w:top w:val="none" w:sz="0" w:space="0" w:color="auto"/>
        <w:left w:val="none" w:sz="0" w:space="0" w:color="auto"/>
        <w:bottom w:val="none" w:sz="0" w:space="0" w:color="auto"/>
        <w:right w:val="none" w:sz="0" w:space="0" w:color="auto"/>
      </w:divBdr>
    </w:div>
    <w:div w:id="1626541243">
      <w:bodyDiv w:val="1"/>
      <w:marLeft w:val="0"/>
      <w:marRight w:val="0"/>
      <w:marTop w:val="0"/>
      <w:marBottom w:val="0"/>
      <w:divBdr>
        <w:top w:val="none" w:sz="0" w:space="0" w:color="auto"/>
        <w:left w:val="none" w:sz="0" w:space="0" w:color="auto"/>
        <w:bottom w:val="none" w:sz="0" w:space="0" w:color="auto"/>
        <w:right w:val="none" w:sz="0" w:space="0" w:color="auto"/>
      </w:divBdr>
    </w:div>
    <w:div w:id="1630627668">
      <w:bodyDiv w:val="1"/>
      <w:marLeft w:val="0"/>
      <w:marRight w:val="0"/>
      <w:marTop w:val="0"/>
      <w:marBottom w:val="0"/>
      <w:divBdr>
        <w:top w:val="none" w:sz="0" w:space="0" w:color="auto"/>
        <w:left w:val="none" w:sz="0" w:space="0" w:color="auto"/>
        <w:bottom w:val="none" w:sz="0" w:space="0" w:color="auto"/>
        <w:right w:val="none" w:sz="0" w:space="0" w:color="auto"/>
      </w:divBdr>
    </w:div>
    <w:div w:id="1631326932">
      <w:bodyDiv w:val="1"/>
      <w:marLeft w:val="0"/>
      <w:marRight w:val="0"/>
      <w:marTop w:val="0"/>
      <w:marBottom w:val="0"/>
      <w:divBdr>
        <w:top w:val="none" w:sz="0" w:space="0" w:color="auto"/>
        <w:left w:val="none" w:sz="0" w:space="0" w:color="auto"/>
        <w:bottom w:val="none" w:sz="0" w:space="0" w:color="auto"/>
        <w:right w:val="none" w:sz="0" w:space="0" w:color="auto"/>
      </w:divBdr>
    </w:div>
    <w:div w:id="1638022737">
      <w:bodyDiv w:val="1"/>
      <w:marLeft w:val="0"/>
      <w:marRight w:val="0"/>
      <w:marTop w:val="0"/>
      <w:marBottom w:val="0"/>
      <w:divBdr>
        <w:top w:val="none" w:sz="0" w:space="0" w:color="auto"/>
        <w:left w:val="none" w:sz="0" w:space="0" w:color="auto"/>
        <w:bottom w:val="none" w:sz="0" w:space="0" w:color="auto"/>
        <w:right w:val="none" w:sz="0" w:space="0" w:color="auto"/>
      </w:divBdr>
    </w:div>
    <w:div w:id="1647389997">
      <w:bodyDiv w:val="1"/>
      <w:marLeft w:val="0"/>
      <w:marRight w:val="0"/>
      <w:marTop w:val="0"/>
      <w:marBottom w:val="0"/>
      <w:divBdr>
        <w:top w:val="none" w:sz="0" w:space="0" w:color="auto"/>
        <w:left w:val="none" w:sz="0" w:space="0" w:color="auto"/>
        <w:bottom w:val="none" w:sz="0" w:space="0" w:color="auto"/>
        <w:right w:val="none" w:sz="0" w:space="0" w:color="auto"/>
      </w:divBdr>
    </w:div>
    <w:div w:id="1650747282">
      <w:bodyDiv w:val="1"/>
      <w:marLeft w:val="0"/>
      <w:marRight w:val="0"/>
      <w:marTop w:val="0"/>
      <w:marBottom w:val="0"/>
      <w:divBdr>
        <w:top w:val="none" w:sz="0" w:space="0" w:color="auto"/>
        <w:left w:val="none" w:sz="0" w:space="0" w:color="auto"/>
        <w:bottom w:val="none" w:sz="0" w:space="0" w:color="auto"/>
        <w:right w:val="none" w:sz="0" w:space="0" w:color="auto"/>
      </w:divBdr>
    </w:div>
    <w:div w:id="1652099041">
      <w:bodyDiv w:val="1"/>
      <w:marLeft w:val="0"/>
      <w:marRight w:val="0"/>
      <w:marTop w:val="0"/>
      <w:marBottom w:val="0"/>
      <w:divBdr>
        <w:top w:val="none" w:sz="0" w:space="0" w:color="auto"/>
        <w:left w:val="none" w:sz="0" w:space="0" w:color="auto"/>
        <w:bottom w:val="none" w:sz="0" w:space="0" w:color="auto"/>
        <w:right w:val="none" w:sz="0" w:space="0" w:color="auto"/>
      </w:divBdr>
    </w:div>
    <w:div w:id="1652321662">
      <w:bodyDiv w:val="1"/>
      <w:marLeft w:val="0"/>
      <w:marRight w:val="0"/>
      <w:marTop w:val="0"/>
      <w:marBottom w:val="0"/>
      <w:divBdr>
        <w:top w:val="none" w:sz="0" w:space="0" w:color="auto"/>
        <w:left w:val="none" w:sz="0" w:space="0" w:color="auto"/>
        <w:bottom w:val="none" w:sz="0" w:space="0" w:color="auto"/>
        <w:right w:val="none" w:sz="0" w:space="0" w:color="auto"/>
      </w:divBdr>
    </w:div>
    <w:div w:id="1652564683">
      <w:bodyDiv w:val="1"/>
      <w:marLeft w:val="0"/>
      <w:marRight w:val="0"/>
      <w:marTop w:val="0"/>
      <w:marBottom w:val="0"/>
      <w:divBdr>
        <w:top w:val="none" w:sz="0" w:space="0" w:color="auto"/>
        <w:left w:val="none" w:sz="0" w:space="0" w:color="auto"/>
        <w:bottom w:val="none" w:sz="0" w:space="0" w:color="auto"/>
        <w:right w:val="none" w:sz="0" w:space="0" w:color="auto"/>
      </w:divBdr>
    </w:div>
    <w:div w:id="1653633838">
      <w:bodyDiv w:val="1"/>
      <w:marLeft w:val="0"/>
      <w:marRight w:val="0"/>
      <w:marTop w:val="0"/>
      <w:marBottom w:val="0"/>
      <w:divBdr>
        <w:top w:val="none" w:sz="0" w:space="0" w:color="auto"/>
        <w:left w:val="none" w:sz="0" w:space="0" w:color="auto"/>
        <w:bottom w:val="none" w:sz="0" w:space="0" w:color="auto"/>
        <w:right w:val="none" w:sz="0" w:space="0" w:color="auto"/>
      </w:divBdr>
    </w:div>
    <w:div w:id="1654867876">
      <w:bodyDiv w:val="1"/>
      <w:marLeft w:val="0"/>
      <w:marRight w:val="0"/>
      <w:marTop w:val="0"/>
      <w:marBottom w:val="0"/>
      <w:divBdr>
        <w:top w:val="none" w:sz="0" w:space="0" w:color="auto"/>
        <w:left w:val="none" w:sz="0" w:space="0" w:color="auto"/>
        <w:bottom w:val="none" w:sz="0" w:space="0" w:color="auto"/>
        <w:right w:val="none" w:sz="0" w:space="0" w:color="auto"/>
      </w:divBdr>
    </w:div>
    <w:div w:id="1655139018">
      <w:bodyDiv w:val="1"/>
      <w:marLeft w:val="0"/>
      <w:marRight w:val="0"/>
      <w:marTop w:val="0"/>
      <w:marBottom w:val="0"/>
      <w:divBdr>
        <w:top w:val="none" w:sz="0" w:space="0" w:color="auto"/>
        <w:left w:val="none" w:sz="0" w:space="0" w:color="auto"/>
        <w:bottom w:val="none" w:sz="0" w:space="0" w:color="auto"/>
        <w:right w:val="none" w:sz="0" w:space="0" w:color="auto"/>
      </w:divBdr>
    </w:div>
    <w:div w:id="1658536811">
      <w:bodyDiv w:val="1"/>
      <w:marLeft w:val="0"/>
      <w:marRight w:val="0"/>
      <w:marTop w:val="0"/>
      <w:marBottom w:val="0"/>
      <w:divBdr>
        <w:top w:val="none" w:sz="0" w:space="0" w:color="auto"/>
        <w:left w:val="none" w:sz="0" w:space="0" w:color="auto"/>
        <w:bottom w:val="none" w:sz="0" w:space="0" w:color="auto"/>
        <w:right w:val="none" w:sz="0" w:space="0" w:color="auto"/>
      </w:divBdr>
    </w:div>
    <w:div w:id="1661689806">
      <w:bodyDiv w:val="1"/>
      <w:marLeft w:val="0"/>
      <w:marRight w:val="0"/>
      <w:marTop w:val="0"/>
      <w:marBottom w:val="0"/>
      <w:divBdr>
        <w:top w:val="none" w:sz="0" w:space="0" w:color="auto"/>
        <w:left w:val="none" w:sz="0" w:space="0" w:color="auto"/>
        <w:bottom w:val="none" w:sz="0" w:space="0" w:color="auto"/>
        <w:right w:val="none" w:sz="0" w:space="0" w:color="auto"/>
      </w:divBdr>
    </w:div>
    <w:div w:id="1662660498">
      <w:bodyDiv w:val="1"/>
      <w:marLeft w:val="0"/>
      <w:marRight w:val="0"/>
      <w:marTop w:val="0"/>
      <w:marBottom w:val="0"/>
      <w:divBdr>
        <w:top w:val="none" w:sz="0" w:space="0" w:color="auto"/>
        <w:left w:val="none" w:sz="0" w:space="0" w:color="auto"/>
        <w:bottom w:val="none" w:sz="0" w:space="0" w:color="auto"/>
        <w:right w:val="none" w:sz="0" w:space="0" w:color="auto"/>
      </w:divBdr>
    </w:div>
    <w:div w:id="1664891672">
      <w:bodyDiv w:val="1"/>
      <w:marLeft w:val="0"/>
      <w:marRight w:val="0"/>
      <w:marTop w:val="0"/>
      <w:marBottom w:val="0"/>
      <w:divBdr>
        <w:top w:val="none" w:sz="0" w:space="0" w:color="auto"/>
        <w:left w:val="none" w:sz="0" w:space="0" w:color="auto"/>
        <w:bottom w:val="none" w:sz="0" w:space="0" w:color="auto"/>
        <w:right w:val="none" w:sz="0" w:space="0" w:color="auto"/>
      </w:divBdr>
    </w:div>
    <w:div w:id="1665862323">
      <w:bodyDiv w:val="1"/>
      <w:marLeft w:val="0"/>
      <w:marRight w:val="0"/>
      <w:marTop w:val="0"/>
      <w:marBottom w:val="0"/>
      <w:divBdr>
        <w:top w:val="none" w:sz="0" w:space="0" w:color="auto"/>
        <w:left w:val="none" w:sz="0" w:space="0" w:color="auto"/>
        <w:bottom w:val="none" w:sz="0" w:space="0" w:color="auto"/>
        <w:right w:val="none" w:sz="0" w:space="0" w:color="auto"/>
      </w:divBdr>
    </w:div>
    <w:div w:id="1668289372">
      <w:bodyDiv w:val="1"/>
      <w:marLeft w:val="0"/>
      <w:marRight w:val="0"/>
      <w:marTop w:val="0"/>
      <w:marBottom w:val="0"/>
      <w:divBdr>
        <w:top w:val="none" w:sz="0" w:space="0" w:color="auto"/>
        <w:left w:val="none" w:sz="0" w:space="0" w:color="auto"/>
        <w:bottom w:val="none" w:sz="0" w:space="0" w:color="auto"/>
        <w:right w:val="none" w:sz="0" w:space="0" w:color="auto"/>
      </w:divBdr>
    </w:div>
    <w:div w:id="1673952112">
      <w:bodyDiv w:val="1"/>
      <w:marLeft w:val="0"/>
      <w:marRight w:val="0"/>
      <w:marTop w:val="0"/>
      <w:marBottom w:val="0"/>
      <w:divBdr>
        <w:top w:val="none" w:sz="0" w:space="0" w:color="auto"/>
        <w:left w:val="none" w:sz="0" w:space="0" w:color="auto"/>
        <w:bottom w:val="none" w:sz="0" w:space="0" w:color="auto"/>
        <w:right w:val="none" w:sz="0" w:space="0" w:color="auto"/>
      </w:divBdr>
    </w:div>
    <w:div w:id="1679382150">
      <w:bodyDiv w:val="1"/>
      <w:marLeft w:val="0"/>
      <w:marRight w:val="0"/>
      <w:marTop w:val="0"/>
      <w:marBottom w:val="0"/>
      <w:divBdr>
        <w:top w:val="none" w:sz="0" w:space="0" w:color="auto"/>
        <w:left w:val="none" w:sz="0" w:space="0" w:color="auto"/>
        <w:bottom w:val="none" w:sz="0" w:space="0" w:color="auto"/>
        <w:right w:val="none" w:sz="0" w:space="0" w:color="auto"/>
      </w:divBdr>
    </w:div>
    <w:div w:id="1679651031">
      <w:bodyDiv w:val="1"/>
      <w:marLeft w:val="0"/>
      <w:marRight w:val="0"/>
      <w:marTop w:val="0"/>
      <w:marBottom w:val="0"/>
      <w:divBdr>
        <w:top w:val="none" w:sz="0" w:space="0" w:color="auto"/>
        <w:left w:val="none" w:sz="0" w:space="0" w:color="auto"/>
        <w:bottom w:val="none" w:sz="0" w:space="0" w:color="auto"/>
        <w:right w:val="none" w:sz="0" w:space="0" w:color="auto"/>
      </w:divBdr>
    </w:div>
    <w:div w:id="1681541586">
      <w:bodyDiv w:val="1"/>
      <w:marLeft w:val="0"/>
      <w:marRight w:val="0"/>
      <w:marTop w:val="0"/>
      <w:marBottom w:val="0"/>
      <w:divBdr>
        <w:top w:val="none" w:sz="0" w:space="0" w:color="auto"/>
        <w:left w:val="none" w:sz="0" w:space="0" w:color="auto"/>
        <w:bottom w:val="none" w:sz="0" w:space="0" w:color="auto"/>
        <w:right w:val="none" w:sz="0" w:space="0" w:color="auto"/>
      </w:divBdr>
    </w:div>
    <w:div w:id="1685203820">
      <w:bodyDiv w:val="1"/>
      <w:marLeft w:val="0"/>
      <w:marRight w:val="0"/>
      <w:marTop w:val="0"/>
      <w:marBottom w:val="0"/>
      <w:divBdr>
        <w:top w:val="none" w:sz="0" w:space="0" w:color="auto"/>
        <w:left w:val="none" w:sz="0" w:space="0" w:color="auto"/>
        <w:bottom w:val="none" w:sz="0" w:space="0" w:color="auto"/>
        <w:right w:val="none" w:sz="0" w:space="0" w:color="auto"/>
      </w:divBdr>
    </w:div>
    <w:div w:id="1686328295">
      <w:bodyDiv w:val="1"/>
      <w:marLeft w:val="0"/>
      <w:marRight w:val="0"/>
      <w:marTop w:val="0"/>
      <w:marBottom w:val="0"/>
      <w:divBdr>
        <w:top w:val="none" w:sz="0" w:space="0" w:color="auto"/>
        <w:left w:val="none" w:sz="0" w:space="0" w:color="auto"/>
        <w:bottom w:val="none" w:sz="0" w:space="0" w:color="auto"/>
        <w:right w:val="none" w:sz="0" w:space="0" w:color="auto"/>
      </w:divBdr>
    </w:div>
    <w:div w:id="1687514550">
      <w:bodyDiv w:val="1"/>
      <w:marLeft w:val="0"/>
      <w:marRight w:val="0"/>
      <w:marTop w:val="0"/>
      <w:marBottom w:val="0"/>
      <w:divBdr>
        <w:top w:val="none" w:sz="0" w:space="0" w:color="auto"/>
        <w:left w:val="none" w:sz="0" w:space="0" w:color="auto"/>
        <w:bottom w:val="none" w:sz="0" w:space="0" w:color="auto"/>
        <w:right w:val="none" w:sz="0" w:space="0" w:color="auto"/>
      </w:divBdr>
    </w:div>
    <w:div w:id="1688944720">
      <w:bodyDiv w:val="1"/>
      <w:marLeft w:val="0"/>
      <w:marRight w:val="0"/>
      <w:marTop w:val="0"/>
      <w:marBottom w:val="0"/>
      <w:divBdr>
        <w:top w:val="none" w:sz="0" w:space="0" w:color="auto"/>
        <w:left w:val="none" w:sz="0" w:space="0" w:color="auto"/>
        <w:bottom w:val="none" w:sz="0" w:space="0" w:color="auto"/>
        <w:right w:val="none" w:sz="0" w:space="0" w:color="auto"/>
      </w:divBdr>
    </w:div>
    <w:div w:id="1691638960">
      <w:bodyDiv w:val="1"/>
      <w:marLeft w:val="0"/>
      <w:marRight w:val="0"/>
      <w:marTop w:val="0"/>
      <w:marBottom w:val="0"/>
      <w:divBdr>
        <w:top w:val="none" w:sz="0" w:space="0" w:color="auto"/>
        <w:left w:val="none" w:sz="0" w:space="0" w:color="auto"/>
        <w:bottom w:val="none" w:sz="0" w:space="0" w:color="auto"/>
        <w:right w:val="none" w:sz="0" w:space="0" w:color="auto"/>
      </w:divBdr>
    </w:div>
    <w:div w:id="1694183870">
      <w:bodyDiv w:val="1"/>
      <w:marLeft w:val="0"/>
      <w:marRight w:val="0"/>
      <w:marTop w:val="0"/>
      <w:marBottom w:val="0"/>
      <w:divBdr>
        <w:top w:val="none" w:sz="0" w:space="0" w:color="auto"/>
        <w:left w:val="none" w:sz="0" w:space="0" w:color="auto"/>
        <w:bottom w:val="none" w:sz="0" w:space="0" w:color="auto"/>
        <w:right w:val="none" w:sz="0" w:space="0" w:color="auto"/>
      </w:divBdr>
    </w:div>
    <w:div w:id="1694916831">
      <w:bodyDiv w:val="1"/>
      <w:marLeft w:val="0"/>
      <w:marRight w:val="0"/>
      <w:marTop w:val="0"/>
      <w:marBottom w:val="0"/>
      <w:divBdr>
        <w:top w:val="none" w:sz="0" w:space="0" w:color="auto"/>
        <w:left w:val="none" w:sz="0" w:space="0" w:color="auto"/>
        <w:bottom w:val="none" w:sz="0" w:space="0" w:color="auto"/>
        <w:right w:val="none" w:sz="0" w:space="0" w:color="auto"/>
      </w:divBdr>
    </w:div>
    <w:div w:id="1695687961">
      <w:bodyDiv w:val="1"/>
      <w:marLeft w:val="0"/>
      <w:marRight w:val="0"/>
      <w:marTop w:val="0"/>
      <w:marBottom w:val="0"/>
      <w:divBdr>
        <w:top w:val="none" w:sz="0" w:space="0" w:color="auto"/>
        <w:left w:val="none" w:sz="0" w:space="0" w:color="auto"/>
        <w:bottom w:val="none" w:sz="0" w:space="0" w:color="auto"/>
        <w:right w:val="none" w:sz="0" w:space="0" w:color="auto"/>
      </w:divBdr>
    </w:div>
    <w:div w:id="1696420058">
      <w:bodyDiv w:val="1"/>
      <w:marLeft w:val="0"/>
      <w:marRight w:val="0"/>
      <w:marTop w:val="0"/>
      <w:marBottom w:val="0"/>
      <w:divBdr>
        <w:top w:val="none" w:sz="0" w:space="0" w:color="auto"/>
        <w:left w:val="none" w:sz="0" w:space="0" w:color="auto"/>
        <w:bottom w:val="none" w:sz="0" w:space="0" w:color="auto"/>
        <w:right w:val="none" w:sz="0" w:space="0" w:color="auto"/>
      </w:divBdr>
    </w:div>
    <w:div w:id="1698000027">
      <w:bodyDiv w:val="1"/>
      <w:marLeft w:val="0"/>
      <w:marRight w:val="0"/>
      <w:marTop w:val="0"/>
      <w:marBottom w:val="0"/>
      <w:divBdr>
        <w:top w:val="none" w:sz="0" w:space="0" w:color="auto"/>
        <w:left w:val="none" w:sz="0" w:space="0" w:color="auto"/>
        <w:bottom w:val="none" w:sz="0" w:space="0" w:color="auto"/>
        <w:right w:val="none" w:sz="0" w:space="0" w:color="auto"/>
      </w:divBdr>
    </w:div>
    <w:div w:id="1699890274">
      <w:bodyDiv w:val="1"/>
      <w:marLeft w:val="0"/>
      <w:marRight w:val="0"/>
      <w:marTop w:val="0"/>
      <w:marBottom w:val="0"/>
      <w:divBdr>
        <w:top w:val="none" w:sz="0" w:space="0" w:color="auto"/>
        <w:left w:val="none" w:sz="0" w:space="0" w:color="auto"/>
        <w:bottom w:val="none" w:sz="0" w:space="0" w:color="auto"/>
        <w:right w:val="none" w:sz="0" w:space="0" w:color="auto"/>
      </w:divBdr>
    </w:div>
    <w:div w:id="1700930855">
      <w:bodyDiv w:val="1"/>
      <w:marLeft w:val="0"/>
      <w:marRight w:val="0"/>
      <w:marTop w:val="0"/>
      <w:marBottom w:val="0"/>
      <w:divBdr>
        <w:top w:val="none" w:sz="0" w:space="0" w:color="auto"/>
        <w:left w:val="none" w:sz="0" w:space="0" w:color="auto"/>
        <w:bottom w:val="none" w:sz="0" w:space="0" w:color="auto"/>
        <w:right w:val="none" w:sz="0" w:space="0" w:color="auto"/>
      </w:divBdr>
    </w:div>
    <w:div w:id="1703820769">
      <w:bodyDiv w:val="1"/>
      <w:marLeft w:val="0"/>
      <w:marRight w:val="0"/>
      <w:marTop w:val="0"/>
      <w:marBottom w:val="0"/>
      <w:divBdr>
        <w:top w:val="none" w:sz="0" w:space="0" w:color="auto"/>
        <w:left w:val="none" w:sz="0" w:space="0" w:color="auto"/>
        <w:bottom w:val="none" w:sz="0" w:space="0" w:color="auto"/>
        <w:right w:val="none" w:sz="0" w:space="0" w:color="auto"/>
      </w:divBdr>
    </w:div>
    <w:div w:id="1705323497">
      <w:bodyDiv w:val="1"/>
      <w:marLeft w:val="0"/>
      <w:marRight w:val="0"/>
      <w:marTop w:val="0"/>
      <w:marBottom w:val="0"/>
      <w:divBdr>
        <w:top w:val="none" w:sz="0" w:space="0" w:color="auto"/>
        <w:left w:val="none" w:sz="0" w:space="0" w:color="auto"/>
        <w:bottom w:val="none" w:sz="0" w:space="0" w:color="auto"/>
        <w:right w:val="none" w:sz="0" w:space="0" w:color="auto"/>
      </w:divBdr>
    </w:div>
    <w:div w:id="1705449009">
      <w:bodyDiv w:val="1"/>
      <w:marLeft w:val="0"/>
      <w:marRight w:val="0"/>
      <w:marTop w:val="0"/>
      <w:marBottom w:val="0"/>
      <w:divBdr>
        <w:top w:val="none" w:sz="0" w:space="0" w:color="auto"/>
        <w:left w:val="none" w:sz="0" w:space="0" w:color="auto"/>
        <w:bottom w:val="none" w:sz="0" w:space="0" w:color="auto"/>
        <w:right w:val="none" w:sz="0" w:space="0" w:color="auto"/>
      </w:divBdr>
    </w:div>
    <w:div w:id="1707826251">
      <w:bodyDiv w:val="1"/>
      <w:marLeft w:val="0"/>
      <w:marRight w:val="0"/>
      <w:marTop w:val="0"/>
      <w:marBottom w:val="0"/>
      <w:divBdr>
        <w:top w:val="none" w:sz="0" w:space="0" w:color="auto"/>
        <w:left w:val="none" w:sz="0" w:space="0" w:color="auto"/>
        <w:bottom w:val="none" w:sz="0" w:space="0" w:color="auto"/>
        <w:right w:val="none" w:sz="0" w:space="0" w:color="auto"/>
      </w:divBdr>
    </w:div>
    <w:div w:id="1708798522">
      <w:bodyDiv w:val="1"/>
      <w:marLeft w:val="0"/>
      <w:marRight w:val="0"/>
      <w:marTop w:val="0"/>
      <w:marBottom w:val="0"/>
      <w:divBdr>
        <w:top w:val="none" w:sz="0" w:space="0" w:color="auto"/>
        <w:left w:val="none" w:sz="0" w:space="0" w:color="auto"/>
        <w:bottom w:val="none" w:sz="0" w:space="0" w:color="auto"/>
        <w:right w:val="none" w:sz="0" w:space="0" w:color="auto"/>
      </w:divBdr>
    </w:div>
    <w:div w:id="1709798974">
      <w:bodyDiv w:val="1"/>
      <w:marLeft w:val="0"/>
      <w:marRight w:val="0"/>
      <w:marTop w:val="0"/>
      <w:marBottom w:val="0"/>
      <w:divBdr>
        <w:top w:val="none" w:sz="0" w:space="0" w:color="auto"/>
        <w:left w:val="none" w:sz="0" w:space="0" w:color="auto"/>
        <w:bottom w:val="none" w:sz="0" w:space="0" w:color="auto"/>
        <w:right w:val="none" w:sz="0" w:space="0" w:color="auto"/>
      </w:divBdr>
    </w:div>
    <w:div w:id="1722317518">
      <w:bodyDiv w:val="1"/>
      <w:marLeft w:val="0"/>
      <w:marRight w:val="0"/>
      <w:marTop w:val="0"/>
      <w:marBottom w:val="0"/>
      <w:divBdr>
        <w:top w:val="none" w:sz="0" w:space="0" w:color="auto"/>
        <w:left w:val="none" w:sz="0" w:space="0" w:color="auto"/>
        <w:bottom w:val="none" w:sz="0" w:space="0" w:color="auto"/>
        <w:right w:val="none" w:sz="0" w:space="0" w:color="auto"/>
      </w:divBdr>
    </w:div>
    <w:div w:id="1724669859">
      <w:bodyDiv w:val="1"/>
      <w:marLeft w:val="0"/>
      <w:marRight w:val="0"/>
      <w:marTop w:val="0"/>
      <w:marBottom w:val="0"/>
      <w:divBdr>
        <w:top w:val="none" w:sz="0" w:space="0" w:color="auto"/>
        <w:left w:val="none" w:sz="0" w:space="0" w:color="auto"/>
        <w:bottom w:val="none" w:sz="0" w:space="0" w:color="auto"/>
        <w:right w:val="none" w:sz="0" w:space="0" w:color="auto"/>
      </w:divBdr>
    </w:div>
    <w:div w:id="1728334652">
      <w:bodyDiv w:val="1"/>
      <w:marLeft w:val="0"/>
      <w:marRight w:val="0"/>
      <w:marTop w:val="0"/>
      <w:marBottom w:val="0"/>
      <w:divBdr>
        <w:top w:val="none" w:sz="0" w:space="0" w:color="auto"/>
        <w:left w:val="none" w:sz="0" w:space="0" w:color="auto"/>
        <w:bottom w:val="none" w:sz="0" w:space="0" w:color="auto"/>
        <w:right w:val="none" w:sz="0" w:space="0" w:color="auto"/>
      </w:divBdr>
    </w:div>
    <w:div w:id="1728607849">
      <w:bodyDiv w:val="1"/>
      <w:marLeft w:val="0"/>
      <w:marRight w:val="0"/>
      <w:marTop w:val="0"/>
      <w:marBottom w:val="0"/>
      <w:divBdr>
        <w:top w:val="none" w:sz="0" w:space="0" w:color="auto"/>
        <w:left w:val="none" w:sz="0" w:space="0" w:color="auto"/>
        <w:bottom w:val="none" w:sz="0" w:space="0" w:color="auto"/>
        <w:right w:val="none" w:sz="0" w:space="0" w:color="auto"/>
      </w:divBdr>
    </w:div>
    <w:div w:id="1729917640">
      <w:bodyDiv w:val="1"/>
      <w:marLeft w:val="0"/>
      <w:marRight w:val="0"/>
      <w:marTop w:val="0"/>
      <w:marBottom w:val="0"/>
      <w:divBdr>
        <w:top w:val="none" w:sz="0" w:space="0" w:color="auto"/>
        <w:left w:val="none" w:sz="0" w:space="0" w:color="auto"/>
        <w:bottom w:val="none" w:sz="0" w:space="0" w:color="auto"/>
        <w:right w:val="none" w:sz="0" w:space="0" w:color="auto"/>
      </w:divBdr>
    </w:div>
    <w:div w:id="1731998088">
      <w:bodyDiv w:val="1"/>
      <w:marLeft w:val="0"/>
      <w:marRight w:val="0"/>
      <w:marTop w:val="0"/>
      <w:marBottom w:val="0"/>
      <w:divBdr>
        <w:top w:val="none" w:sz="0" w:space="0" w:color="auto"/>
        <w:left w:val="none" w:sz="0" w:space="0" w:color="auto"/>
        <w:bottom w:val="none" w:sz="0" w:space="0" w:color="auto"/>
        <w:right w:val="none" w:sz="0" w:space="0" w:color="auto"/>
      </w:divBdr>
    </w:div>
    <w:div w:id="1732340534">
      <w:bodyDiv w:val="1"/>
      <w:marLeft w:val="0"/>
      <w:marRight w:val="0"/>
      <w:marTop w:val="0"/>
      <w:marBottom w:val="0"/>
      <w:divBdr>
        <w:top w:val="none" w:sz="0" w:space="0" w:color="auto"/>
        <w:left w:val="none" w:sz="0" w:space="0" w:color="auto"/>
        <w:bottom w:val="none" w:sz="0" w:space="0" w:color="auto"/>
        <w:right w:val="none" w:sz="0" w:space="0" w:color="auto"/>
      </w:divBdr>
    </w:div>
    <w:div w:id="1734356442">
      <w:bodyDiv w:val="1"/>
      <w:marLeft w:val="0"/>
      <w:marRight w:val="0"/>
      <w:marTop w:val="0"/>
      <w:marBottom w:val="0"/>
      <w:divBdr>
        <w:top w:val="none" w:sz="0" w:space="0" w:color="auto"/>
        <w:left w:val="none" w:sz="0" w:space="0" w:color="auto"/>
        <w:bottom w:val="none" w:sz="0" w:space="0" w:color="auto"/>
        <w:right w:val="none" w:sz="0" w:space="0" w:color="auto"/>
      </w:divBdr>
    </w:div>
    <w:div w:id="1735274624">
      <w:bodyDiv w:val="1"/>
      <w:marLeft w:val="0"/>
      <w:marRight w:val="0"/>
      <w:marTop w:val="0"/>
      <w:marBottom w:val="0"/>
      <w:divBdr>
        <w:top w:val="none" w:sz="0" w:space="0" w:color="auto"/>
        <w:left w:val="none" w:sz="0" w:space="0" w:color="auto"/>
        <w:bottom w:val="none" w:sz="0" w:space="0" w:color="auto"/>
        <w:right w:val="none" w:sz="0" w:space="0" w:color="auto"/>
      </w:divBdr>
    </w:div>
    <w:div w:id="1737706063">
      <w:bodyDiv w:val="1"/>
      <w:marLeft w:val="0"/>
      <w:marRight w:val="0"/>
      <w:marTop w:val="0"/>
      <w:marBottom w:val="0"/>
      <w:divBdr>
        <w:top w:val="none" w:sz="0" w:space="0" w:color="auto"/>
        <w:left w:val="none" w:sz="0" w:space="0" w:color="auto"/>
        <w:bottom w:val="none" w:sz="0" w:space="0" w:color="auto"/>
        <w:right w:val="none" w:sz="0" w:space="0" w:color="auto"/>
      </w:divBdr>
    </w:div>
    <w:div w:id="1738505236">
      <w:bodyDiv w:val="1"/>
      <w:marLeft w:val="0"/>
      <w:marRight w:val="0"/>
      <w:marTop w:val="0"/>
      <w:marBottom w:val="0"/>
      <w:divBdr>
        <w:top w:val="none" w:sz="0" w:space="0" w:color="auto"/>
        <w:left w:val="none" w:sz="0" w:space="0" w:color="auto"/>
        <w:bottom w:val="none" w:sz="0" w:space="0" w:color="auto"/>
        <w:right w:val="none" w:sz="0" w:space="0" w:color="auto"/>
      </w:divBdr>
    </w:div>
    <w:div w:id="1740592511">
      <w:bodyDiv w:val="1"/>
      <w:marLeft w:val="0"/>
      <w:marRight w:val="0"/>
      <w:marTop w:val="0"/>
      <w:marBottom w:val="0"/>
      <w:divBdr>
        <w:top w:val="none" w:sz="0" w:space="0" w:color="auto"/>
        <w:left w:val="none" w:sz="0" w:space="0" w:color="auto"/>
        <w:bottom w:val="none" w:sz="0" w:space="0" w:color="auto"/>
        <w:right w:val="none" w:sz="0" w:space="0" w:color="auto"/>
      </w:divBdr>
    </w:div>
    <w:div w:id="1741321588">
      <w:bodyDiv w:val="1"/>
      <w:marLeft w:val="0"/>
      <w:marRight w:val="0"/>
      <w:marTop w:val="0"/>
      <w:marBottom w:val="0"/>
      <w:divBdr>
        <w:top w:val="none" w:sz="0" w:space="0" w:color="auto"/>
        <w:left w:val="none" w:sz="0" w:space="0" w:color="auto"/>
        <w:bottom w:val="none" w:sz="0" w:space="0" w:color="auto"/>
        <w:right w:val="none" w:sz="0" w:space="0" w:color="auto"/>
      </w:divBdr>
    </w:div>
    <w:div w:id="1741520428">
      <w:bodyDiv w:val="1"/>
      <w:marLeft w:val="0"/>
      <w:marRight w:val="0"/>
      <w:marTop w:val="0"/>
      <w:marBottom w:val="0"/>
      <w:divBdr>
        <w:top w:val="none" w:sz="0" w:space="0" w:color="auto"/>
        <w:left w:val="none" w:sz="0" w:space="0" w:color="auto"/>
        <w:bottom w:val="none" w:sz="0" w:space="0" w:color="auto"/>
        <w:right w:val="none" w:sz="0" w:space="0" w:color="auto"/>
      </w:divBdr>
    </w:div>
    <w:div w:id="1741638057">
      <w:bodyDiv w:val="1"/>
      <w:marLeft w:val="0"/>
      <w:marRight w:val="0"/>
      <w:marTop w:val="0"/>
      <w:marBottom w:val="0"/>
      <w:divBdr>
        <w:top w:val="none" w:sz="0" w:space="0" w:color="auto"/>
        <w:left w:val="none" w:sz="0" w:space="0" w:color="auto"/>
        <w:bottom w:val="none" w:sz="0" w:space="0" w:color="auto"/>
        <w:right w:val="none" w:sz="0" w:space="0" w:color="auto"/>
      </w:divBdr>
    </w:div>
    <w:div w:id="1743061678">
      <w:bodyDiv w:val="1"/>
      <w:marLeft w:val="0"/>
      <w:marRight w:val="0"/>
      <w:marTop w:val="0"/>
      <w:marBottom w:val="0"/>
      <w:divBdr>
        <w:top w:val="none" w:sz="0" w:space="0" w:color="auto"/>
        <w:left w:val="none" w:sz="0" w:space="0" w:color="auto"/>
        <w:bottom w:val="none" w:sz="0" w:space="0" w:color="auto"/>
        <w:right w:val="none" w:sz="0" w:space="0" w:color="auto"/>
      </w:divBdr>
    </w:div>
    <w:div w:id="1744178186">
      <w:bodyDiv w:val="1"/>
      <w:marLeft w:val="0"/>
      <w:marRight w:val="0"/>
      <w:marTop w:val="0"/>
      <w:marBottom w:val="0"/>
      <w:divBdr>
        <w:top w:val="none" w:sz="0" w:space="0" w:color="auto"/>
        <w:left w:val="none" w:sz="0" w:space="0" w:color="auto"/>
        <w:bottom w:val="none" w:sz="0" w:space="0" w:color="auto"/>
        <w:right w:val="none" w:sz="0" w:space="0" w:color="auto"/>
      </w:divBdr>
    </w:div>
    <w:div w:id="1748186371">
      <w:bodyDiv w:val="1"/>
      <w:marLeft w:val="0"/>
      <w:marRight w:val="0"/>
      <w:marTop w:val="0"/>
      <w:marBottom w:val="0"/>
      <w:divBdr>
        <w:top w:val="none" w:sz="0" w:space="0" w:color="auto"/>
        <w:left w:val="none" w:sz="0" w:space="0" w:color="auto"/>
        <w:bottom w:val="none" w:sz="0" w:space="0" w:color="auto"/>
        <w:right w:val="none" w:sz="0" w:space="0" w:color="auto"/>
      </w:divBdr>
    </w:div>
    <w:div w:id="1748728272">
      <w:bodyDiv w:val="1"/>
      <w:marLeft w:val="0"/>
      <w:marRight w:val="0"/>
      <w:marTop w:val="0"/>
      <w:marBottom w:val="0"/>
      <w:divBdr>
        <w:top w:val="none" w:sz="0" w:space="0" w:color="auto"/>
        <w:left w:val="none" w:sz="0" w:space="0" w:color="auto"/>
        <w:bottom w:val="none" w:sz="0" w:space="0" w:color="auto"/>
        <w:right w:val="none" w:sz="0" w:space="0" w:color="auto"/>
      </w:divBdr>
    </w:div>
    <w:div w:id="1749691388">
      <w:bodyDiv w:val="1"/>
      <w:marLeft w:val="0"/>
      <w:marRight w:val="0"/>
      <w:marTop w:val="0"/>
      <w:marBottom w:val="0"/>
      <w:divBdr>
        <w:top w:val="none" w:sz="0" w:space="0" w:color="auto"/>
        <w:left w:val="none" w:sz="0" w:space="0" w:color="auto"/>
        <w:bottom w:val="none" w:sz="0" w:space="0" w:color="auto"/>
        <w:right w:val="none" w:sz="0" w:space="0" w:color="auto"/>
      </w:divBdr>
    </w:div>
    <w:div w:id="1750887289">
      <w:bodyDiv w:val="1"/>
      <w:marLeft w:val="0"/>
      <w:marRight w:val="0"/>
      <w:marTop w:val="0"/>
      <w:marBottom w:val="0"/>
      <w:divBdr>
        <w:top w:val="none" w:sz="0" w:space="0" w:color="auto"/>
        <w:left w:val="none" w:sz="0" w:space="0" w:color="auto"/>
        <w:bottom w:val="none" w:sz="0" w:space="0" w:color="auto"/>
        <w:right w:val="none" w:sz="0" w:space="0" w:color="auto"/>
      </w:divBdr>
    </w:div>
    <w:div w:id="1750956330">
      <w:bodyDiv w:val="1"/>
      <w:marLeft w:val="0"/>
      <w:marRight w:val="0"/>
      <w:marTop w:val="0"/>
      <w:marBottom w:val="0"/>
      <w:divBdr>
        <w:top w:val="none" w:sz="0" w:space="0" w:color="auto"/>
        <w:left w:val="none" w:sz="0" w:space="0" w:color="auto"/>
        <w:bottom w:val="none" w:sz="0" w:space="0" w:color="auto"/>
        <w:right w:val="none" w:sz="0" w:space="0" w:color="auto"/>
      </w:divBdr>
    </w:div>
    <w:div w:id="1751655475">
      <w:bodyDiv w:val="1"/>
      <w:marLeft w:val="0"/>
      <w:marRight w:val="0"/>
      <w:marTop w:val="0"/>
      <w:marBottom w:val="0"/>
      <w:divBdr>
        <w:top w:val="none" w:sz="0" w:space="0" w:color="auto"/>
        <w:left w:val="none" w:sz="0" w:space="0" w:color="auto"/>
        <w:bottom w:val="none" w:sz="0" w:space="0" w:color="auto"/>
        <w:right w:val="none" w:sz="0" w:space="0" w:color="auto"/>
      </w:divBdr>
    </w:div>
    <w:div w:id="1754813965">
      <w:bodyDiv w:val="1"/>
      <w:marLeft w:val="0"/>
      <w:marRight w:val="0"/>
      <w:marTop w:val="0"/>
      <w:marBottom w:val="0"/>
      <w:divBdr>
        <w:top w:val="none" w:sz="0" w:space="0" w:color="auto"/>
        <w:left w:val="none" w:sz="0" w:space="0" w:color="auto"/>
        <w:bottom w:val="none" w:sz="0" w:space="0" w:color="auto"/>
        <w:right w:val="none" w:sz="0" w:space="0" w:color="auto"/>
      </w:divBdr>
    </w:div>
    <w:div w:id="1756122004">
      <w:bodyDiv w:val="1"/>
      <w:marLeft w:val="0"/>
      <w:marRight w:val="0"/>
      <w:marTop w:val="0"/>
      <w:marBottom w:val="0"/>
      <w:divBdr>
        <w:top w:val="none" w:sz="0" w:space="0" w:color="auto"/>
        <w:left w:val="none" w:sz="0" w:space="0" w:color="auto"/>
        <w:bottom w:val="none" w:sz="0" w:space="0" w:color="auto"/>
        <w:right w:val="none" w:sz="0" w:space="0" w:color="auto"/>
      </w:divBdr>
    </w:div>
    <w:div w:id="1761245572">
      <w:bodyDiv w:val="1"/>
      <w:marLeft w:val="0"/>
      <w:marRight w:val="0"/>
      <w:marTop w:val="0"/>
      <w:marBottom w:val="0"/>
      <w:divBdr>
        <w:top w:val="none" w:sz="0" w:space="0" w:color="auto"/>
        <w:left w:val="none" w:sz="0" w:space="0" w:color="auto"/>
        <w:bottom w:val="none" w:sz="0" w:space="0" w:color="auto"/>
        <w:right w:val="none" w:sz="0" w:space="0" w:color="auto"/>
      </w:divBdr>
    </w:div>
    <w:div w:id="1762215391">
      <w:bodyDiv w:val="1"/>
      <w:marLeft w:val="0"/>
      <w:marRight w:val="0"/>
      <w:marTop w:val="0"/>
      <w:marBottom w:val="0"/>
      <w:divBdr>
        <w:top w:val="none" w:sz="0" w:space="0" w:color="auto"/>
        <w:left w:val="none" w:sz="0" w:space="0" w:color="auto"/>
        <w:bottom w:val="none" w:sz="0" w:space="0" w:color="auto"/>
        <w:right w:val="none" w:sz="0" w:space="0" w:color="auto"/>
      </w:divBdr>
    </w:div>
    <w:div w:id="1767995590">
      <w:bodyDiv w:val="1"/>
      <w:marLeft w:val="0"/>
      <w:marRight w:val="0"/>
      <w:marTop w:val="0"/>
      <w:marBottom w:val="0"/>
      <w:divBdr>
        <w:top w:val="none" w:sz="0" w:space="0" w:color="auto"/>
        <w:left w:val="none" w:sz="0" w:space="0" w:color="auto"/>
        <w:bottom w:val="none" w:sz="0" w:space="0" w:color="auto"/>
        <w:right w:val="none" w:sz="0" w:space="0" w:color="auto"/>
      </w:divBdr>
    </w:div>
    <w:div w:id="1768959597">
      <w:bodyDiv w:val="1"/>
      <w:marLeft w:val="0"/>
      <w:marRight w:val="0"/>
      <w:marTop w:val="0"/>
      <w:marBottom w:val="0"/>
      <w:divBdr>
        <w:top w:val="none" w:sz="0" w:space="0" w:color="auto"/>
        <w:left w:val="none" w:sz="0" w:space="0" w:color="auto"/>
        <w:bottom w:val="none" w:sz="0" w:space="0" w:color="auto"/>
        <w:right w:val="none" w:sz="0" w:space="0" w:color="auto"/>
      </w:divBdr>
    </w:div>
    <w:div w:id="1772621340">
      <w:bodyDiv w:val="1"/>
      <w:marLeft w:val="0"/>
      <w:marRight w:val="0"/>
      <w:marTop w:val="0"/>
      <w:marBottom w:val="0"/>
      <w:divBdr>
        <w:top w:val="none" w:sz="0" w:space="0" w:color="auto"/>
        <w:left w:val="none" w:sz="0" w:space="0" w:color="auto"/>
        <w:bottom w:val="none" w:sz="0" w:space="0" w:color="auto"/>
        <w:right w:val="none" w:sz="0" w:space="0" w:color="auto"/>
      </w:divBdr>
    </w:div>
    <w:div w:id="1774548267">
      <w:bodyDiv w:val="1"/>
      <w:marLeft w:val="0"/>
      <w:marRight w:val="0"/>
      <w:marTop w:val="0"/>
      <w:marBottom w:val="0"/>
      <w:divBdr>
        <w:top w:val="none" w:sz="0" w:space="0" w:color="auto"/>
        <w:left w:val="none" w:sz="0" w:space="0" w:color="auto"/>
        <w:bottom w:val="none" w:sz="0" w:space="0" w:color="auto"/>
        <w:right w:val="none" w:sz="0" w:space="0" w:color="auto"/>
      </w:divBdr>
    </w:div>
    <w:div w:id="1776441650">
      <w:bodyDiv w:val="1"/>
      <w:marLeft w:val="0"/>
      <w:marRight w:val="0"/>
      <w:marTop w:val="0"/>
      <w:marBottom w:val="0"/>
      <w:divBdr>
        <w:top w:val="none" w:sz="0" w:space="0" w:color="auto"/>
        <w:left w:val="none" w:sz="0" w:space="0" w:color="auto"/>
        <w:bottom w:val="none" w:sz="0" w:space="0" w:color="auto"/>
        <w:right w:val="none" w:sz="0" w:space="0" w:color="auto"/>
      </w:divBdr>
    </w:div>
    <w:div w:id="1783456833">
      <w:bodyDiv w:val="1"/>
      <w:marLeft w:val="0"/>
      <w:marRight w:val="0"/>
      <w:marTop w:val="0"/>
      <w:marBottom w:val="0"/>
      <w:divBdr>
        <w:top w:val="none" w:sz="0" w:space="0" w:color="auto"/>
        <w:left w:val="none" w:sz="0" w:space="0" w:color="auto"/>
        <w:bottom w:val="none" w:sz="0" w:space="0" w:color="auto"/>
        <w:right w:val="none" w:sz="0" w:space="0" w:color="auto"/>
      </w:divBdr>
    </w:div>
    <w:div w:id="1785924344">
      <w:bodyDiv w:val="1"/>
      <w:marLeft w:val="0"/>
      <w:marRight w:val="0"/>
      <w:marTop w:val="0"/>
      <w:marBottom w:val="0"/>
      <w:divBdr>
        <w:top w:val="none" w:sz="0" w:space="0" w:color="auto"/>
        <w:left w:val="none" w:sz="0" w:space="0" w:color="auto"/>
        <w:bottom w:val="none" w:sz="0" w:space="0" w:color="auto"/>
        <w:right w:val="none" w:sz="0" w:space="0" w:color="auto"/>
      </w:divBdr>
    </w:div>
    <w:div w:id="1787388791">
      <w:bodyDiv w:val="1"/>
      <w:marLeft w:val="0"/>
      <w:marRight w:val="0"/>
      <w:marTop w:val="0"/>
      <w:marBottom w:val="0"/>
      <w:divBdr>
        <w:top w:val="none" w:sz="0" w:space="0" w:color="auto"/>
        <w:left w:val="none" w:sz="0" w:space="0" w:color="auto"/>
        <w:bottom w:val="none" w:sz="0" w:space="0" w:color="auto"/>
        <w:right w:val="none" w:sz="0" w:space="0" w:color="auto"/>
      </w:divBdr>
    </w:div>
    <w:div w:id="1787583851">
      <w:bodyDiv w:val="1"/>
      <w:marLeft w:val="0"/>
      <w:marRight w:val="0"/>
      <w:marTop w:val="0"/>
      <w:marBottom w:val="0"/>
      <w:divBdr>
        <w:top w:val="none" w:sz="0" w:space="0" w:color="auto"/>
        <w:left w:val="none" w:sz="0" w:space="0" w:color="auto"/>
        <w:bottom w:val="none" w:sz="0" w:space="0" w:color="auto"/>
        <w:right w:val="none" w:sz="0" w:space="0" w:color="auto"/>
      </w:divBdr>
    </w:div>
    <w:div w:id="1789354636">
      <w:bodyDiv w:val="1"/>
      <w:marLeft w:val="0"/>
      <w:marRight w:val="0"/>
      <w:marTop w:val="0"/>
      <w:marBottom w:val="0"/>
      <w:divBdr>
        <w:top w:val="none" w:sz="0" w:space="0" w:color="auto"/>
        <w:left w:val="none" w:sz="0" w:space="0" w:color="auto"/>
        <w:bottom w:val="none" w:sz="0" w:space="0" w:color="auto"/>
        <w:right w:val="none" w:sz="0" w:space="0" w:color="auto"/>
      </w:divBdr>
    </w:div>
    <w:div w:id="1796217497">
      <w:bodyDiv w:val="1"/>
      <w:marLeft w:val="0"/>
      <w:marRight w:val="0"/>
      <w:marTop w:val="0"/>
      <w:marBottom w:val="0"/>
      <w:divBdr>
        <w:top w:val="none" w:sz="0" w:space="0" w:color="auto"/>
        <w:left w:val="none" w:sz="0" w:space="0" w:color="auto"/>
        <w:bottom w:val="none" w:sz="0" w:space="0" w:color="auto"/>
        <w:right w:val="none" w:sz="0" w:space="0" w:color="auto"/>
      </w:divBdr>
    </w:div>
    <w:div w:id="1800030560">
      <w:bodyDiv w:val="1"/>
      <w:marLeft w:val="0"/>
      <w:marRight w:val="0"/>
      <w:marTop w:val="0"/>
      <w:marBottom w:val="0"/>
      <w:divBdr>
        <w:top w:val="none" w:sz="0" w:space="0" w:color="auto"/>
        <w:left w:val="none" w:sz="0" w:space="0" w:color="auto"/>
        <w:bottom w:val="none" w:sz="0" w:space="0" w:color="auto"/>
        <w:right w:val="none" w:sz="0" w:space="0" w:color="auto"/>
      </w:divBdr>
    </w:div>
    <w:div w:id="1802964242">
      <w:bodyDiv w:val="1"/>
      <w:marLeft w:val="0"/>
      <w:marRight w:val="0"/>
      <w:marTop w:val="0"/>
      <w:marBottom w:val="0"/>
      <w:divBdr>
        <w:top w:val="none" w:sz="0" w:space="0" w:color="auto"/>
        <w:left w:val="none" w:sz="0" w:space="0" w:color="auto"/>
        <w:bottom w:val="none" w:sz="0" w:space="0" w:color="auto"/>
        <w:right w:val="none" w:sz="0" w:space="0" w:color="auto"/>
      </w:divBdr>
    </w:div>
    <w:div w:id="1803113923">
      <w:bodyDiv w:val="1"/>
      <w:marLeft w:val="0"/>
      <w:marRight w:val="0"/>
      <w:marTop w:val="0"/>
      <w:marBottom w:val="0"/>
      <w:divBdr>
        <w:top w:val="none" w:sz="0" w:space="0" w:color="auto"/>
        <w:left w:val="none" w:sz="0" w:space="0" w:color="auto"/>
        <w:bottom w:val="none" w:sz="0" w:space="0" w:color="auto"/>
        <w:right w:val="none" w:sz="0" w:space="0" w:color="auto"/>
      </w:divBdr>
    </w:div>
    <w:div w:id="1803427938">
      <w:bodyDiv w:val="1"/>
      <w:marLeft w:val="0"/>
      <w:marRight w:val="0"/>
      <w:marTop w:val="0"/>
      <w:marBottom w:val="0"/>
      <w:divBdr>
        <w:top w:val="none" w:sz="0" w:space="0" w:color="auto"/>
        <w:left w:val="none" w:sz="0" w:space="0" w:color="auto"/>
        <w:bottom w:val="none" w:sz="0" w:space="0" w:color="auto"/>
        <w:right w:val="none" w:sz="0" w:space="0" w:color="auto"/>
      </w:divBdr>
    </w:div>
    <w:div w:id="1803841343">
      <w:bodyDiv w:val="1"/>
      <w:marLeft w:val="0"/>
      <w:marRight w:val="0"/>
      <w:marTop w:val="0"/>
      <w:marBottom w:val="0"/>
      <w:divBdr>
        <w:top w:val="none" w:sz="0" w:space="0" w:color="auto"/>
        <w:left w:val="none" w:sz="0" w:space="0" w:color="auto"/>
        <w:bottom w:val="none" w:sz="0" w:space="0" w:color="auto"/>
        <w:right w:val="none" w:sz="0" w:space="0" w:color="auto"/>
      </w:divBdr>
    </w:div>
    <w:div w:id="1804807495">
      <w:bodyDiv w:val="1"/>
      <w:marLeft w:val="0"/>
      <w:marRight w:val="0"/>
      <w:marTop w:val="0"/>
      <w:marBottom w:val="0"/>
      <w:divBdr>
        <w:top w:val="none" w:sz="0" w:space="0" w:color="auto"/>
        <w:left w:val="none" w:sz="0" w:space="0" w:color="auto"/>
        <w:bottom w:val="none" w:sz="0" w:space="0" w:color="auto"/>
        <w:right w:val="none" w:sz="0" w:space="0" w:color="auto"/>
      </w:divBdr>
    </w:div>
    <w:div w:id="1804888355">
      <w:bodyDiv w:val="1"/>
      <w:marLeft w:val="0"/>
      <w:marRight w:val="0"/>
      <w:marTop w:val="0"/>
      <w:marBottom w:val="0"/>
      <w:divBdr>
        <w:top w:val="none" w:sz="0" w:space="0" w:color="auto"/>
        <w:left w:val="none" w:sz="0" w:space="0" w:color="auto"/>
        <w:bottom w:val="none" w:sz="0" w:space="0" w:color="auto"/>
        <w:right w:val="none" w:sz="0" w:space="0" w:color="auto"/>
      </w:divBdr>
    </w:div>
    <w:div w:id="1805930814">
      <w:bodyDiv w:val="1"/>
      <w:marLeft w:val="0"/>
      <w:marRight w:val="0"/>
      <w:marTop w:val="0"/>
      <w:marBottom w:val="0"/>
      <w:divBdr>
        <w:top w:val="none" w:sz="0" w:space="0" w:color="auto"/>
        <w:left w:val="none" w:sz="0" w:space="0" w:color="auto"/>
        <w:bottom w:val="none" w:sz="0" w:space="0" w:color="auto"/>
        <w:right w:val="none" w:sz="0" w:space="0" w:color="auto"/>
      </w:divBdr>
    </w:div>
    <w:div w:id="1809470565">
      <w:bodyDiv w:val="1"/>
      <w:marLeft w:val="0"/>
      <w:marRight w:val="0"/>
      <w:marTop w:val="0"/>
      <w:marBottom w:val="0"/>
      <w:divBdr>
        <w:top w:val="none" w:sz="0" w:space="0" w:color="auto"/>
        <w:left w:val="none" w:sz="0" w:space="0" w:color="auto"/>
        <w:bottom w:val="none" w:sz="0" w:space="0" w:color="auto"/>
        <w:right w:val="none" w:sz="0" w:space="0" w:color="auto"/>
      </w:divBdr>
    </w:div>
    <w:div w:id="1809979096">
      <w:bodyDiv w:val="1"/>
      <w:marLeft w:val="0"/>
      <w:marRight w:val="0"/>
      <w:marTop w:val="0"/>
      <w:marBottom w:val="0"/>
      <w:divBdr>
        <w:top w:val="none" w:sz="0" w:space="0" w:color="auto"/>
        <w:left w:val="none" w:sz="0" w:space="0" w:color="auto"/>
        <w:bottom w:val="none" w:sz="0" w:space="0" w:color="auto"/>
        <w:right w:val="none" w:sz="0" w:space="0" w:color="auto"/>
      </w:divBdr>
    </w:div>
    <w:div w:id="1813328270">
      <w:bodyDiv w:val="1"/>
      <w:marLeft w:val="0"/>
      <w:marRight w:val="0"/>
      <w:marTop w:val="0"/>
      <w:marBottom w:val="0"/>
      <w:divBdr>
        <w:top w:val="none" w:sz="0" w:space="0" w:color="auto"/>
        <w:left w:val="none" w:sz="0" w:space="0" w:color="auto"/>
        <w:bottom w:val="none" w:sz="0" w:space="0" w:color="auto"/>
        <w:right w:val="none" w:sz="0" w:space="0" w:color="auto"/>
      </w:divBdr>
    </w:div>
    <w:div w:id="1814757641">
      <w:bodyDiv w:val="1"/>
      <w:marLeft w:val="0"/>
      <w:marRight w:val="0"/>
      <w:marTop w:val="0"/>
      <w:marBottom w:val="0"/>
      <w:divBdr>
        <w:top w:val="none" w:sz="0" w:space="0" w:color="auto"/>
        <w:left w:val="none" w:sz="0" w:space="0" w:color="auto"/>
        <w:bottom w:val="none" w:sz="0" w:space="0" w:color="auto"/>
        <w:right w:val="none" w:sz="0" w:space="0" w:color="auto"/>
      </w:divBdr>
    </w:div>
    <w:div w:id="1816487133">
      <w:bodyDiv w:val="1"/>
      <w:marLeft w:val="0"/>
      <w:marRight w:val="0"/>
      <w:marTop w:val="0"/>
      <w:marBottom w:val="0"/>
      <w:divBdr>
        <w:top w:val="none" w:sz="0" w:space="0" w:color="auto"/>
        <w:left w:val="none" w:sz="0" w:space="0" w:color="auto"/>
        <w:bottom w:val="none" w:sz="0" w:space="0" w:color="auto"/>
        <w:right w:val="none" w:sz="0" w:space="0" w:color="auto"/>
      </w:divBdr>
    </w:div>
    <w:div w:id="1818183689">
      <w:bodyDiv w:val="1"/>
      <w:marLeft w:val="0"/>
      <w:marRight w:val="0"/>
      <w:marTop w:val="0"/>
      <w:marBottom w:val="0"/>
      <w:divBdr>
        <w:top w:val="none" w:sz="0" w:space="0" w:color="auto"/>
        <w:left w:val="none" w:sz="0" w:space="0" w:color="auto"/>
        <w:bottom w:val="none" w:sz="0" w:space="0" w:color="auto"/>
        <w:right w:val="none" w:sz="0" w:space="0" w:color="auto"/>
      </w:divBdr>
    </w:div>
    <w:div w:id="1823227627">
      <w:bodyDiv w:val="1"/>
      <w:marLeft w:val="0"/>
      <w:marRight w:val="0"/>
      <w:marTop w:val="0"/>
      <w:marBottom w:val="0"/>
      <w:divBdr>
        <w:top w:val="none" w:sz="0" w:space="0" w:color="auto"/>
        <w:left w:val="none" w:sz="0" w:space="0" w:color="auto"/>
        <w:bottom w:val="none" w:sz="0" w:space="0" w:color="auto"/>
        <w:right w:val="none" w:sz="0" w:space="0" w:color="auto"/>
      </w:divBdr>
    </w:div>
    <w:div w:id="1824198561">
      <w:bodyDiv w:val="1"/>
      <w:marLeft w:val="0"/>
      <w:marRight w:val="0"/>
      <w:marTop w:val="0"/>
      <w:marBottom w:val="0"/>
      <w:divBdr>
        <w:top w:val="none" w:sz="0" w:space="0" w:color="auto"/>
        <w:left w:val="none" w:sz="0" w:space="0" w:color="auto"/>
        <w:bottom w:val="none" w:sz="0" w:space="0" w:color="auto"/>
        <w:right w:val="none" w:sz="0" w:space="0" w:color="auto"/>
      </w:divBdr>
    </w:div>
    <w:div w:id="1827240720">
      <w:bodyDiv w:val="1"/>
      <w:marLeft w:val="0"/>
      <w:marRight w:val="0"/>
      <w:marTop w:val="0"/>
      <w:marBottom w:val="0"/>
      <w:divBdr>
        <w:top w:val="none" w:sz="0" w:space="0" w:color="auto"/>
        <w:left w:val="none" w:sz="0" w:space="0" w:color="auto"/>
        <w:bottom w:val="none" w:sz="0" w:space="0" w:color="auto"/>
        <w:right w:val="none" w:sz="0" w:space="0" w:color="auto"/>
      </w:divBdr>
    </w:div>
    <w:div w:id="1829401971">
      <w:bodyDiv w:val="1"/>
      <w:marLeft w:val="0"/>
      <w:marRight w:val="0"/>
      <w:marTop w:val="0"/>
      <w:marBottom w:val="0"/>
      <w:divBdr>
        <w:top w:val="none" w:sz="0" w:space="0" w:color="auto"/>
        <w:left w:val="none" w:sz="0" w:space="0" w:color="auto"/>
        <w:bottom w:val="none" w:sz="0" w:space="0" w:color="auto"/>
        <w:right w:val="none" w:sz="0" w:space="0" w:color="auto"/>
      </w:divBdr>
    </w:div>
    <w:div w:id="1833597306">
      <w:bodyDiv w:val="1"/>
      <w:marLeft w:val="0"/>
      <w:marRight w:val="0"/>
      <w:marTop w:val="0"/>
      <w:marBottom w:val="0"/>
      <w:divBdr>
        <w:top w:val="none" w:sz="0" w:space="0" w:color="auto"/>
        <w:left w:val="none" w:sz="0" w:space="0" w:color="auto"/>
        <w:bottom w:val="none" w:sz="0" w:space="0" w:color="auto"/>
        <w:right w:val="none" w:sz="0" w:space="0" w:color="auto"/>
      </w:divBdr>
    </w:div>
    <w:div w:id="1839341370">
      <w:bodyDiv w:val="1"/>
      <w:marLeft w:val="0"/>
      <w:marRight w:val="0"/>
      <w:marTop w:val="0"/>
      <w:marBottom w:val="0"/>
      <w:divBdr>
        <w:top w:val="none" w:sz="0" w:space="0" w:color="auto"/>
        <w:left w:val="none" w:sz="0" w:space="0" w:color="auto"/>
        <w:bottom w:val="none" w:sz="0" w:space="0" w:color="auto"/>
        <w:right w:val="none" w:sz="0" w:space="0" w:color="auto"/>
      </w:divBdr>
    </w:div>
    <w:div w:id="1841892396">
      <w:bodyDiv w:val="1"/>
      <w:marLeft w:val="0"/>
      <w:marRight w:val="0"/>
      <w:marTop w:val="0"/>
      <w:marBottom w:val="0"/>
      <w:divBdr>
        <w:top w:val="none" w:sz="0" w:space="0" w:color="auto"/>
        <w:left w:val="none" w:sz="0" w:space="0" w:color="auto"/>
        <w:bottom w:val="none" w:sz="0" w:space="0" w:color="auto"/>
        <w:right w:val="none" w:sz="0" w:space="0" w:color="auto"/>
      </w:divBdr>
    </w:div>
    <w:div w:id="1854177054">
      <w:bodyDiv w:val="1"/>
      <w:marLeft w:val="0"/>
      <w:marRight w:val="0"/>
      <w:marTop w:val="0"/>
      <w:marBottom w:val="0"/>
      <w:divBdr>
        <w:top w:val="none" w:sz="0" w:space="0" w:color="auto"/>
        <w:left w:val="none" w:sz="0" w:space="0" w:color="auto"/>
        <w:bottom w:val="none" w:sz="0" w:space="0" w:color="auto"/>
        <w:right w:val="none" w:sz="0" w:space="0" w:color="auto"/>
      </w:divBdr>
    </w:div>
    <w:div w:id="1858618946">
      <w:bodyDiv w:val="1"/>
      <w:marLeft w:val="0"/>
      <w:marRight w:val="0"/>
      <w:marTop w:val="0"/>
      <w:marBottom w:val="0"/>
      <w:divBdr>
        <w:top w:val="none" w:sz="0" w:space="0" w:color="auto"/>
        <w:left w:val="none" w:sz="0" w:space="0" w:color="auto"/>
        <w:bottom w:val="none" w:sz="0" w:space="0" w:color="auto"/>
        <w:right w:val="none" w:sz="0" w:space="0" w:color="auto"/>
      </w:divBdr>
    </w:div>
    <w:div w:id="1859393609">
      <w:bodyDiv w:val="1"/>
      <w:marLeft w:val="0"/>
      <w:marRight w:val="0"/>
      <w:marTop w:val="0"/>
      <w:marBottom w:val="0"/>
      <w:divBdr>
        <w:top w:val="none" w:sz="0" w:space="0" w:color="auto"/>
        <w:left w:val="none" w:sz="0" w:space="0" w:color="auto"/>
        <w:bottom w:val="none" w:sz="0" w:space="0" w:color="auto"/>
        <w:right w:val="none" w:sz="0" w:space="0" w:color="auto"/>
      </w:divBdr>
    </w:div>
    <w:div w:id="1860965163">
      <w:bodyDiv w:val="1"/>
      <w:marLeft w:val="0"/>
      <w:marRight w:val="0"/>
      <w:marTop w:val="0"/>
      <w:marBottom w:val="0"/>
      <w:divBdr>
        <w:top w:val="none" w:sz="0" w:space="0" w:color="auto"/>
        <w:left w:val="none" w:sz="0" w:space="0" w:color="auto"/>
        <w:bottom w:val="none" w:sz="0" w:space="0" w:color="auto"/>
        <w:right w:val="none" w:sz="0" w:space="0" w:color="auto"/>
      </w:divBdr>
    </w:div>
    <w:div w:id="1861042555">
      <w:bodyDiv w:val="1"/>
      <w:marLeft w:val="0"/>
      <w:marRight w:val="0"/>
      <w:marTop w:val="0"/>
      <w:marBottom w:val="0"/>
      <w:divBdr>
        <w:top w:val="none" w:sz="0" w:space="0" w:color="auto"/>
        <w:left w:val="none" w:sz="0" w:space="0" w:color="auto"/>
        <w:bottom w:val="none" w:sz="0" w:space="0" w:color="auto"/>
        <w:right w:val="none" w:sz="0" w:space="0" w:color="auto"/>
      </w:divBdr>
    </w:div>
    <w:div w:id="1861581296">
      <w:bodyDiv w:val="1"/>
      <w:marLeft w:val="0"/>
      <w:marRight w:val="0"/>
      <w:marTop w:val="0"/>
      <w:marBottom w:val="0"/>
      <w:divBdr>
        <w:top w:val="none" w:sz="0" w:space="0" w:color="auto"/>
        <w:left w:val="none" w:sz="0" w:space="0" w:color="auto"/>
        <w:bottom w:val="none" w:sz="0" w:space="0" w:color="auto"/>
        <w:right w:val="none" w:sz="0" w:space="0" w:color="auto"/>
      </w:divBdr>
    </w:div>
    <w:div w:id="1867135918">
      <w:bodyDiv w:val="1"/>
      <w:marLeft w:val="0"/>
      <w:marRight w:val="0"/>
      <w:marTop w:val="0"/>
      <w:marBottom w:val="0"/>
      <w:divBdr>
        <w:top w:val="none" w:sz="0" w:space="0" w:color="auto"/>
        <w:left w:val="none" w:sz="0" w:space="0" w:color="auto"/>
        <w:bottom w:val="none" w:sz="0" w:space="0" w:color="auto"/>
        <w:right w:val="none" w:sz="0" w:space="0" w:color="auto"/>
      </w:divBdr>
    </w:div>
    <w:div w:id="1869173462">
      <w:bodyDiv w:val="1"/>
      <w:marLeft w:val="0"/>
      <w:marRight w:val="0"/>
      <w:marTop w:val="0"/>
      <w:marBottom w:val="0"/>
      <w:divBdr>
        <w:top w:val="none" w:sz="0" w:space="0" w:color="auto"/>
        <w:left w:val="none" w:sz="0" w:space="0" w:color="auto"/>
        <w:bottom w:val="none" w:sz="0" w:space="0" w:color="auto"/>
        <w:right w:val="none" w:sz="0" w:space="0" w:color="auto"/>
      </w:divBdr>
    </w:div>
    <w:div w:id="1869487980">
      <w:bodyDiv w:val="1"/>
      <w:marLeft w:val="0"/>
      <w:marRight w:val="0"/>
      <w:marTop w:val="0"/>
      <w:marBottom w:val="0"/>
      <w:divBdr>
        <w:top w:val="none" w:sz="0" w:space="0" w:color="auto"/>
        <w:left w:val="none" w:sz="0" w:space="0" w:color="auto"/>
        <w:bottom w:val="none" w:sz="0" w:space="0" w:color="auto"/>
        <w:right w:val="none" w:sz="0" w:space="0" w:color="auto"/>
      </w:divBdr>
    </w:div>
    <w:div w:id="1870071714">
      <w:bodyDiv w:val="1"/>
      <w:marLeft w:val="0"/>
      <w:marRight w:val="0"/>
      <w:marTop w:val="0"/>
      <w:marBottom w:val="0"/>
      <w:divBdr>
        <w:top w:val="none" w:sz="0" w:space="0" w:color="auto"/>
        <w:left w:val="none" w:sz="0" w:space="0" w:color="auto"/>
        <w:bottom w:val="none" w:sz="0" w:space="0" w:color="auto"/>
        <w:right w:val="none" w:sz="0" w:space="0" w:color="auto"/>
      </w:divBdr>
    </w:div>
    <w:div w:id="1870100858">
      <w:bodyDiv w:val="1"/>
      <w:marLeft w:val="0"/>
      <w:marRight w:val="0"/>
      <w:marTop w:val="0"/>
      <w:marBottom w:val="0"/>
      <w:divBdr>
        <w:top w:val="none" w:sz="0" w:space="0" w:color="auto"/>
        <w:left w:val="none" w:sz="0" w:space="0" w:color="auto"/>
        <w:bottom w:val="none" w:sz="0" w:space="0" w:color="auto"/>
        <w:right w:val="none" w:sz="0" w:space="0" w:color="auto"/>
      </w:divBdr>
    </w:div>
    <w:div w:id="1870953557">
      <w:bodyDiv w:val="1"/>
      <w:marLeft w:val="0"/>
      <w:marRight w:val="0"/>
      <w:marTop w:val="0"/>
      <w:marBottom w:val="0"/>
      <w:divBdr>
        <w:top w:val="none" w:sz="0" w:space="0" w:color="auto"/>
        <w:left w:val="none" w:sz="0" w:space="0" w:color="auto"/>
        <w:bottom w:val="none" w:sz="0" w:space="0" w:color="auto"/>
        <w:right w:val="none" w:sz="0" w:space="0" w:color="auto"/>
      </w:divBdr>
    </w:div>
    <w:div w:id="1871990460">
      <w:bodyDiv w:val="1"/>
      <w:marLeft w:val="0"/>
      <w:marRight w:val="0"/>
      <w:marTop w:val="0"/>
      <w:marBottom w:val="0"/>
      <w:divBdr>
        <w:top w:val="none" w:sz="0" w:space="0" w:color="auto"/>
        <w:left w:val="none" w:sz="0" w:space="0" w:color="auto"/>
        <w:bottom w:val="none" w:sz="0" w:space="0" w:color="auto"/>
        <w:right w:val="none" w:sz="0" w:space="0" w:color="auto"/>
      </w:divBdr>
    </w:div>
    <w:div w:id="1872958188">
      <w:bodyDiv w:val="1"/>
      <w:marLeft w:val="0"/>
      <w:marRight w:val="0"/>
      <w:marTop w:val="0"/>
      <w:marBottom w:val="0"/>
      <w:divBdr>
        <w:top w:val="none" w:sz="0" w:space="0" w:color="auto"/>
        <w:left w:val="none" w:sz="0" w:space="0" w:color="auto"/>
        <w:bottom w:val="none" w:sz="0" w:space="0" w:color="auto"/>
        <w:right w:val="none" w:sz="0" w:space="0" w:color="auto"/>
      </w:divBdr>
    </w:div>
    <w:div w:id="1873419836">
      <w:bodyDiv w:val="1"/>
      <w:marLeft w:val="0"/>
      <w:marRight w:val="0"/>
      <w:marTop w:val="0"/>
      <w:marBottom w:val="0"/>
      <w:divBdr>
        <w:top w:val="none" w:sz="0" w:space="0" w:color="auto"/>
        <w:left w:val="none" w:sz="0" w:space="0" w:color="auto"/>
        <w:bottom w:val="none" w:sz="0" w:space="0" w:color="auto"/>
        <w:right w:val="none" w:sz="0" w:space="0" w:color="auto"/>
      </w:divBdr>
    </w:div>
    <w:div w:id="1873617013">
      <w:bodyDiv w:val="1"/>
      <w:marLeft w:val="0"/>
      <w:marRight w:val="0"/>
      <w:marTop w:val="0"/>
      <w:marBottom w:val="0"/>
      <w:divBdr>
        <w:top w:val="none" w:sz="0" w:space="0" w:color="auto"/>
        <w:left w:val="none" w:sz="0" w:space="0" w:color="auto"/>
        <w:bottom w:val="none" w:sz="0" w:space="0" w:color="auto"/>
        <w:right w:val="none" w:sz="0" w:space="0" w:color="auto"/>
      </w:divBdr>
    </w:div>
    <w:div w:id="1874420918">
      <w:bodyDiv w:val="1"/>
      <w:marLeft w:val="0"/>
      <w:marRight w:val="0"/>
      <w:marTop w:val="0"/>
      <w:marBottom w:val="0"/>
      <w:divBdr>
        <w:top w:val="none" w:sz="0" w:space="0" w:color="auto"/>
        <w:left w:val="none" w:sz="0" w:space="0" w:color="auto"/>
        <w:bottom w:val="none" w:sz="0" w:space="0" w:color="auto"/>
        <w:right w:val="none" w:sz="0" w:space="0" w:color="auto"/>
      </w:divBdr>
    </w:div>
    <w:div w:id="1876505794">
      <w:bodyDiv w:val="1"/>
      <w:marLeft w:val="0"/>
      <w:marRight w:val="0"/>
      <w:marTop w:val="0"/>
      <w:marBottom w:val="0"/>
      <w:divBdr>
        <w:top w:val="none" w:sz="0" w:space="0" w:color="auto"/>
        <w:left w:val="none" w:sz="0" w:space="0" w:color="auto"/>
        <w:bottom w:val="none" w:sz="0" w:space="0" w:color="auto"/>
        <w:right w:val="none" w:sz="0" w:space="0" w:color="auto"/>
      </w:divBdr>
    </w:div>
    <w:div w:id="1877624454">
      <w:bodyDiv w:val="1"/>
      <w:marLeft w:val="0"/>
      <w:marRight w:val="0"/>
      <w:marTop w:val="0"/>
      <w:marBottom w:val="0"/>
      <w:divBdr>
        <w:top w:val="none" w:sz="0" w:space="0" w:color="auto"/>
        <w:left w:val="none" w:sz="0" w:space="0" w:color="auto"/>
        <w:bottom w:val="none" w:sz="0" w:space="0" w:color="auto"/>
        <w:right w:val="none" w:sz="0" w:space="0" w:color="auto"/>
      </w:divBdr>
    </w:div>
    <w:div w:id="1879276038">
      <w:bodyDiv w:val="1"/>
      <w:marLeft w:val="0"/>
      <w:marRight w:val="0"/>
      <w:marTop w:val="0"/>
      <w:marBottom w:val="0"/>
      <w:divBdr>
        <w:top w:val="none" w:sz="0" w:space="0" w:color="auto"/>
        <w:left w:val="none" w:sz="0" w:space="0" w:color="auto"/>
        <w:bottom w:val="none" w:sz="0" w:space="0" w:color="auto"/>
        <w:right w:val="none" w:sz="0" w:space="0" w:color="auto"/>
      </w:divBdr>
    </w:div>
    <w:div w:id="1879320581">
      <w:bodyDiv w:val="1"/>
      <w:marLeft w:val="0"/>
      <w:marRight w:val="0"/>
      <w:marTop w:val="0"/>
      <w:marBottom w:val="0"/>
      <w:divBdr>
        <w:top w:val="none" w:sz="0" w:space="0" w:color="auto"/>
        <w:left w:val="none" w:sz="0" w:space="0" w:color="auto"/>
        <w:bottom w:val="none" w:sz="0" w:space="0" w:color="auto"/>
        <w:right w:val="none" w:sz="0" w:space="0" w:color="auto"/>
      </w:divBdr>
    </w:div>
    <w:div w:id="1880169200">
      <w:bodyDiv w:val="1"/>
      <w:marLeft w:val="0"/>
      <w:marRight w:val="0"/>
      <w:marTop w:val="0"/>
      <w:marBottom w:val="0"/>
      <w:divBdr>
        <w:top w:val="none" w:sz="0" w:space="0" w:color="auto"/>
        <w:left w:val="none" w:sz="0" w:space="0" w:color="auto"/>
        <w:bottom w:val="none" w:sz="0" w:space="0" w:color="auto"/>
        <w:right w:val="none" w:sz="0" w:space="0" w:color="auto"/>
      </w:divBdr>
    </w:div>
    <w:div w:id="1881816503">
      <w:bodyDiv w:val="1"/>
      <w:marLeft w:val="0"/>
      <w:marRight w:val="0"/>
      <w:marTop w:val="0"/>
      <w:marBottom w:val="0"/>
      <w:divBdr>
        <w:top w:val="none" w:sz="0" w:space="0" w:color="auto"/>
        <w:left w:val="none" w:sz="0" w:space="0" w:color="auto"/>
        <w:bottom w:val="none" w:sz="0" w:space="0" w:color="auto"/>
        <w:right w:val="none" w:sz="0" w:space="0" w:color="auto"/>
      </w:divBdr>
    </w:div>
    <w:div w:id="1884321825">
      <w:bodyDiv w:val="1"/>
      <w:marLeft w:val="0"/>
      <w:marRight w:val="0"/>
      <w:marTop w:val="0"/>
      <w:marBottom w:val="0"/>
      <w:divBdr>
        <w:top w:val="none" w:sz="0" w:space="0" w:color="auto"/>
        <w:left w:val="none" w:sz="0" w:space="0" w:color="auto"/>
        <w:bottom w:val="none" w:sz="0" w:space="0" w:color="auto"/>
        <w:right w:val="none" w:sz="0" w:space="0" w:color="auto"/>
      </w:divBdr>
    </w:div>
    <w:div w:id="1886023534">
      <w:bodyDiv w:val="1"/>
      <w:marLeft w:val="0"/>
      <w:marRight w:val="0"/>
      <w:marTop w:val="0"/>
      <w:marBottom w:val="0"/>
      <w:divBdr>
        <w:top w:val="none" w:sz="0" w:space="0" w:color="auto"/>
        <w:left w:val="none" w:sz="0" w:space="0" w:color="auto"/>
        <w:bottom w:val="none" w:sz="0" w:space="0" w:color="auto"/>
        <w:right w:val="none" w:sz="0" w:space="0" w:color="auto"/>
      </w:divBdr>
    </w:div>
    <w:div w:id="1890189436">
      <w:bodyDiv w:val="1"/>
      <w:marLeft w:val="0"/>
      <w:marRight w:val="0"/>
      <w:marTop w:val="0"/>
      <w:marBottom w:val="0"/>
      <w:divBdr>
        <w:top w:val="none" w:sz="0" w:space="0" w:color="auto"/>
        <w:left w:val="none" w:sz="0" w:space="0" w:color="auto"/>
        <w:bottom w:val="none" w:sz="0" w:space="0" w:color="auto"/>
        <w:right w:val="none" w:sz="0" w:space="0" w:color="auto"/>
      </w:divBdr>
    </w:div>
    <w:div w:id="1891960904">
      <w:bodyDiv w:val="1"/>
      <w:marLeft w:val="0"/>
      <w:marRight w:val="0"/>
      <w:marTop w:val="0"/>
      <w:marBottom w:val="0"/>
      <w:divBdr>
        <w:top w:val="none" w:sz="0" w:space="0" w:color="auto"/>
        <w:left w:val="none" w:sz="0" w:space="0" w:color="auto"/>
        <w:bottom w:val="none" w:sz="0" w:space="0" w:color="auto"/>
        <w:right w:val="none" w:sz="0" w:space="0" w:color="auto"/>
      </w:divBdr>
    </w:div>
    <w:div w:id="1893615102">
      <w:bodyDiv w:val="1"/>
      <w:marLeft w:val="0"/>
      <w:marRight w:val="0"/>
      <w:marTop w:val="0"/>
      <w:marBottom w:val="0"/>
      <w:divBdr>
        <w:top w:val="none" w:sz="0" w:space="0" w:color="auto"/>
        <w:left w:val="none" w:sz="0" w:space="0" w:color="auto"/>
        <w:bottom w:val="none" w:sz="0" w:space="0" w:color="auto"/>
        <w:right w:val="none" w:sz="0" w:space="0" w:color="auto"/>
      </w:divBdr>
    </w:div>
    <w:div w:id="1897158505">
      <w:bodyDiv w:val="1"/>
      <w:marLeft w:val="0"/>
      <w:marRight w:val="0"/>
      <w:marTop w:val="0"/>
      <w:marBottom w:val="0"/>
      <w:divBdr>
        <w:top w:val="none" w:sz="0" w:space="0" w:color="auto"/>
        <w:left w:val="none" w:sz="0" w:space="0" w:color="auto"/>
        <w:bottom w:val="none" w:sz="0" w:space="0" w:color="auto"/>
        <w:right w:val="none" w:sz="0" w:space="0" w:color="auto"/>
      </w:divBdr>
    </w:div>
    <w:div w:id="1897551196">
      <w:bodyDiv w:val="1"/>
      <w:marLeft w:val="0"/>
      <w:marRight w:val="0"/>
      <w:marTop w:val="0"/>
      <w:marBottom w:val="0"/>
      <w:divBdr>
        <w:top w:val="none" w:sz="0" w:space="0" w:color="auto"/>
        <w:left w:val="none" w:sz="0" w:space="0" w:color="auto"/>
        <w:bottom w:val="none" w:sz="0" w:space="0" w:color="auto"/>
        <w:right w:val="none" w:sz="0" w:space="0" w:color="auto"/>
      </w:divBdr>
    </w:div>
    <w:div w:id="1898202203">
      <w:bodyDiv w:val="1"/>
      <w:marLeft w:val="0"/>
      <w:marRight w:val="0"/>
      <w:marTop w:val="0"/>
      <w:marBottom w:val="0"/>
      <w:divBdr>
        <w:top w:val="none" w:sz="0" w:space="0" w:color="auto"/>
        <w:left w:val="none" w:sz="0" w:space="0" w:color="auto"/>
        <w:bottom w:val="none" w:sz="0" w:space="0" w:color="auto"/>
        <w:right w:val="none" w:sz="0" w:space="0" w:color="auto"/>
      </w:divBdr>
    </w:div>
    <w:div w:id="1898782590">
      <w:bodyDiv w:val="1"/>
      <w:marLeft w:val="0"/>
      <w:marRight w:val="0"/>
      <w:marTop w:val="0"/>
      <w:marBottom w:val="0"/>
      <w:divBdr>
        <w:top w:val="none" w:sz="0" w:space="0" w:color="auto"/>
        <w:left w:val="none" w:sz="0" w:space="0" w:color="auto"/>
        <w:bottom w:val="none" w:sz="0" w:space="0" w:color="auto"/>
        <w:right w:val="none" w:sz="0" w:space="0" w:color="auto"/>
      </w:divBdr>
    </w:div>
    <w:div w:id="1900944262">
      <w:bodyDiv w:val="1"/>
      <w:marLeft w:val="0"/>
      <w:marRight w:val="0"/>
      <w:marTop w:val="0"/>
      <w:marBottom w:val="0"/>
      <w:divBdr>
        <w:top w:val="none" w:sz="0" w:space="0" w:color="auto"/>
        <w:left w:val="none" w:sz="0" w:space="0" w:color="auto"/>
        <w:bottom w:val="none" w:sz="0" w:space="0" w:color="auto"/>
        <w:right w:val="none" w:sz="0" w:space="0" w:color="auto"/>
      </w:divBdr>
    </w:div>
    <w:div w:id="1909152572">
      <w:bodyDiv w:val="1"/>
      <w:marLeft w:val="0"/>
      <w:marRight w:val="0"/>
      <w:marTop w:val="0"/>
      <w:marBottom w:val="0"/>
      <w:divBdr>
        <w:top w:val="none" w:sz="0" w:space="0" w:color="auto"/>
        <w:left w:val="none" w:sz="0" w:space="0" w:color="auto"/>
        <w:bottom w:val="none" w:sz="0" w:space="0" w:color="auto"/>
        <w:right w:val="none" w:sz="0" w:space="0" w:color="auto"/>
      </w:divBdr>
    </w:div>
    <w:div w:id="1909226610">
      <w:bodyDiv w:val="1"/>
      <w:marLeft w:val="0"/>
      <w:marRight w:val="0"/>
      <w:marTop w:val="0"/>
      <w:marBottom w:val="0"/>
      <w:divBdr>
        <w:top w:val="none" w:sz="0" w:space="0" w:color="auto"/>
        <w:left w:val="none" w:sz="0" w:space="0" w:color="auto"/>
        <w:bottom w:val="none" w:sz="0" w:space="0" w:color="auto"/>
        <w:right w:val="none" w:sz="0" w:space="0" w:color="auto"/>
      </w:divBdr>
    </w:div>
    <w:div w:id="1915505973">
      <w:bodyDiv w:val="1"/>
      <w:marLeft w:val="0"/>
      <w:marRight w:val="0"/>
      <w:marTop w:val="0"/>
      <w:marBottom w:val="0"/>
      <w:divBdr>
        <w:top w:val="none" w:sz="0" w:space="0" w:color="auto"/>
        <w:left w:val="none" w:sz="0" w:space="0" w:color="auto"/>
        <w:bottom w:val="none" w:sz="0" w:space="0" w:color="auto"/>
        <w:right w:val="none" w:sz="0" w:space="0" w:color="auto"/>
      </w:divBdr>
    </w:div>
    <w:div w:id="1915818725">
      <w:bodyDiv w:val="1"/>
      <w:marLeft w:val="0"/>
      <w:marRight w:val="0"/>
      <w:marTop w:val="0"/>
      <w:marBottom w:val="0"/>
      <w:divBdr>
        <w:top w:val="none" w:sz="0" w:space="0" w:color="auto"/>
        <w:left w:val="none" w:sz="0" w:space="0" w:color="auto"/>
        <w:bottom w:val="none" w:sz="0" w:space="0" w:color="auto"/>
        <w:right w:val="none" w:sz="0" w:space="0" w:color="auto"/>
      </w:divBdr>
    </w:div>
    <w:div w:id="1915973628">
      <w:bodyDiv w:val="1"/>
      <w:marLeft w:val="0"/>
      <w:marRight w:val="0"/>
      <w:marTop w:val="0"/>
      <w:marBottom w:val="0"/>
      <w:divBdr>
        <w:top w:val="none" w:sz="0" w:space="0" w:color="auto"/>
        <w:left w:val="none" w:sz="0" w:space="0" w:color="auto"/>
        <w:bottom w:val="none" w:sz="0" w:space="0" w:color="auto"/>
        <w:right w:val="none" w:sz="0" w:space="0" w:color="auto"/>
      </w:divBdr>
    </w:div>
    <w:div w:id="1916936422">
      <w:bodyDiv w:val="1"/>
      <w:marLeft w:val="0"/>
      <w:marRight w:val="0"/>
      <w:marTop w:val="0"/>
      <w:marBottom w:val="0"/>
      <w:divBdr>
        <w:top w:val="none" w:sz="0" w:space="0" w:color="auto"/>
        <w:left w:val="none" w:sz="0" w:space="0" w:color="auto"/>
        <w:bottom w:val="none" w:sz="0" w:space="0" w:color="auto"/>
        <w:right w:val="none" w:sz="0" w:space="0" w:color="auto"/>
      </w:divBdr>
    </w:div>
    <w:div w:id="1917666943">
      <w:bodyDiv w:val="1"/>
      <w:marLeft w:val="0"/>
      <w:marRight w:val="0"/>
      <w:marTop w:val="0"/>
      <w:marBottom w:val="0"/>
      <w:divBdr>
        <w:top w:val="none" w:sz="0" w:space="0" w:color="auto"/>
        <w:left w:val="none" w:sz="0" w:space="0" w:color="auto"/>
        <w:bottom w:val="none" w:sz="0" w:space="0" w:color="auto"/>
        <w:right w:val="none" w:sz="0" w:space="0" w:color="auto"/>
      </w:divBdr>
    </w:div>
    <w:div w:id="1917862523">
      <w:bodyDiv w:val="1"/>
      <w:marLeft w:val="0"/>
      <w:marRight w:val="0"/>
      <w:marTop w:val="0"/>
      <w:marBottom w:val="0"/>
      <w:divBdr>
        <w:top w:val="none" w:sz="0" w:space="0" w:color="auto"/>
        <w:left w:val="none" w:sz="0" w:space="0" w:color="auto"/>
        <w:bottom w:val="none" w:sz="0" w:space="0" w:color="auto"/>
        <w:right w:val="none" w:sz="0" w:space="0" w:color="auto"/>
      </w:divBdr>
    </w:div>
    <w:div w:id="1918855201">
      <w:bodyDiv w:val="1"/>
      <w:marLeft w:val="0"/>
      <w:marRight w:val="0"/>
      <w:marTop w:val="0"/>
      <w:marBottom w:val="0"/>
      <w:divBdr>
        <w:top w:val="none" w:sz="0" w:space="0" w:color="auto"/>
        <w:left w:val="none" w:sz="0" w:space="0" w:color="auto"/>
        <w:bottom w:val="none" w:sz="0" w:space="0" w:color="auto"/>
        <w:right w:val="none" w:sz="0" w:space="0" w:color="auto"/>
      </w:divBdr>
    </w:div>
    <w:div w:id="1919436472">
      <w:bodyDiv w:val="1"/>
      <w:marLeft w:val="0"/>
      <w:marRight w:val="0"/>
      <w:marTop w:val="0"/>
      <w:marBottom w:val="0"/>
      <w:divBdr>
        <w:top w:val="none" w:sz="0" w:space="0" w:color="auto"/>
        <w:left w:val="none" w:sz="0" w:space="0" w:color="auto"/>
        <w:bottom w:val="none" w:sz="0" w:space="0" w:color="auto"/>
        <w:right w:val="none" w:sz="0" w:space="0" w:color="auto"/>
      </w:divBdr>
    </w:div>
    <w:div w:id="1922787121">
      <w:bodyDiv w:val="1"/>
      <w:marLeft w:val="0"/>
      <w:marRight w:val="0"/>
      <w:marTop w:val="0"/>
      <w:marBottom w:val="0"/>
      <w:divBdr>
        <w:top w:val="none" w:sz="0" w:space="0" w:color="auto"/>
        <w:left w:val="none" w:sz="0" w:space="0" w:color="auto"/>
        <w:bottom w:val="none" w:sz="0" w:space="0" w:color="auto"/>
        <w:right w:val="none" w:sz="0" w:space="0" w:color="auto"/>
      </w:divBdr>
    </w:div>
    <w:div w:id="1923179915">
      <w:bodyDiv w:val="1"/>
      <w:marLeft w:val="0"/>
      <w:marRight w:val="0"/>
      <w:marTop w:val="0"/>
      <w:marBottom w:val="0"/>
      <w:divBdr>
        <w:top w:val="none" w:sz="0" w:space="0" w:color="auto"/>
        <w:left w:val="none" w:sz="0" w:space="0" w:color="auto"/>
        <w:bottom w:val="none" w:sz="0" w:space="0" w:color="auto"/>
        <w:right w:val="none" w:sz="0" w:space="0" w:color="auto"/>
      </w:divBdr>
    </w:div>
    <w:div w:id="1928999386">
      <w:bodyDiv w:val="1"/>
      <w:marLeft w:val="0"/>
      <w:marRight w:val="0"/>
      <w:marTop w:val="0"/>
      <w:marBottom w:val="0"/>
      <w:divBdr>
        <w:top w:val="none" w:sz="0" w:space="0" w:color="auto"/>
        <w:left w:val="none" w:sz="0" w:space="0" w:color="auto"/>
        <w:bottom w:val="none" w:sz="0" w:space="0" w:color="auto"/>
        <w:right w:val="none" w:sz="0" w:space="0" w:color="auto"/>
      </w:divBdr>
    </w:div>
    <w:div w:id="1931230620">
      <w:bodyDiv w:val="1"/>
      <w:marLeft w:val="0"/>
      <w:marRight w:val="0"/>
      <w:marTop w:val="0"/>
      <w:marBottom w:val="0"/>
      <w:divBdr>
        <w:top w:val="none" w:sz="0" w:space="0" w:color="auto"/>
        <w:left w:val="none" w:sz="0" w:space="0" w:color="auto"/>
        <w:bottom w:val="none" w:sz="0" w:space="0" w:color="auto"/>
        <w:right w:val="none" w:sz="0" w:space="0" w:color="auto"/>
      </w:divBdr>
    </w:div>
    <w:div w:id="1931428073">
      <w:bodyDiv w:val="1"/>
      <w:marLeft w:val="0"/>
      <w:marRight w:val="0"/>
      <w:marTop w:val="0"/>
      <w:marBottom w:val="0"/>
      <w:divBdr>
        <w:top w:val="none" w:sz="0" w:space="0" w:color="auto"/>
        <w:left w:val="none" w:sz="0" w:space="0" w:color="auto"/>
        <w:bottom w:val="none" w:sz="0" w:space="0" w:color="auto"/>
        <w:right w:val="none" w:sz="0" w:space="0" w:color="auto"/>
      </w:divBdr>
    </w:div>
    <w:div w:id="1932203880">
      <w:bodyDiv w:val="1"/>
      <w:marLeft w:val="0"/>
      <w:marRight w:val="0"/>
      <w:marTop w:val="0"/>
      <w:marBottom w:val="0"/>
      <w:divBdr>
        <w:top w:val="none" w:sz="0" w:space="0" w:color="auto"/>
        <w:left w:val="none" w:sz="0" w:space="0" w:color="auto"/>
        <w:bottom w:val="none" w:sz="0" w:space="0" w:color="auto"/>
        <w:right w:val="none" w:sz="0" w:space="0" w:color="auto"/>
      </w:divBdr>
    </w:div>
    <w:div w:id="1933397705">
      <w:bodyDiv w:val="1"/>
      <w:marLeft w:val="0"/>
      <w:marRight w:val="0"/>
      <w:marTop w:val="0"/>
      <w:marBottom w:val="0"/>
      <w:divBdr>
        <w:top w:val="none" w:sz="0" w:space="0" w:color="auto"/>
        <w:left w:val="none" w:sz="0" w:space="0" w:color="auto"/>
        <w:bottom w:val="none" w:sz="0" w:space="0" w:color="auto"/>
        <w:right w:val="none" w:sz="0" w:space="0" w:color="auto"/>
      </w:divBdr>
    </w:div>
    <w:div w:id="1936205972">
      <w:bodyDiv w:val="1"/>
      <w:marLeft w:val="0"/>
      <w:marRight w:val="0"/>
      <w:marTop w:val="0"/>
      <w:marBottom w:val="0"/>
      <w:divBdr>
        <w:top w:val="none" w:sz="0" w:space="0" w:color="auto"/>
        <w:left w:val="none" w:sz="0" w:space="0" w:color="auto"/>
        <w:bottom w:val="none" w:sz="0" w:space="0" w:color="auto"/>
        <w:right w:val="none" w:sz="0" w:space="0" w:color="auto"/>
      </w:divBdr>
    </w:div>
    <w:div w:id="1940720357">
      <w:bodyDiv w:val="1"/>
      <w:marLeft w:val="0"/>
      <w:marRight w:val="0"/>
      <w:marTop w:val="0"/>
      <w:marBottom w:val="0"/>
      <w:divBdr>
        <w:top w:val="none" w:sz="0" w:space="0" w:color="auto"/>
        <w:left w:val="none" w:sz="0" w:space="0" w:color="auto"/>
        <w:bottom w:val="none" w:sz="0" w:space="0" w:color="auto"/>
        <w:right w:val="none" w:sz="0" w:space="0" w:color="auto"/>
      </w:divBdr>
    </w:div>
    <w:div w:id="1940794500">
      <w:bodyDiv w:val="1"/>
      <w:marLeft w:val="0"/>
      <w:marRight w:val="0"/>
      <w:marTop w:val="0"/>
      <w:marBottom w:val="0"/>
      <w:divBdr>
        <w:top w:val="none" w:sz="0" w:space="0" w:color="auto"/>
        <w:left w:val="none" w:sz="0" w:space="0" w:color="auto"/>
        <w:bottom w:val="none" w:sz="0" w:space="0" w:color="auto"/>
        <w:right w:val="none" w:sz="0" w:space="0" w:color="auto"/>
      </w:divBdr>
    </w:div>
    <w:div w:id="1941645263">
      <w:bodyDiv w:val="1"/>
      <w:marLeft w:val="0"/>
      <w:marRight w:val="0"/>
      <w:marTop w:val="0"/>
      <w:marBottom w:val="0"/>
      <w:divBdr>
        <w:top w:val="none" w:sz="0" w:space="0" w:color="auto"/>
        <w:left w:val="none" w:sz="0" w:space="0" w:color="auto"/>
        <w:bottom w:val="none" w:sz="0" w:space="0" w:color="auto"/>
        <w:right w:val="none" w:sz="0" w:space="0" w:color="auto"/>
      </w:divBdr>
    </w:div>
    <w:div w:id="1943487432">
      <w:bodyDiv w:val="1"/>
      <w:marLeft w:val="0"/>
      <w:marRight w:val="0"/>
      <w:marTop w:val="0"/>
      <w:marBottom w:val="0"/>
      <w:divBdr>
        <w:top w:val="none" w:sz="0" w:space="0" w:color="auto"/>
        <w:left w:val="none" w:sz="0" w:space="0" w:color="auto"/>
        <w:bottom w:val="none" w:sz="0" w:space="0" w:color="auto"/>
        <w:right w:val="none" w:sz="0" w:space="0" w:color="auto"/>
      </w:divBdr>
    </w:div>
    <w:div w:id="1944723142">
      <w:bodyDiv w:val="1"/>
      <w:marLeft w:val="0"/>
      <w:marRight w:val="0"/>
      <w:marTop w:val="0"/>
      <w:marBottom w:val="0"/>
      <w:divBdr>
        <w:top w:val="none" w:sz="0" w:space="0" w:color="auto"/>
        <w:left w:val="none" w:sz="0" w:space="0" w:color="auto"/>
        <w:bottom w:val="none" w:sz="0" w:space="0" w:color="auto"/>
        <w:right w:val="none" w:sz="0" w:space="0" w:color="auto"/>
      </w:divBdr>
    </w:div>
    <w:div w:id="1947885610">
      <w:bodyDiv w:val="1"/>
      <w:marLeft w:val="0"/>
      <w:marRight w:val="0"/>
      <w:marTop w:val="0"/>
      <w:marBottom w:val="0"/>
      <w:divBdr>
        <w:top w:val="none" w:sz="0" w:space="0" w:color="auto"/>
        <w:left w:val="none" w:sz="0" w:space="0" w:color="auto"/>
        <w:bottom w:val="none" w:sz="0" w:space="0" w:color="auto"/>
        <w:right w:val="none" w:sz="0" w:space="0" w:color="auto"/>
      </w:divBdr>
    </w:div>
    <w:div w:id="1949047247">
      <w:bodyDiv w:val="1"/>
      <w:marLeft w:val="0"/>
      <w:marRight w:val="0"/>
      <w:marTop w:val="0"/>
      <w:marBottom w:val="0"/>
      <w:divBdr>
        <w:top w:val="none" w:sz="0" w:space="0" w:color="auto"/>
        <w:left w:val="none" w:sz="0" w:space="0" w:color="auto"/>
        <w:bottom w:val="none" w:sz="0" w:space="0" w:color="auto"/>
        <w:right w:val="none" w:sz="0" w:space="0" w:color="auto"/>
      </w:divBdr>
    </w:div>
    <w:div w:id="1949193257">
      <w:bodyDiv w:val="1"/>
      <w:marLeft w:val="0"/>
      <w:marRight w:val="0"/>
      <w:marTop w:val="0"/>
      <w:marBottom w:val="0"/>
      <w:divBdr>
        <w:top w:val="none" w:sz="0" w:space="0" w:color="auto"/>
        <w:left w:val="none" w:sz="0" w:space="0" w:color="auto"/>
        <w:bottom w:val="none" w:sz="0" w:space="0" w:color="auto"/>
        <w:right w:val="none" w:sz="0" w:space="0" w:color="auto"/>
      </w:divBdr>
    </w:div>
    <w:div w:id="1952323660">
      <w:bodyDiv w:val="1"/>
      <w:marLeft w:val="0"/>
      <w:marRight w:val="0"/>
      <w:marTop w:val="0"/>
      <w:marBottom w:val="0"/>
      <w:divBdr>
        <w:top w:val="none" w:sz="0" w:space="0" w:color="auto"/>
        <w:left w:val="none" w:sz="0" w:space="0" w:color="auto"/>
        <w:bottom w:val="none" w:sz="0" w:space="0" w:color="auto"/>
        <w:right w:val="none" w:sz="0" w:space="0" w:color="auto"/>
      </w:divBdr>
    </w:div>
    <w:div w:id="1957444632">
      <w:bodyDiv w:val="1"/>
      <w:marLeft w:val="0"/>
      <w:marRight w:val="0"/>
      <w:marTop w:val="0"/>
      <w:marBottom w:val="0"/>
      <w:divBdr>
        <w:top w:val="none" w:sz="0" w:space="0" w:color="auto"/>
        <w:left w:val="none" w:sz="0" w:space="0" w:color="auto"/>
        <w:bottom w:val="none" w:sz="0" w:space="0" w:color="auto"/>
        <w:right w:val="none" w:sz="0" w:space="0" w:color="auto"/>
      </w:divBdr>
    </w:div>
    <w:div w:id="1960182483">
      <w:bodyDiv w:val="1"/>
      <w:marLeft w:val="0"/>
      <w:marRight w:val="0"/>
      <w:marTop w:val="0"/>
      <w:marBottom w:val="0"/>
      <w:divBdr>
        <w:top w:val="none" w:sz="0" w:space="0" w:color="auto"/>
        <w:left w:val="none" w:sz="0" w:space="0" w:color="auto"/>
        <w:bottom w:val="none" w:sz="0" w:space="0" w:color="auto"/>
        <w:right w:val="none" w:sz="0" w:space="0" w:color="auto"/>
      </w:divBdr>
    </w:div>
    <w:div w:id="1960336854">
      <w:bodyDiv w:val="1"/>
      <w:marLeft w:val="0"/>
      <w:marRight w:val="0"/>
      <w:marTop w:val="0"/>
      <w:marBottom w:val="0"/>
      <w:divBdr>
        <w:top w:val="none" w:sz="0" w:space="0" w:color="auto"/>
        <w:left w:val="none" w:sz="0" w:space="0" w:color="auto"/>
        <w:bottom w:val="none" w:sz="0" w:space="0" w:color="auto"/>
        <w:right w:val="none" w:sz="0" w:space="0" w:color="auto"/>
      </w:divBdr>
    </w:div>
    <w:div w:id="1960379764">
      <w:bodyDiv w:val="1"/>
      <w:marLeft w:val="0"/>
      <w:marRight w:val="0"/>
      <w:marTop w:val="0"/>
      <w:marBottom w:val="0"/>
      <w:divBdr>
        <w:top w:val="none" w:sz="0" w:space="0" w:color="auto"/>
        <w:left w:val="none" w:sz="0" w:space="0" w:color="auto"/>
        <w:bottom w:val="none" w:sz="0" w:space="0" w:color="auto"/>
        <w:right w:val="none" w:sz="0" w:space="0" w:color="auto"/>
      </w:divBdr>
    </w:div>
    <w:div w:id="1960911386">
      <w:bodyDiv w:val="1"/>
      <w:marLeft w:val="0"/>
      <w:marRight w:val="0"/>
      <w:marTop w:val="0"/>
      <w:marBottom w:val="0"/>
      <w:divBdr>
        <w:top w:val="none" w:sz="0" w:space="0" w:color="auto"/>
        <w:left w:val="none" w:sz="0" w:space="0" w:color="auto"/>
        <w:bottom w:val="none" w:sz="0" w:space="0" w:color="auto"/>
        <w:right w:val="none" w:sz="0" w:space="0" w:color="auto"/>
      </w:divBdr>
    </w:div>
    <w:div w:id="1961062896">
      <w:bodyDiv w:val="1"/>
      <w:marLeft w:val="0"/>
      <w:marRight w:val="0"/>
      <w:marTop w:val="0"/>
      <w:marBottom w:val="0"/>
      <w:divBdr>
        <w:top w:val="none" w:sz="0" w:space="0" w:color="auto"/>
        <w:left w:val="none" w:sz="0" w:space="0" w:color="auto"/>
        <w:bottom w:val="none" w:sz="0" w:space="0" w:color="auto"/>
        <w:right w:val="none" w:sz="0" w:space="0" w:color="auto"/>
      </w:divBdr>
    </w:div>
    <w:div w:id="1961378581">
      <w:bodyDiv w:val="1"/>
      <w:marLeft w:val="0"/>
      <w:marRight w:val="0"/>
      <w:marTop w:val="0"/>
      <w:marBottom w:val="0"/>
      <w:divBdr>
        <w:top w:val="none" w:sz="0" w:space="0" w:color="auto"/>
        <w:left w:val="none" w:sz="0" w:space="0" w:color="auto"/>
        <w:bottom w:val="none" w:sz="0" w:space="0" w:color="auto"/>
        <w:right w:val="none" w:sz="0" w:space="0" w:color="auto"/>
      </w:divBdr>
    </w:div>
    <w:div w:id="1965116650">
      <w:bodyDiv w:val="1"/>
      <w:marLeft w:val="0"/>
      <w:marRight w:val="0"/>
      <w:marTop w:val="0"/>
      <w:marBottom w:val="0"/>
      <w:divBdr>
        <w:top w:val="none" w:sz="0" w:space="0" w:color="auto"/>
        <w:left w:val="none" w:sz="0" w:space="0" w:color="auto"/>
        <w:bottom w:val="none" w:sz="0" w:space="0" w:color="auto"/>
        <w:right w:val="none" w:sz="0" w:space="0" w:color="auto"/>
      </w:divBdr>
    </w:div>
    <w:div w:id="1965691825">
      <w:bodyDiv w:val="1"/>
      <w:marLeft w:val="0"/>
      <w:marRight w:val="0"/>
      <w:marTop w:val="0"/>
      <w:marBottom w:val="0"/>
      <w:divBdr>
        <w:top w:val="none" w:sz="0" w:space="0" w:color="auto"/>
        <w:left w:val="none" w:sz="0" w:space="0" w:color="auto"/>
        <w:bottom w:val="none" w:sz="0" w:space="0" w:color="auto"/>
        <w:right w:val="none" w:sz="0" w:space="0" w:color="auto"/>
      </w:divBdr>
    </w:div>
    <w:div w:id="1972590343">
      <w:bodyDiv w:val="1"/>
      <w:marLeft w:val="0"/>
      <w:marRight w:val="0"/>
      <w:marTop w:val="0"/>
      <w:marBottom w:val="0"/>
      <w:divBdr>
        <w:top w:val="none" w:sz="0" w:space="0" w:color="auto"/>
        <w:left w:val="none" w:sz="0" w:space="0" w:color="auto"/>
        <w:bottom w:val="none" w:sz="0" w:space="0" w:color="auto"/>
        <w:right w:val="none" w:sz="0" w:space="0" w:color="auto"/>
      </w:divBdr>
    </w:div>
    <w:div w:id="1973246117">
      <w:bodyDiv w:val="1"/>
      <w:marLeft w:val="0"/>
      <w:marRight w:val="0"/>
      <w:marTop w:val="0"/>
      <w:marBottom w:val="0"/>
      <w:divBdr>
        <w:top w:val="none" w:sz="0" w:space="0" w:color="auto"/>
        <w:left w:val="none" w:sz="0" w:space="0" w:color="auto"/>
        <w:bottom w:val="none" w:sz="0" w:space="0" w:color="auto"/>
        <w:right w:val="none" w:sz="0" w:space="0" w:color="auto"/>
      </w:divBdr>
    </w:div>
    <w:div w:id="1974670094">
      <w:bodyDiv w:val="1"/>
      <w:marLeft w:val="0"/>
      <w:marRight w:val="0"/>
      <w:marTop w:val="0"/>
      <w:marBottom w:val="0"/>
      <w:divBdr>
        <w:top w:val="none" w:sz="0" w:space="0" w:color="auto"/>
        <w:left w:val="none" w:sz="0" w:space="0" w:color="auto"/>
        <w:bottom w:val="none" w:sz="0" w:space="0" w:color="auto"/>
        <w:right w:val="none" w:sz="0" w:space="0" w:color="auto"/>
      </w:divBdr>
    </w:div>
    <w:div w:id="1977686222">
      <w:bodyDiv w:val="1"/>
      <w:marLeft w:val="0"/>
      <w:marRight w:val="0"/>
      <w:marTop w:val="0"/>
      <w:marBottom w:val="0"/>
      <w:divBdr>
        <w:top w:val="none" w:sz="0" w:space="0" w:color="auto"/>
        <w:left w:val="none" w:sz="0" w:space="0" w:color="auto"/>
        <w:bottom w:val="none" w:sz="0" w:space="0" w:color="auto"/>
        <w:right w:val="none" w:sz="0" w:space="0" w:color="auto"/>
      </w:divBdr>
    </w:div>
    <w:div w:id="1981038951">
      <w:bodyDiv w:val="1"/>
      <w:marLeft w:val="0"/>
      <w:marRight w:val="0"/>
      <w:marTop w:val="0"/>
      <w:marBottom w:val="0"/>
      <w:divBdr>
        <w:top w:val="none" w:sz="0" w:space="0" w:color="auto"/>
        <w:left w:val="none" w:sz="0" w:space="0" w:color="auto"/>
        <w:bottom w:val="none" w:sz="0" w:space="0" w:color="auto"/>
        <w:right w:val="none" w:sz="0" w:space="0" w:color="auto"/>
      </w:divBdr>
    </w:div>
    <w:div w:id="1981112766">
      <w:bodyDiv w:val="1"/>
      <w:marLeft w:val="0"/>
      <w:marRight w:val="0"/>
      <w:marTop w:val="0"/>
      <w:marBottom w:val="0"/>
      <w:divBdr>
        <w:top w:val="none" w:sz="0" w:space="0" w:color="auto"/>
        <w:left w:val="none" w:sz="0" w:space="0" w:color="auto"/>
        <w:bottom w:val="none" w:sz="0" w:space="0" w:color="auto"/>
        <w:right w:val="none" w:sz="0" w:space="0" w:color="auto"/>
      </w:divBdr>
    </w:div>
    <w:div w:id="1981884133">
      <w:bodyDiv w:val="1"/>
      <w:marLeft w:val="0"/>
      <w:marRight w:val="0"/>
      <w:marTop w:val="0"/>
      <w:marBottom w:val="0"/>
      <w:divBdr>
        <w:top w:val="none" w:sz="0" w:space="0" w:color="auto"/>
        <w:left w:val="none" w:sz="0" w:space="0" w:color="auto"/>
        <w:bottom w:val="none" w:sz="0" w:space="0" w:color="auto"/>
        <w:right w:val="none" w:sz="0" w:space="0" w:color="auto"/>
      </w:divBdr>
    </w:div>
    <w:div w:id="1983000482">
      <w:bodyDiv w:val="1"/>
      <w:marLeft w:val="0"/>
      <w:marRight w:val="0"/>
      <w:marTop w:val="0"/>
      <w:marBottom w:val="0"/>
      <w:divBdr>
        <w:top w:val="none" w:sz="0" w:space="0" w:color="auto"/>
        <w:left w:val="none" w:sz="0" w:space="0" w:color="auto"/>
        <w:bottom w:val="none" w:sz="0" w:space="0" w:color="auto"/>
        <w:right w:val="none" w:sz="0" w:space="0" w:color="auto"/>
      </w:divBdr>
    </w:div>
    <w:div w:id="1984964196">
      <w:bodyDiv w:val="1"/>
      <w:marLeft w:val="0"/>
      <w:marRight w:val="0"/>
      <w:marTop w:val="0"/>
      <w:marBottom w:val="0"/>
      <w:divBdr>
        <w:top w:val="none" w:sz="0" w:space="0" w:color="auto"/>
        <w:left w:val="none" w:sz="0" w:space="0" w:color="auto"/>
        <w:bottom w:val="none" w:sz="0" w:space="0" w:color="auto"/>
        <w:right w:val="none" w:sz="0" w:space="0" w:color="auto"/>
      </w:divBdr>
    </w:div>
    <w:div w:id="1988776928">
      <w:bodyDiv w:val="1"/>
      <w:marLeft w:val="0"/>
      <w:marRight w:val="0"/>
      <w:marTop w:val="0"/>
      <w:marBottom w:val="0"/>
      <w:divBdr>
        <w:top w:val="none" w:sz="0" w:space="0" w:color="auto"/>
        <w:left w:val="none" w:sz="0" w:space="0" w:color="auto"/>
        <w:bottom w:val="none" w:sz="0" w:space="0" w:color="auto"/>
        <w:right w:val="none" w:sz="0" w:space="0" w:color="auto"/>
      </w:divBdr>
    </w:div>
    <w:div w:id="1991903510">
      <w:bodyDiv w:val="1"/>
      <w:marLeft w:val="0"/>
      <w:marRight w:val="0"/>
      <w:marTop w:val="0"/>
      <w:marBottom w:val="0"/>
      <w:divBdr>
        <w:top w:val="none" w:sz="0" w:space="0" w:color="auto"/>
        <w:left w:val="none" w:sz="0" w:space="0" w:color="auto"/>
        <w:bottom w:val="none" w:sz="0" w:space="0" w:color="auto"/>
        <w:right w:val="none" w:sz="0" w:space="0" w:color="auto"/>
      </w:divBdr>
    </w:div>
    <w:div w:id="1992442139">
      <w:bodyDiv w:val="1"/>
      <w:marLeft w:val="0"/>
      <w:marRight w:val="0"/>
      <w:marTop w:val="0"/>
      <w:marBottom w:val="0"/>
      <w:divBdr>
        <w:top w:val="none" w:sz="0" w:space="0" w:color="auto"/>
        <w:left w:val="none" w:sz="0" w:space="0" w:color="auto"/>
        <w:bottom w:val="none" w:sz="0" w:space="0" w:color="auto"/>
        <w:right w:val="none" w:sz="0" w:space="0" w:color="auto"/>
      </w:divBdr>
    </w:div>
    <w:div w:id="1994409247">
      <w:bodyDiv w:val="1"/>
      <w:marLeft w:val="0"/>
      <w:marRight w:val="0"/>
      <w:marTop w:val="0"/>
      <w:marBottom w:val="0"/>
      <w:divBdr>
        <w:top w:val="none" w:sz="0" w:space="0" w:color="auto"/>
        <w:left w:val="none" w:sz="0" w:space="0" w:color="auto"/>
        <w:bottom w:val="none" w:sz="0" w:space="0" w:color="auto"/>
        <w:right w:val="none" w:sz="0" w:space="0" w:color="auto"/>
      </w:divBdr>
    </w:div>
    <w:div w:id="1995185969">
      <w:bodyDiv w:val="1"/>
      <w:marLeft w:val="0"/>
      <w:marRight w:val="0"/>
      <w:marTop w:val="0"/>
      <w:marBottom w:val="0"/>
      <w:divBdr>
        <w:top w:val="none" w:sz="0" w:space="0" w:color="auto"/>
        <w:left w:val="none" w:sz="0" w:space="0" w:color="auto"/>
        <w:bottom w:val="none" w:sz="0" w:space="0" w:color="auto"/>
        <w:right w:val="none" w:sz="0" w:space="0" w:color="auto"/>
      </w:divBdr>
    </w:div>
    <w:div w:id="1996914062">
      <w:bodyDiv w:val="1"/>
      <w:marLeft w:val="0"/>
      <w:marRight w:val="0"/>
      <w:marTop w:val="0"/>
      <w:marBottom w:val="0"/>
      <w:divBdr>
        <w:top w:val="none" w:sz="0" w:space="0" w:color="auto"/>
        <w:left w:val="none" w:sz="0" w:space="0" w:color="auto"/>
        <w:bottom w:val="none" w:sz="0" w:space="0" w:color="auto"/>
        <w:right w:val="none" w:sz="0" w:space="0" w:color="auto"/>
      </w:divBdr>
    </w:div>
    <w:div w:id="1997949633">
      <w:bodyDiv w:val="1"/>
      <w:marLeft w:val="0"/>
      <w:marRight w:val="0"/>
      <w:marTop w:val="0"/>
      <w:marBottom w:val="0"/>
      <w:divBdr>
        <w:top w:val="none" w:sz="0" w:space="0" w:color="auto"/>
        <w:left w:val="none" w:sz="0" w:space="0" w:color="auto"/>
        <w:bottom w:val="none" w:sz="0" w:space="0" w:color="auto"/>
        <w:right w:val="none" w:sz="0" w:space="0" w:color="auto"/>
      </w:divBdr>
    </w:div>
    <w:div w:id="1999267366">
      <w:bodyDiv w:val="1"/>
      <w:marLeft w:val="0"/>
      <w:marRight w:val="0"/>
      <w:marTop w:val="0"/>
      <w:marBottom w:val="0"/>
      <w:divBdr>
        <w:top w:val="none" w:sz="0" w:space="0" w:color="auto"/>
        <w:left w:val="none" w:sz="0" w:space="0" w:color="auto"/>
        <w:bottom w:val="none" w:sz="0" w:space="0" w:color="auto"/>
        <w:right w:val="none" w:sz="0" w:space="0" w:color="auto"/>
      </w:divBdr>
    </w:div>
    <w:div w:id="2002199092">
      <w:bodyDiv w:val="1"/>
      <w:marLeft w:val="0"/>
      <w:marRight w:val="0"/>
      <w:marTop w:val="0"/>
      <w:marBottom w:val="0"/>
      <w:divBdr>
        <w:top w:val="none" w:sz="0" w:space="0" w:color="auto"/>
        <w:left w:val="none" w:sz="0" w:space="0" w:color="auto"/>
        <w:bottom w:val="none" w:sz="0" w:space="0" w:color="auto"/>
        <w:right w:val="none" w:sz="0" w:space="0" w:color="auto"/>
      </w:divBdr>
    </w:div>
    <w:div w:id="2003240862">
      <w:bodyDiv w:val="1"/>
      <w:marLeft w:val="0"/>
      <w:marRight w:val="0"/>
      <w:marTop w:val="0"/>
      <w:marBottom w:val="0"/>
      <w:divBdr>
        <w:top w:val="none" w:sz="0" w:space="0" w:color="auto"/>
        <w:left w:val="none" w:sz="0" w:space="0" w:color="auto"/>
        <w:bottom w:val="none" w:sz="0" w:space="0" w:color="auto"/>
        <w:right w:val="none" w:sz="0" w:space="0" w:color="auto"/>
      </w:divBdr>
    </w:div>
    <w:div w:id="2003972895">
      <w:bodyDiv w:val="1"/>
      <w:marLeft w:val="0"/>
      <w:marRight w:val="0"/>
      <w:marTop w:val="0"/>
      <w:marBottom w:val="0"/>
      <w:divBdr>
        <w:top w:val="none" w:sz="0" w:space="0" w:color="auto"/>
        <w:left w:val="none" w:sz="0" w:space="0" w:color="auto"/>
        <w:bottom w:val="none" w:sz="0" w:space="0" w:color="auto"/>
        <w:right w:val="none" w:sz="0" w:space="0" w:color="auto"/>
      </w:divBdr>
    </w:div>
    <w:div w:id="2006667255">
      <w:bodyDiv w:val="1"/>
      <w:marLeft w:val="0"/>
      <w:marRight w:val="0"/>
      <w:marTop w:val="0"/>
      <w:marBottom w:val="0"/>
      <w:divBdr>
        <w:top w:val="none" w:sz="0" w:space="0" w:color="auto"/>
        <w:left w:val="none" w:sz="0" w:space="0" w:color="auto"/>
        <w:bottom w:val="none" w:sz="0" w:space="0" w:color="auto"/>
        <w:right w:val="none" w:sz="0" w:space="0" w:color="auto"/>
      </w:divBdr>
    </w:div>
    <w:div w:id="2007904818">
      <w:bodyDiv w:val="1"/>
      <w:marLeft w:val="0"/>
      <w:marRight w:val="0"/>
      <w:marTop w:val="0"/>
      <w:marBottom w:val="0"/>
      <w:divBdr>
        <w:top w:val="none" w:sz="0" w:space="0" w:color="auto"/>
        <w:left w:val="none" w:sz="0" w:space="0" w:color="auto"/>
        <w:bottom w:val="none" w:sz="0" w:space="0" w:color="auto"/>
        <w:right w:val="none" w:sz="0" w:space="0" w:color="auto"/>
      </w:divBdr>
    </w:div>
    <w:div w:id="2008707315">
      <w:bodyDiv w:val="1"/>
      <w:marLeft w:val="0"/>
      <w:marRight w:val="0"/>
      <w:marTop w:val="0"/>
      <w:marBottom w:val="0"/>
      <w:divBdr>
        <w:top w:val="none" w:sz="0" w:space="0" w:color="auto"/>
        <w:left w:val="none" w:sz="0" w:space="0" w:color="auto"/>
        <w:bottom w:val="none" w:sz="0" w:space="0" w:color="auto"/>
        <w:right w:val="none" w:sz="0" w:space="0" w:color="auto"/>
      </w:divBdr>
    </w:div>
    <w:div w:id="2008971613">
      <w:bodyDiv w:val="1"/>
      <w:marLeft w:val="0"/>
      <w:marRight w:val="0"/>
      <w:marTop w:val="0"/>
      <w:marBottom w:val="0"/>
      <w:divBdr>
        <w:top w:val="none" w:sz="0" w:space="0" w:color="auto"/>
        <w:left w:val="none" w:sz="0" w:space="0" w:color="auto"/>
        <w:bottom w:val="none" w:sz="0" w:space="0" w:color="auto"/>
        <w:right w:val="none" w:sz="0" w:space="0" w:color="auto"/>
      </w:divBdr>
    </w:div>
    <w:div w:id="2013214013">
      <w:bodyDiv w:val="1"/>
      <w:marLeft w:val="0"/>
      <w:marRight w:val="0"/>
      <w:marTop w:val="0"/>
      <w:marBottom w:val="0"/>
      <w:divBdr>
        <w:top w:val="none" w:sz="0" w:space="0" w:color="auto"/>
        <w:left w:val="none" w:sz="0" w:space="0" w:color="auto"/>
        <w:bottom w:val="none" w:sz="0" w:space="0" w:color="auto"/>
        <w:right w:val="none" w:sz="0" w:space="0" w:color="auto"/>
      </w:divBdr>
    </w:div>
    <w:div w:id="2014066680">
      <w:bodyDiv w:val="1"/>
      <w:marLeft w:val="0"/>
      <w:marRight w:val="0"/>
      <w:marTop w:val="0"/>
      <w:marBottom w:val="0"/>
      <w:divBdr>
        <w:top w:val="none" w:sz="0" w:space="0" w:color="auto"/>
        <w:left w:val="none" w:sz="0" w:space="0" w:color="auto"/>
        <w:bottom w:val="none" w:sz="0" w:space="0" w:color="auto"/>
        <w:right w:val="none" w:sz="0" w:space="0" w:color="auto"/>
      </w:divBdr>
    </w:div>
    <w:div w:id="2014330346">
      <w:bodyDiv w:val="1"/>
      <w:marLeft w:val="0"/>
      <w:marRight w:val="0"/>
      <w:marTop w:val="0"/>
      <w:marBottom w:val="0"/>
      <w:divBdr>
        <w:top w:val="none" w:sz="0" w:space="0" w:color="auto"/>
        <w:left w:val="none" w:sz="0" w:space="0" w:color="auto"/>
        <w:bottom w:val="none" w:sz="0" w:space="0" w:color="auto"/>
        <w:right w:val="none" w:sz="0" w:space="0" w:color="auto"/>
      </w:divBdr>
    </w:div>
    <w:div w:id="2014910195">
      <w:bodyDiv w:val="1"/>
      <w:marLeft w:val="0"/>
      <w:marRight w:val="0"/>
      <w:marTop w:val="0"/>
      <w:marBottom w:val="0"/>
      <w:divBdr>
        <w:top w:val="none" w:sz="0" w:space="0" w:color="auto"/>
        <w:left w:val="none" w:sz="0" w:space="0" w:color="auto"/>
        <w:bottom w:val="none" w:sz="0" w:space="0" w:color="auto"/>
        <w:right w:val="none" w:sz="0" w:space="0" w:color="auto"/>
      </w:divBdr>
    </w:div>
    <w:div w:id="2015062125">
      <w:bodyDiv w:val="1"/>
      <w:marLeft w:val="0"/>
      <w:marRight w:val="0"/>
      <w:marTop w:val="0"/>
      <w:marBottom w:val="0"/>
      <w:divBdr>
        <w:top w:val="none" w:sz="0" w:space="0" w:color="auto"/>
        <w:left w:val="none" w:sz="0" w:space="0" w:color="auto"/>
        <w:bottom w:val="none" w:sz="0" w:space="0" w:color="auto"/>
        <w:right w:val="none" w:sz="0" w:space="0" w:color="auto"/>
      </w:divBdr>
    </w:div>
    <w:div w:id="2019036819">
      <w:bodyDiv w:val="1"/>
      <w:marLeft w:val="0"/>
      <w:marRight w:val="0"/>
      <w:marTop w:val="0"/>
      <w:marBottom w:val="0"/>
      <w:divBdr>
        <w:top w:val="none" w:sz="0" w:space="0" w:color="auto"/>
        <w:left w:val="none" w:sz="0" w:space="0" w:color="auto"/>
        <w:bottom w:val="none" w:sz="0" w:space="0" w:color="auto"/>
        <w:right w:val="none" w:sz="0" w:space="0" w:color="auto"/>
      </w:divBdr>
    </w:div>
    <w:div w:id="2019649194">
      <w:bodyDiv w:val="1"/>
      <w:marLeft w:val="0"/>
      <w:marRight w:val="0"/>
      <w:marTop w:val="0"/>
      <w:marBottom w:val="0"/>
      <w:divBdr>
        <w:top w:val="none" w:sz="0" w:space="0" w:color="auto"/>
        <w:left w:val="none" w:sz="0" w:space="0" w:color="auto"/>
        <w:bottom w:val="none" w:sz="0" w:space="0" w:color="auto"/>
        <w:right w:val="none" w:sz="0" w:space="0" w:color="auto"/>
      </w:divBdr>
    </w:div>
    <w:div w:id="2019845965">
      <w:bodyDiv w:val="1"/>
      <w:marLeft w:val="0"/>
      <w:marRight w:val="0"/>
      <w:marTop w:val="0"/>
      <w:marBottom w:val="0"/>
      <w:divBdr>
        <w:top w:val="none" w:sz="0" w:space="0" w:color="auto"/>
        <w:left w:val="none" w:sz="0" w:space="0" w:color="auto"/>
        <w:bottom w:val="none" w:sz="0" w:space="0" w:color="auto"/>
        <w:right w:val="none" w:sz="0" w:space="0" w:color="auto"/>
      </w:divBdr>
    </w:div>
    <w:div w:id="2023237007">
      <w:bodyDiv w:val="1"/>
      <w:marLeft w:val="0"/>
      <w:marRight w:val="0"/>
      <w:marTop w:val="0"/>
      <w:marBottom w:val="0"/>
      <w:divBdr>
        <w:top w:val="none" w:sz="0" w:space="0" w:color="auto"/>
        <w:left w:val="none" w:sz="0" w:space="0" w:color="auto"/>
        <w:bottom w:val="none" w:sz="0" w:space="0" w:color="auto"/>
        <w:right w:val="none" w:sz="0" w:space="0" w:color="auto"/>
      </w:divBdr>
    </w:div>
    <w:div w:id="2024159715">
      <w:bodyDiv w:val="1"/>
      <w:marLeft w:val="0"/>
      <w:marRight w:val="0"/>
      <w:marTop w:val="0"/>
      <w:marBottom w:val="0"/>
      <w:divBdr>
        <w:top w:val="none" w:sz="0" w:space="0" w:color="auto"/>
        <w:left w:val="none" w:sz="0" w:space="0" w:color="auto"/>
        <w:bottom w:val="none" w:sz="0" w:space="0" w:color="auto"/>
        <w:right w:val="none" w:sz="0" w:space="0" w:color="auto"/>
      </w:divBdr>
    </w:div>
    <w:div w:id="2027630441">
      <w:bodyDiv w:val="1"/>
      <w:marLeft w:val="0"/>
      <w:marRight w:val="0"/>
      <w:marTop w:val="0"/>
      <w:marBottom w:val="0"/>
      <w:divBdr>
        <w:top w:val="none" w:sz="0" w:space="0" w:color="auto"/>
        <w:left w:val="none" w:sz="0" w:space="0" w:color="auto"/>
        <w:bottom w:val="none" w:sz="0" w:space="0" w:color="auto"/>
        <w:right w:val="none" w:sz="0" w:space="0" w:color="auto"/>
      </w:divBdr>
    </w:div>
    <w:div w:id="2027903972">
      <w:bodyDiv w:val="1"/>
      <w:marLeft w:val="0"/>
      <w:marRight w:val="0"/>
      <w:marTop w:val="0"/>
      <w:marBottom w:val="0"/>
      <w:divBdr>
        <w:top w:val="none" w:sz="0" w:space="0" w:color="auto"/>
        <w:left w:val="none" w:sz="0" w:space="0" w:color="auto"/>
        <w:bottom w:val="none" w:sz="0" w:space="0" w:color="auto"/>
        <w:right w:val="none" w:sz="0" w:space="0" w:color="auto"/>
      </w:divBdr>
    </w:div>
    <w:div w:id="2029335307">
      <w:bodyDiv w:val="1"/>
      <w:marLeft w:val="0"/>
      <w:marRight w:val="0"/>
      <w:marTop w:val="0"/>
      <w:marBottom w:val="0"/>
      <w:divBdr>
        <w:top w:val="none" w:sz="0" w:space="0" w:color="auto"/>
        <w:left w:val="none" w:sz="0" w:space="0" w:color="auto"/>
        <w:bottom w:val="none" w:sz="0" w:space="0" w:color="auto"/>
        <w:right w:val="none" w:sz="0" w:space="0" w:color="auto"/>
      </w:divBdr>
    </w:div>
    <w:div w:id="2031180766">
      <w:bodyDiv w:val="1"/>
      <w:marLeft w:val="0"/>
      <w:marRight w:val="0"/>
      <w:marTop w:val="0"/>
      <w:marBottom w:val="0"/>
      <w:divBdr>
        <w:top w:val="none" w:sz="0" w:space="0" w:color="auto"/>
        <w:left w:val="none" w:sz="0" w:space="0" w:color="auto"/>
        <w:bottom w:val="none" w:sz="0" w:space="0" w:color="auto"/>
        <w:right w:val="none" w:sz="0" w:space="0" w:color="auto"/>
      </w:divBdr>
    </w:div>
    <w:div w:id="2033845407">
      <w:bodyDiv w:val="1"/>
      <w:marLeft w:val="0"/>
      <w:marRight w:val="0"/>
      <w:marTop w:val="0"/>
      <w:marBottom w:val="0"/>
      <w:divBdr>
        <w:top w:val="none" w:sz="0" w:space="0" w:color="auto"/>
        <w:left w:val="none" w:sz="0" w:space="0" w:color="auto"/>
        <w:bottom w:val="none" w:sz="0" w:space="0" w:color="auto"/>
        <w:right w:val="none" w:sz="0" w:space="0" w:color="auto"/>
      </w:divBdr>
    </w:div>
    <w:div w:id="2034501937">
      <w:bodyDiv w:val="1"/>
      <w:marLeft w:val="0"/>
      <w:marRight w:val="0"/>
      <w:marTop w:val="0"/>
      <w:marBottom w:val="0"/>
      <w:divBdr>
        <w:top w:val="none" w:sz="0" w:space="0" w:color="auto"/>
        <w:left w:val="none" w:sz="0" w:space="0" w:color="auto"/>
        <w:bottom w:val="none" w:sz="0" w:space="0" w:color="auto"/>
        <w:right w:val="none" w:sz="0" w:space="0" w:color="auto"/>
      </w:divBdr>
    </w:div>
    <w:div w:id="2034651085">
      <w:bodyDiv w:val="1"/>
      <w:marLeft w:val="0"/>
      <w:marRight w:val="0"/>
      <w:marTop w:val="0"/>
      <w:marBottom w:val="0"/>
      <w:divBdr>
        <w:top w:val="none" w:sz="0" w:space="0" w:color="auto"/>
        <w:left w:val="none" w:sz="0" w:space="0" w:color="auto"/>
        <w:bottom w:val="none" w:sz="0" w:space="0" w:color="auto"/>
        <w:right w:val="none" w:sz="0" w:space="0" w:color="auto"/>
      </w:divBdr>
    </w:div>
    <w:div w:id="2037122028">
      <w:bodyDiv w:val="1"/>
      <w:marLeft w:val="0"/>
      <w:marRight w:val="0"/>
      <w:marTop w:val="0"/>
      <w:marBottom w:val="0"/>
      <w:divBdr>
        <w:top w:val="none" w:sz="0" w:space="0" w:color="auto"/>
        <w:left w:val="none" w:sz="0" w:space="0" w:color="auto"/>
        <w:bottom w:val="none" w:sz="0" w:space="0" w:color="auto"/>
        <w:right w:val="none" w:sz="0" w:space="0" w:color="auto"/>
      </w:divBdr>
    </w:div>
    <w:div w:id="2045666221">
      <w:bodyDiv w:val="1"/>
      <w:marLeft w:val="0"/>
      <w:marRight w:val="0"/>
      <w:marTop w:val="0"/>
      <w:marBottom w:val="0"/>
      <w:divBdr>
        <w:top w:val="none" w:sz="0" w:space="0" w:color="auto"/>
        <w:left w:val="none" w:sz="0" w:space="0" w:color="auto"/>
        <w:bottom w:val="none" w:sz="0" w:space="0" w:color="auto"/>
        <w:right w:val="none" w:sz="0" w:space="0" w:color="auto"/>
      </w:divBdr>
    </w:div>
    <w:div w:id="2048020567">
      <w:bodyDiv w:val="1"/>
      <w:marLeft w:val="0"/>
      <w:marRight w:val="0"/>
      <w:marTop w:val="0"/>
      <w:marBottom w:val="0"/>
      <w:divBdr>
        <w:top w:val="none" w:sz="0" w:space="0" w:color="auto"/>
        <w:left w:val="none" w:sz="0" w:space="0" w:color="auto"/>
        <w:bottom w:val="none" w:sz="0" w:space="0" w:color="auto"/>
        <w:right w:val="none" w:sz="0" w:space="0" w:color="auto"/>
      </w:divBdr>
    </w:div>
    <w:div w:id="2049795965">
      <w:bodyDiv w:val="1"/>
      <w:marLeft w:val="0"/>
      <w:marRight w:val="0"/>
      <w:marTop w:val="0"/>
      <w:marBottom w:val="0"/>
      <w:divBdr>
        <w:top w:val="none" w:sz="0" w:space="0" w:color="auto"/>
        <w:left w:val="none" w:sz="0" w:space="0" w:color="auto"/>
        <w:bottom w:val="none" w:sz="0" w:space="0" w:color="auto"/>
        <w:right w:val="none" w:sz="0" w:space="0" w:color="auto"/>
      </w:divBdr>
    </w:div>
    <w:div w:id="2051297644">
      <w:bodyDiv w:val="1"/>
      <w:marLeft w:val="0"/>
      <w:marRight w:val="0"/>
      <w:marTop w:val="0"/>
      <w:marBottom w:val="0"/>
      <w:divBdr>
        <w:top w:val="none" w:sz="0" w:space="0" w:color="auto"/>
        <w:left w:val="none" w:sz="0" w:space="0" w:color="auto"/>
        <w:bottom w:val="none" w:sz="0" w:space="0" w:color="auto"/>
        <w:right w:val="none" w:sz="0" w:space="0" w:color="auto"/>
      </w:divBdr>
    </w:div>
    <w:div w:id="2052798582">
      <w:bodyDiv w:val="1"/>
      <w:marLeft w:val="0"/>
      <w:marRight w:val="0"/>
      <w:marTop w:val="0"/>
      <w:marBottom w:val="0"/>
      <w:divBdr>
        <w:top w:val="none" w:sz="0" w:space="0" w:color="auto"/>
        <w:left w:val="none" w:sz="0" w:space="0" w:color="auto"/>
        <w:bottom w:val="none" w:sz="0" w:space="0" w:color="auto"/>
        <w:right w:val="none" w:sz="0" w:space="0" w:color="auto"/>
      </w:divBdr>
    </w:div>
    <w:div w:id="2062317890">
      <w:bodyDiv w:val="1"/>
      <w:marLeft w:val="0"/>
      <w:marRight w:val="0"/>
      <w:marTop w:val="0"/>
      <w:marBottom w:val="0"/>
      <w:divBdr>
        <w:top w:val="none" w:sz="0" w:space="0" w:color="auto"/>
        <w:left w:val="none" w:sz="0" w:space="0" w:color="auto"/>
        <w:bottom w:val="none" w:sz="0" w:space="0" w:color="auto"/>
        <w:right w:val="none" w:sz="0" w:space="0" w:color="auto"/>
      </w:divBdr>
    </w:div>
    <w:div w:id="2063476857">
      <w:bodyDiv w:val="1"/>
      <w:marLeft w:val="0"/>
      <w:marRight w:val="0"/>
      <w:marTop w:val="0"/>
      <w:marBottom w:val="0"/>
      <w:divBdr>
        <w:top w:val="none" w:sz="0" w:space="0" w:color="auto"/>
        <w:left w:val="none" w:sz="0" w:space="0" w:color="auto"/>
        <w:bottom w:val="none" w:sz="0" w:space="0" w:color="auto"/>
        <w:right w:val="none" w:sz="0" w:space="0" w:color="auto"/>
      </w:divBdr>
    </w:div>
    <w:div w:id="2065593499">
      <w:bodyDiv w:val="1"/>
      <w:marLeft w:val="0"/>
      <w:marRight w:val="0"/>
      <w:marTop w:val="0"/>
      <w:marBottom w:val="0"/>
      <w:divBdr>
        <w:top w:val="none" w:sz="0" w:space="0" w:color="auto"/>
        <w:left w:val="none" w:sz="0" w:space="0" w:color="auto"/>
        <w:bottom w:val="none" w:sz="0" w:space="0" w:color="auto"/>
        <w:right w:val="none" w:sz="0" w:space="0" w:color="auto"/>
      </w:divBdr>
    </w:div>
    <w:div w:id="2065712287">
      <w:bodyDiv w:val="1"/>
      <w:marLeft w:val="0"/>
      <w:marRight w:val="0"/>
      <w:marTop w:val="0"/>
      <w:marBottom w:val="0"/>
      <w:divBdr>
        <w:top w:val="none" w:sz="0" w:space="0" w:color="auto"/>
        <w:left w:val="none" w:sz="0" w:space="0" w:color="auto"/>
        <w:bottom w:val="none" w:sz="0" w:space="0" w:color="auto"/>
        <w:right w:val="none" w:sz="0" w:space="0" w:color="auto"/>
      </w:divBdr>
    </w:div>
    <w:div w:id="2068726150">
      <w:bodyDiv w:val="1"/>
      <w:marLeft w:val="0"/>
      <w:marRight w:val="0"/>
      <w:marTop w:val="0"/>
      <w:marBottom w:val="0"/>
      <w:divBdr>
        <w:top w:val="none" w:sz="0" w:space="0" w:color="auto"/>
        <w:left w:val="none" w:sz="0" w:space="0" w:color="auto"/>
        <w:bottom w:val="none" w:sz="0" w:space="0" w:color="auto"/>
        <w:right w:val="none" w:sz="0" w:space="0" w:color="auto"/>
      </w:divBdr>
    </w:div>
    <w:div w:id="2072582139">
      <w:bodyDiv w:val="1"/>
      <w:marLeft w:val="0"/>
      <w:marRight w:val="0"/>
      <w:marTop w:val="0"/>
      <w:marBottom w:val="0"/>
      <w:divBdr>
        <w:top w:val="none" w:sz="0" w:space="0" w:color="auto"/>
        <w:left w:val="none" w:sz="0" w:space="0" w:color="auto"/>
        <w:bottom w:val="none" w:sz="0" w:space="0" w:color="auto"/>
        <w:right w:val="none" w:sz="0" w:space="0" w:color="auto"/>
      </w:divBdr>
    </w:div>
    <w:div w:id="2073380111">
      <w:bodyDiv w:val="1"/>
      <w:marLeft w:val="0"/>
      <w:marRight w:val="0"/>
      <w:marTop w:val="0"/>
      <w:marBottom w:val="0"/>
      <w:divBdr>
        <w:top w:val="none" w:sz="0" w:space="0" w:color="auto"/>
        <w:left w:val="none" w:sz="0" w:space="0" w:color="auto"/>
        <w:bottom w:val="none" w:sz="0" w:space="0" w:color="auto"/>
        <w:right w:val="none" w:sz="0" w:space="0" w:color="auto"/>
      </w:divBdr>
    </w:div>
    <w:div w:id="2074115789">
      <w:bodyDiv w:val="1"/>
      <w:marLeft w:val="0"/>
      <w:marRight w:val="0"/>
      <w:marTop w:val="0"/>
      <w:marBottom w:val="0"/>
      <w:divBdr>
        <w:top w:val="none" w:sz="0" w:space="0" w:color="auto"/>
        <w:left w:val="none" w:sz="0" w:space="0" w:color="auto"/>
        <w:bottom w:val="none" w:sz="0" w:space="0" w:color="auto"/>
        <w:right w:val="none" w:sz="0" w:space="0" w:color="auto"/>
      </w:divBdr>
    </w:div>
    <w:div w:id="2074234810">
      <w:bodyDiv w:val="1"/>
      <w:marLeft w:val="0"/>
      <w:marRight w:val="0"/>
      <w:marTop w:val="0"/>
      <w:marBottom w:val="0"/>
      <w:divBdr>
        <w:top w:val="none" w:sz="0" w:space="0" w:color="auto"/>
        <w:left w:val="none" w:sz="0" w:space="0" w:color="auto"/>
        <w:bottom w:val="none" w:sz="0" w:space="0" w:color="auto"/>
        <w:right w:val="none" w:sz="0" w:space="0" w:color="auto"/>
      </w:divBdr>
    </w:div>
    <w:div w:id="2078046221">
      <w:bodyDiv w:val="1"/>
      <w:marLeft w:val="0"/>
      <w:marRight w:val="0"/>
      <w:marTop w:val="0"/>
      <w:marBottom w:val="0"/>
      <w:divBdr>
        <w:top w:val="none" w:sz="0" w:space="0" w:color="auto"/>
        <w:left w:val="none" w:sz="0" w:space="0" w:color="auto"/>
        <w:bottom w:val="none" w:sz="0" w:space="0" w:color="auto"/>
        <w:right w:val="none" w:sz="0" w:space="0" w:color="auto"/>
      </w:divBdr>
    </w:div>
    <w:div w:id="2079549517">
      <w:bodyDiv w:val="1"/>
      <w:marLeft w:val="0"/>
      <w:marRight w:val="0"/>
      <w:marTop w:val="0"/>
      <w:marBottom w:val="0"/>
      <w:divBdr>
        <w:top w:val="none" w:sz="0" w:space="0" w:color="auto"/>
        <w:left w:val="none" w:sz="0" w:space="0" w:color="auto"/>
        <w:bottom w:val="none" w:sz="0" w:space="0" w:color="auto"/>
        <w:right w:val="none" w:sz="0" w:space="0" w:color="auto"/>
      </w:divBdr>
    </w:div>
    <w:div w:id="2080444701">
      <w:bodyDiv w:val="1"/>
      <w:marLeft w:val="0"/>
      <w:marRight w:val="0"/>
      <w:marTop w:val="0"/>
      <w:marBottom w:val="0"/>
      <w:divBdr>
        <w:top w:val="none" w:sz="0" w:space="0" w:color="auto"/>
        <w:left w:val="none" w:sz="0" w:space="0" w:color="auto"/>
        <w:bottom w:val="none" w:sz="0" w:space="0" w:color="auto"/>
        <w:right w:val="none" w:sz="0" w:space="0" w:color="auto"/>
      </w:divBdr>
    </w:div>
    <w:div w:id="2081250505">
      <w:bodyDiv w:val="1"/>
      <w:marLeft w:val="0"/>
      <w:marRight w:val="0"/>
      <w:marTop w:val="0"/>
      <w:marBottom w:val="0"/>
      <w:divBdr>
        <w:top w:val="none" w:sz="0" w:space="0" w:color="auto"/>
        <w:left w:val="none" w:sz="0" w:space="0" w:color="auto"/>
        <w:bottom w:val="none" w:sz="0" w:space="0" w:color="auto"/>
        <w:right w:val="none" w:sz="0" w:space="0" w:color="auto"/>
      </w:divBdr>
    </w:div>
    <w:div w:id="2081904051">
      <w:bodyDiv w:val="1"/>
      <w:marLeft w:val="0"/>
      <w:marRight w:val="0"/>
      <w:marTop w:val="0"/>
      <w:marBottom w:val="0"/>
      <w:divBdr>
        <w:top w:val="none" w:sz="0" w:space="0" w:color="auto"/>
        <w:left w:val="none" w:sz="0" w:space="0" w:color="auto"/>
        <w:bottom w:val="none" w:sz="0" w:space="0" w:color="auto"/>
        <w:right w:val="none" w:sz="0" w:space="0" w:color="auto"/>
      </w:divBdr>
    </w:div>
    <w:div w:id="2085296654">
      <w:bodyDiv w:val="1"/>
      <w:marLeft w:val="0"/>
      <w:marRight w:val="0"/>
      <w:marTop w:val="0"/>
      <w:marBottom w:val="0"/>
      <w:divBdr>
        <w:top w:val="none" w:sz="0" w:space="0" w:color="auto"/>
        <w:left w:val="none" w:sz="0" w:space="0" w:color="auto"/>
        <w:bottom w:val="none" w:sz="0" w:space="0" w:color="auto"/>
        <w:right w:val="none" w:sz="0" w:space="0" w:color="auto"/>
      </w:divBdr>
    </w:div>
    <w:div w:id="2086762650">
      <w:bodyDiv w:val="1"/>
      <w:marLeft w:val="0"/>
      <w:marRight w:val="0"/>
      <w:marTop w:val="0"/>
      <w:marBottom w:val="0"/>
      <w:divBdr>
        <w:top w:val="none" w:sz="0" w:space="0" w:color="auto"/>
        <w:left w:val="none" w:sz="0" w:space="0" w:color="auto"/>
        <w:bottom w:val="none" w:sz="0" w:space="0" w:color="auto"/>
        <w:right w:val="none" w:sz="0" w:space="0" w:color="auto"/>
      </w:divBdr>
    </w:div>
    <w:div w:id="2086800542">
      <w:bodyDiv w:val="1"/>
      <w:marLeft w:val="0"/>
      <w:marRight w:val="0"/>
      <w:marTop w:val="0"/>
      <w:marBottom w:val="0"/>
      <w:divBdr>
        <w:top w:val="none" w:sz="0" w:space="0" w:color="auto"/>
        <w:left w:val="none" w:sz="0" w:space="0" w:color="auto"/>
        <w:bottom w:val="none" w:sz="0" w:space="0" w:color="auto"/>
        <w:right w:val="none" w:sz="0" w:space="0" w:color="auto"/>
      </w:divBdr>
    </w:div>
    <w:div w:id="2088575535">
      <w:bodyDiv w:val="1"/>
      <w:marLeft w:val="0"/>
      <w:marRight w:val="0"/>
      <w:marTop w:val="0"/>
      <w:marBottom w:val="0"/>
      <w:divBdr>
        <w:top w:val="none" w:sz="0" w:space="0" w:color="auto"/>
        <w:left w:val="none" w:sz="0" w:space="0" w:color="auto"/>
        <w:bottom w:val="none" w:sz="0" w:space="0" w:color="auto"/>
        <w:right w:val="none" w:sz="0" w:space="0" w:color="auto"/>
      </w:divBdr>
    </w:div>
    <w:div w:id="2093772501">
      <w:bodyDiv w:val="1"/>
      <w:marLeft w:val="0"/>
      <w:marRight w:val="0"/>
      <w:marTop w:val="0"/>
      <w:marBottom w:val="0"/>
      <w:divBdr>
        <w:top w:val="none" w:sz="0" w:space="0" w:color="auto"/>
        <w:left w:val="none" w:sz="0" w:space="0" w:color="auto"/>
        <w:bottom w:val="none" w:sz="0" w:space="0" w:color="auto"/>
        <w:right w:val="none" w:sz="0" w:space="0" w:color="auto"/>
      </w:divBdr>
    </w:div>
    <w:div w:id="2095585144">
      <w:bodyDiv w:val="1"/>
      <w:marLeft w:val="0"/>
      <w:marRight w:val="0"/>
      <w:marTop w:val="0"/>
      <w:marBottom w:val="0"/>
      <w:divBdr>
        <w:top w:val="none" w:sz="0" w:space="0" w:color="auto"/>
        <w:left w:val="none" w:sz="0" w:space="0" w:color="auto"/>
        <w:bottom w:val="none" w:sz="0" w:space="0" w:color="auto"/>
        <w:right w:val="none" w:sz="0" w:space="0" w:color="auto"/>
      </w:divBdr>
    </w:div>
    <w:div w:id="2095777728">
      <w:bodyDiv w:val="1"/>
      <w:marLeft w:val="0"/>
      <w:marRight w:val="0"/>
      <w:marTop w:val="0"/>
      <w:marBottom w:val="0"/>
      <w:divBdr>
        <w:top w:val="none" w:sz="0" w:space="0" w:color="auto"/>
        <w:left w:val="none" w:sz="0" w:space="0" w:color="auto"/>
        <w:bottom w:val="none" w:sz="0" w:space="0" w:color="auto"/>
        <w:right w:val="none" w:sz="0" w:space="0" w:color="auto"/>
      </w:divBdr>
    </w:div>
    <w:div w:id="2097045902">
      <w:bodyDiv w:val="1"/>
      <w:marLeft w:val="0"/>
      <w:marRight w:val="0"/>
      <w:marTop w:val="0"/>
      <w:marBottom w:val="0"/>
      <w:divBdr>
        <w:top w:val="none" w:sz="0" w:space="0" w:color="auto"/>
        <w:left w:val="none" w:sz="0" w:space="0" w:color="auto"/>
        <w:bottom w:val="none" w:sz="0" w:space="0" w:color="auto"/>
        <w:right w:val="none" w:sz="0" w:space="0" w:color="auto"/>
      </w:divBdr>
    </w:div>
    <w:div w:id="2097163865">
      <w:bodyDiv w:val="1"/>
      <w:marLeft w:val="0"/>
      <w:marRight w:val="0"/>
      <w:marTop w:val="0"/>
      <w:marBottom w:val="0"/>
      <w:divBdr>
        <w:top w:val="none" w:sz="0" w:space="0" w:color="auto"/>
        <w:left w:val="none" w:sz="0" w:space="0" w:color="auto"/>
        <w:bottom w:val="none" w:sz="0" w:space="0" w:color="auto"/>
        <w:right w:val="none" w:sz="0" w:space="0" w:color="auto"/>
      </w:divBdr>
    </w:div>
    <w:div w:id="2097433386">
      <w:bodyDiv w:val="1"/>
      <w:marLeft w:val="0"/>
      <w:marRight w:val="0"/>
      <w:marTop w:val="0"/>
      <w:marBottom w:val="0"/>
      <w:divBdr>
        <w:top w:val="none" w:sz="0" w:space="0" w:color="auto"/>
        <w:left w:val="none" w:sz="0" w:space="0" w:color="auto"/>
        <w:bottom w:val="none" w:sz="0" w:space="0" w:color="auto"/>
        <w:right w:val="none" w:sz="0" w:space="0" w:color="auto"/>
      </w:divBdr>
    </w:div>
    <w:div w:id="2098091912">
      <w:bodyDiv w:val="1"/>
      <w:marLeft w:val="0"/>
      <w:marRight w:val="0"/>
      <w:marTop w:val="0"/>
      <w:marBottom w:val="0"/>
      <w:divBdr>
        <w:top w:val="none" w:sz="0" w:space="0" w:color="auto"/>
        <w:left w:val="none" w:sz="0" w:space="0" w:color="auto"/>
        <w:bottom w:val="none" w:sz="0" w:space="0" w:color="auto"/>
        <w:right w:val="none" w:sz="0" w:space="0" w:color="auto"/>
      </w:divBdr>
    </w:div>
    <w:div w:id="2099591971">
      <w:bodyDiv w:val="1"/>
      <w:marLeft w:val="0"/>
      <w:marRight w:val="0"/>
      <w:marTop w:val="0"/>
      <w:marBottom w:val="0"/>
      <w:divBdr>
        <w:top w:val="none" w:sz="0" w:space="0" w:color="auto"/>
        <w:left w:val="none" w:sz="0" w:space="0" w:color="auto"/>
        <w:bottom w:val="none" w:sz="0" w:space="0" w:color="auto"/>
        <w:right w:val="none" w:sz="0" w:space="0" w:color="auto"/>
      </w:divBdr>
    </w:div>
    <w:div w:id="2101639990">
      <w:bodyDiv w:val="1"/>
      <w:marLeft w:val="0"/>
      <w:marRight w:val="0"/>
      <w:marTop w:val="0"/>
      <w:marBottom w:val="0"/>
      <w:divBdr>
        <w:top w:val="none" w:sz="0" w:space="0" w:color="auto"/>
        <w:left w:val="none" w:sz="0" w:space="0" w:color="auto"/>
        <w:bottom w:val="none" w:sz="0" w:space="0" w:color="auto"/>
        <w:right w:val="none" w:sz="0" w:space="0" w:color="auto"/>
      </w:divBdr>
      <w:divsChild>
        <w:div w:id="130949609">
          <w:marLeft w:val="0"/>
          <w:marRight w:val="0"/>
          <w:marTop w:val="66"/>
          <w:marBottom w:val="0"/>
          <w:divBdr>
            <w:top w:val="none" w:sz="0" w:space="0" w:color="auto"/>
            <w:left w:val="none" w:sz="0" w:space="0" w:color="auto"/>
            <w:bottom w:val="none" w:sz="0" w:space="0" w:color="auto"/>
            <w:right w:val="none" w:sz="0" w:space="0" w:color="auto"/>
          </w:divBdr>
        </w:div>
      </w:divsChild>
    </w:div>
    <w:div w:id="2101948612">
      <w:bodyDiv w:val="1"/>
      <w:marLeft w:val="0"/>
      <w:marRight w:val="0"/>
      <w:marTop w:val="0"/>
      <w:marBottom w:val="0"/>
      <w:divBdr>
        <w:top w:val="none" w:sz="0" w:space="0" w:color="auto"/>
        <w:left w:val="none" w:sz="0" w:space="0" w:color="auto"/>
        <w:bottom w:val="none" w:sz="0" w:space="0" w:color="auto"/>
        <w:right w:val="none" w:sz="0" w:space="0" w:color="auto"/>
      </w:divBdr>
    </w:div>
    <w:div w:id="2105374497">
      <w:bodyDiv w:val="1"/>
      <w:marLeft w:val="0"/>
      <w:marRight w:val="0"/>
      <w:marTop w:val="0"/>
      <w:marBottom w:val="0"/>
      <w:divBdr>
        <w:top w:val="none" w:sz="0" w:space="0" w:color="auto"/>
        <w:left w:val="none" w:sz="0" w:space="0" w:color="auto"/>
        <w:bottom w:val="none" w:sz="0" w:space="0" w:color="auto"/>
        <w:right w:val="none" w:sz="0" w:space="0" w:color="auto"/>
      </w:divBdr>
    </w:div>
    <w:div w:id="2105952818">
      <w:bodyDiv w:val="1"/>
      <w:marLeft w:val="0"/>
      <w:marRight w:val="0"/>
      <w:marTop w:val="0"/>
      <w:marBottom w:val="0"/>
      <w:divBdr>
        <w:top w:val="none" w:sz="0" w:space="0" w:color="auto"/>
        <w:left w:val="none" w:sz="0" w:space="0" w:color="auto"/>
        <w:bottom w:val="none" w:sz="0" w:space="0" w:color="auto"/>
        <w:right w:val="none" w:sz="0" w:space="0" w:color="auto"/>
      </w:divBdr>
    </w:div>
    <w:div w:id="2109345937">
      <w:bodyDiv w:val="1"/>
      <w:marLeft w:val="0"/>
      <w:marRight w:val="0"/>
      <w:marTop w:val="0"/>
      <w:marBottom w:val="0"/>
      <w:divBdr>
        <w:top w:val="none" w:sz="0" w:space="0" w:color="auto"/>
        <w:left w:val="none" w:sz="0" w:space="0" w:color="auto"/>
        <w:bottom w:val="none" w:sz="0" w:space="0" w:color="auto"/>
        <w:right w:val="none" w:sz="0" w:space="0" w:color="auto"/>
      </w:divBdr>
    </w:div>
    <w:div w:id="2111269579">
      <w:bodyDiv w:val="1"/>
      <w:marLeft w:val="0"/>
      <w:marRight w:val="0"/>
      <w:marTop w:val="0"/>
      <w:marBottom w:val="0"/>
      <w:divBdr>
        <w:top w:val="none" w:sz="0" w:space="0" w:color="auto"/>
        <w:left w:val="none" w:sz="0" w:space="0" w:color="auto"/>
        <w:bottom w:val="none" w:sz="0" w:space="0" w:color="auto"/>
        <w:right w:val="none" w:sz="0" w:space="0" w:color="auto"/>
      </w:divBdr>
    </w:div>
    <w:div w:id="2114086754">
      <w:bodyDiv w:val="1"/>
      <w:marLeft w:val="0"/>
      <w:marRight w:val="0"/>
      <w:marTop w:val="0"/>
      <w:marBottom w:val="0"/>
      <w:divBdr>
        <w:top w:val="none" w:sz="0" w:space="0" w:color="auto"/>
        <w:left w:val="none" w:sz="0" w:space="0" w:color="auto"/>
        <w:bottom w:val="none" w:sz="0" w:space="0" w:color="auto"/>
        <w:right w:val="none" w:sz="0" w:space="0" w:color="auto"/>
      </w:divBdr>
    </w:div>
    <w:div w:id="2117754068">
      <w:bodyDiv w:val="1"/>
      <w:marLeft w:val="0"/>
      <w:marRight w:val="0"/>
      <w:marTop w:val="0"/>
      <w:marBottom w:val="0"/>
      <w:divBdr>
        <w:top w:val="none" w:sz="0" w:space="0" w:color="auto"/>
        <w:left w:val="none" w:sz="0" w:space="0" w:color="auto"/>
        <w:bottom w:val="none" w:sz="0" w:space="0" w:color="auto"/>
        <w:right w:val="none" w:sz="0" w:space="0" w:color="auto"/>
      </w:divBdr>
    </w:div>
    <w:div w:id="2119830950">
      <w:bodyDiv w:val="1"/>
      <w:marLeft w:val="0"/>
      <w:marRight w:val="0"/>
      <w:marTop w:val="0"/>
      <w:marBottom w:val="0"/>
      <w:divBdr>
        <w:top w:val="none" w:sz="0" w:space="0" w:color="auto"/>
        <w:left w:val="none" w:sz="0" w:space="0" w:color="auto"/>
        <w:bottom w:val="none" w:sz="0" w:space="0" w:color="auto"/>
        <w:right w:val="none" w:sz="0" w:space="0" w:color="auto"/>
      </w:divBdr>
    </w:div>
    <w:div w:id="2120221325">
      <w:bodyDiv w:val="1"/>
      <w:marLeft w:val="0"/>
      <w:marRight w:val="0"/>
      <w:marTop w:val="0"/>
      <w:marBottom w:val="0"/>
      <w:divBdr>
        <w:top w:val="none" w:sz="0" w:space="0" w:color="auto"/>
        <w:left w:val="none" w:sz="0" w:space="0" w:color="auto"/>
        <w:bottom w:val="none" w:sz="0" w:space="0" w:color="auto"/>
        <w:right w:val="none" w:sz="0" w:space="0" w:color="auto"/>
      </w:divBdr>
    </w:div>
    <w:div w:id="2121953290">
      <w:bodyDiv w:val="1"/>
      <w:marLeft w:val="0"/>
      <w:marRight w:val="0"/>
      <w:marTop w:val="0"/>
      <w:marBottom w:val="0"/>
      <w:divBdr>
        <w:top w:val="none" w:sz="0" w:space="0" w:color="auto"/>
        <w:left w:val="none" w:sz="0" w:space="0" w:color="auto"/>
        <w:bottom w:val="none" w:sz="0" w:space="0" w:color="auto"/>
        <w:right w:val="none" w:sz="0" w:space="0" w:color="auto"/>
      </w:divBdr>
    </w:div>
    <w:div w:id="2123766959">
      <w:bodyDiv w:val="1"/>
      <w:marLeft w:val="0"/>
      <w:marRight w:val="0"/>
      <w:marTop w:val="0"/>
      <w:marBottom w:val="0"/>
      <w:divBdr>
        <w:top w:val="none" w:sz="0" w:space="0" w:color="auto"/>
        <w:left w:val="none" w:sz="0" w:space="0" w:color="auto"/>
        <w:bottom w:val="none" w:sz="0" w:space="0" w:color="auto"/>
        <w:right w:val="none" w:sz="0" w:space="0" w:color="auto"/>
      </w:divBdr>
    </w:div>
    <w:div w:id="2126728985">
      <w:bodyDiv w:val="1"/>
      <w:marLeft w:val="0"/>
      <w:marRight w:val="0"/>
      <w:marTop w:val="0"/>
      <w:marBottom w:val="0"/>
      <w:divBdr>
        <w:top w:val="none" w:sz="0" w:space="0" w:color="auto"/>
        <w:left w:val="none" w:sz="0" w:space="0" w:color="auto"/>
        <w:bottom w:val="none" w:sz="0" w:space="0" w:color="auto"/>
        <w:right w:val="none" w:sz="0" w:space="0" w:color="auto"/>
      </w:divBdr>
    </w:div>
    <w:div w:id="2128349032">
      <w:bodyDiv w:val="1"/>
      <w:marLeft w:val="0"/>
      <w:marRight w:val="0"/>
      <w:marTop w:val="0"/>
      <w:marBottom w:val="0"/>
      <w:divBdr>
        <w:top w:val="none" w:sz="0" w:space="0" w:color="auto"/>
        <w:left w:val="none" w:sz="0" w:space="0" w:color="auto"/>
        <w:bottom w:val="none" w:sz="0" w:space="0" w:color="auto"/>
        <w:right w:val="none" w:sz="0" w:space="0" w:color="auto"/>
      </w:divBdr>
      <w:divsChild>
        <w:div w:id="1422222219">
          <w:marLeft w:val="0"/>
          <w:marRight w:val="0"/>
          <w:marTop w:val="0"/>
          <w:marBottom w:val="0"/>
          <w:divBdr>
            <w:top w:val="none" w:sz="0" w:space="0" w:color="auto"/>
            <w:left w:val="none" w:sz="0" w:space="0" w:color="auto"/>
            <w:bottom w:val="none" w:sz="0" w:space="0" w:color="auto"/>
            <w:right w:val="none" w:sz="0" w:space="0" w:color="auto"/>
          </w:divBdr>
        </w:div>
      </w:divsChild>
    </w:div>
    <w:div w:id="2131968172">
      <w:bodyDiv w:val="1"/>
      <w:marLeft w:val="0"/>
      <w:marRight w:val="0"/>
      <w:marTop w:val="0"/>
      <w:marBottom w:val="0"/>
      <w:divBdr>
        <w:top w:val="none" w:sz="0" w:space="0" w:color="auto"/>
        <w:left w:val="none" w:sz="0" w:space="0" w:color="auto"/>
        <w:bottom w:val="none" w:sz="0" w:space="0" w:color="auto"/>
        <w:right w:val="none" w:sz="0" w:space="0" w:color="auto"/>
      </w:divBdr>
    </w:div>
    <w:div w:id="2133547276">
      <w:bodyDiv w:val="1"/>
      <w:marLeft w:val="0"/>
      <w:marRight w:val="0"/>
      <w:marTop w:val="0"/>
      <w:marBottom w:val="0"/>
      <w:divBdr>
        <w:top w:val="none" w:sz="0" w:space="0" w:color="auto"/>
        <w:left w:val="none" w:sz="0" w:space="0" w:color="auto"/>
        <w:bottom w:val="none" w:sz="0" w:space="0" w:color="auto"/>
        <w:right w:val="none" w:sz="0" w:space="0" w:color="auto"/>
      </w:divBdr>
    </w:div>
    <w:div w:id="2135056815">
      <w:bodyDiv w:val="1"/>
      <w:marLeft w:val="0"/>
      <w:marRight w:val="0"/>
      <w:marTop w:val="0"/>
      <w:marBottom w:val="0"/>
      <w:divBdr>
        <w:top w:val="none" w:sz="0" w:space="0" w:color="auto"/>
        <w:left w:val="none" w:sz="0" w:space="0" w:color="auto"/>
        <w:bottom w:val="none" w:sz="0" w:space="0" w:color="auto"/>
        <w:right w:val="none" w:sz="0" w:space="0" w:color="auto"/>
      </w:divBdr>
    </w:div>
    <w:div w:id="2136561380">
      <w:bodyDiv w:val="1"/>
      <w:marLeft w:val="0"/>
      <w:marRight w:val="0"/>
      <w:marTop w:val="0"/>
      <w:marBottom w:val="0"/>
      <w:divBdr>
        <w:top w:val="none" w:sz="0" w:space="0" w:color="auto"/>
        <w:left w:val="none" w:sz="0" w:space="0" w:color="auto"/>
        <w:bottom w:val="none" w:sz="0" w:space="0" w:color="auto"/>
        <w:right w:val="none" w:sz="0" w:space="0" w:color="auto"/>
      </w:divBdr>
    </w:div>
    <w:div w:id="2138135807">
      <w:bodyDiv w:val="1"/>
      <w:marLeft w:val="0"/>
      <w:marRight w:val="0"/>
      <w:marTop w:val="0"/>
      <w:marBottom w:val="0"/>
      <w:divBdr>
        <w:top w:val="none" w:sz="0" w:space="0" w:color="auto"/>
        <w:left w:val="none" w:sz="0" w:space="0" w:color="auto"/>
        <w:bottom w:val="none" w:sz="0" w:space="0" w:color="auto"/>
        <w:right w:val="none" w:sz="0" w:space="0" w:color="auto"/>
      </w:divBdr>
    </w:div>
    <w:div w:id="2138376360">
      <w:bodyDiv w:val="1"/>
      <w:marLeft w:val="0"/>
      <w:marRight w:val="0"/>
      <w:marTop w:val="0"/>
      <w:marBottom w:val="0"/>
      <w:divBdr>
        <w:top w:val="none" w:sz="0" w:space="0" w:color="auto"/>
        <w:left w:val="none" w:sz="0" w:space="0" w:color="auto"/>
        <w:bottom w:val="none" w:sz="0" w:space="0" w:color="auto"/>
        <w:right w:val="none" w:sz="0" w:space="0" w:color="auto"/>
      </w:divBdr>
    </w:div>
    <w:div w:id="2138719973">
      <w:bodyDiv w:val="1"/>
      <w:marLeft w:val="0"/>
      <w:marRight w:val="0"/>
      <w:marTop w:val="0"/>
      <w:marBottom w:val="0"/>
      <w:divBdr>
        <w:top w:val="none" w:sz="0" w:space="0" w:color="auto"/>
        <w:left w:val="none" w:sz="0" w:space="0" w:color="auto"/>
        <w:bottom w:val="none" w:sz="0" w:space="0" w:color="auto"/>
        <w:right w:val="none" w:sz="0" w:space="0" w:color="auto"/>
      </w:divBdr>
    </w:div>
    <w:div w:id="2138722406">
      <w:bodyDiv w:val="1"/>
      <w:marLeft w:val="0"/>
      <w:marRight w:val="0"/>
      <w:marTop w:val="0"/>
      <w:marBottom w:val="0"/>
      <w:divBdr>
        <w:top w:val="none" w:sz="0" w:space="0" w:color="auto"/>
        <w:left w:val="none" w:sz="0" w:space="0" w:color="auto"/>
        <w:bottom w:val="none" w:sz="0" w:space="0" w:color="auto"/>
        <w:right w:val="none" w:sz="0" w:space="0" w:color="auto"/>
      </w:divBdr>
    </w:div>
    <w:div w:id="2140108535">
      <w:bodyDiv w:val="1"/>
      <w:marLeft w:val="0"/>
      <w:marRight w:val="0"/>
      <w:marTop w:val="0"/>
      <w:marBottom w:val="0"/>
      <w:divBdr>
        <w:top w:val="none" w:sz="0" w:space="0" w:color="auto"/>
        <w:left w:val="none" w:sz="0" w:space="0" w:color="auto"/>
        <w:bottom w:val="none" w:sz="0" w:space="0" w:color="auto"/>
        <w:right w:val="none" w:sz="0" w:space="0" w:color="auto"/>
      </w:divBdr>
    </w:div>
    <w:div w:id="2142841665">
      <w:bodyDiv w:val="1"/>
      <w:marLeft w:val="0"/>
      <w:marRight w:val="0"/>
      <w:marTop w:val="0"/>
      <w:marBottom w:val="0"/>
      <w:divBdr>
        <w:top w:val="none" w:sz="0" w:space="0" w:color="auto"/>
        <w:left w:val="none" w:sz="0" w:space="0" w:color="auto"/>
        <w:bottom w:val="none" w:sz="0" w:space="0" w:color="auto"/>
        <w:right w:val="none" w:sz="0" w:space="0" w:color="auto"/>
      </w:divBdr>
    </w:div>
    <w:div w:id="2145611546">
      <w:bodyDiv w:val="1"/>
      <w:marLeft w:val="0"/>
      <w:marRight w:val="0"/>
      <w:marTop w:val="0"/>
      <w:marBottom w:val="0"/>
      <w:divBdr>
        <w:top w:val="none" w:sz="0" w:space="0" w:color="auto"/>
        <w:left w:val="none" w:sz="0" w:space="0" w:color="auto"/>
        <w:bottom w:val="none" w:sz="0" w:space="0" w:color="auto"/>
        <w:right w:val="none" w:sz="0" w:space="0" w:color="auto"/>
      </w:divBdr>
    </w:div>
    <w:div w:id="2145924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34" Type="http://schemas.openxmlformats.org/officeDocument/2006/relationships/chart" Target="charts/chart5.xml"/><Relationship Id="rId42" Type="http://schemas.openxmlformats.org/officeDocument/2006/relationships/header" Target="header1.xml"/><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hyperlink" Target="https://www.sciencedirect.com/science/article/pii/S0003996914003008" TargetMode="External"/><Relationship Id="rId63" Type="http://schemas.openxmlformats.org/officeDocument/2006/relationships/hyperlink" Target="https://www.ncbi.nlm.nih.gov/pubmed/?term=Sperandei%20S%5BAuthor%5D&amp;cauthor=true&amp;cauthor_uid=2462771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image" Target="media/image23.jpe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hyperlink" Target="https://link.springer.com/journal/784/7/2/page/1"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ncbi.nlm.nih.gov/pubmed/?term=Geng%20C%5BAuthor%5D&amp;cauthor=true&amp;cauthor_uid=23857641" TargetMode="Externa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hyperlink" Target="https://www.sciencedirect.com/science/article/pii/S0003996914003008" TargetMode="External"/><Relationship Id="rId64" Type="http://schemas.openxmlformats.org/officeDocument/2006/relationships/hyperlink" Target="https://www.ncbi.nlm.nih.gov/pmc/articles/PMC3936971/" TargetMode="External"/><Relationship Id="rId8" Type="http://schemas.openxmlformats.org/officeDocument/2006/relationships/image" Target="media/image1.jpeg"/><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image" Target="media/image28.png"/><Relationship Id="rId59" Type="http://schemas.openxmlformats.org/officeDocument/2006/relationships/hyperlink" Target="https://www.ncbi.nlm.nih.gov/pubmed/?term=Nelson%20S%5BAuthor%5D&amp;cauthor=true&amp;cauthor_uid=23857641" TargetMode="External"/><Relationship Id="rId20" Type="http://schemas.openxmlformats.org/officeDocument/2006/relationships/image" Target="media/image13.jpeg"/><Relationship Id="rId41" Type="http://schemas.openxmlformats.org/officeDocument/2006/relationships/image" Target="media/image24.jpeg"/><Relationship Id="rId54" Type="http://schemas.openxmlformats.org/officeDocument/2006/relationships/image" Target="media/image36.png"/><Relationship Id="rId62" Type="http://schemas.openxmlformats.org/officeDocument/2006/relationships/hyperlink" Target="https://www.ncbi.nlm.nih.gov/pmc/articles/PMC374426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chart" Target="charts/chart7.xml"/><Relationship Id="rId49" Type="http://schemas.openxmlformats.org/officeDocument/2006/relationships/image" Target="media/image31.png"/><Relationship Id="rId57" Type="http://schemas.openxmlformats.org/officeDocument/2006/relationships/hyperlink" Target="https://link.springer.com/journal/784" TargetMode="External"/><Relationship Id="rId10" Type="http://schemas.openxmlformats.org/officeDocument/2006/relationships/image" Target="media/image3.jpeg"/><Relationship Id="rId31" Type="http://schemas.openxmlformats.org/officeDocument/2006/relationships/chart" Target="charts/chart2.xml"/><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hyperlink" Target="https://www.ncbi.nlm.nih.gov/pubmed/?term=Albert%20J%5BAuthor%5D&amp;cauthor=true&amp;cauthor_uid=23857641"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chart" Target="charts/chart10.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1"/>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3.42</c:v>
                </c:pt>
                <c:pt idx="1">
                  <c:v>0.11</c:v>
                </c:pt>
                <c:pt idx="2">
                  <c:v>0.16</c:v>
                </c:pt>
                <c:pt idx="3">
                  <c:v>0.19</c:v>
                </c:pt>
                <c:pt idx="4">
                  <c:v>0.17</c:v>
                </c:pt>
              </c:numCache>
            </c:numRef>
          </c:val>
          <c:extLst>
            <c:ext xmlns:c16="http://schemas.microsoft.com/office/drawing/2014/chart" uri="{C3380CC4-5D6E-409C-BE32-E72D297353CC}">
              <c16:uniqueId val="{00000000-CEE0-4641-B08B-09880E3FDAEB}"/>
            </c:ext>
          </c:extLst>
        </c:ser>
        <c:ser>
          <c:idx val="1"/>
          <c:order val="1"/>
          <c:tx>
            <c:strRef>
              <c:f>Sheet1!$C$1</c:f>
              <c:strCache>
                <c:ptCount val="1"/>
                <c:pt idx="0">
                  <c:v>Група 3</c:v>
                </c:pt>
              </c:strCache>
            </c:strRef>
          </c:tx>
          <c:spPr>
            <a:solidFill>
              <a:schemeClr val="accent2"/>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3.33</c:v>
                </c:pt>
                <c:pt idx="1">
                  <c:v>0.19</c:v>
                </c:pt>
                <c:pt idx="2">
                  <c:v>0.83</c:v>
                </c:pt>
                <c:pt idx="3">
                  <c:v>1.81</c:v>
                </c:pt>
                <c:pt idx="4">
                  <c:v>3.15</c:v>
                </c:pt>
              </c:numCache>
            </c:numRef>
          </c:val>
          <c:extLst>
            <c:ext xmlns:c16="http://schemas.microsoft.com/office/drawing/2014/chart" uri="{C3380CC4-5D6E-409C-BE32-E72D297353CC}">
              <c16:uniqueId val="{00000001-CEE0-4641-B08B-09880E3FDAEB}"/>
            </c:ext>
          </c:extLst>
        </c:ser>
        <c:dLbls>
          <c:showLegendKey val="0"/>
          <c:showVal val="0"/>
          <c:showCatName val="0"/>
          <c:showSerName val="0"/>
          <c:showPercent val="0"/>
          <c:showBubbleSize val="0"/>
        </c:dLbls>
        <c:gapWidth val="219"/>
        <c:overlap val="-27"/>
        <c:axId val="390820152"/>
        <c:axId val="390822896"/>
      </c:barChart>
      <c:catAx>
        <c:axId val="390820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822896"/>
        <c:crosses val="autoZero"/>
        <c:auto val="1"/>
        <c:lblAlgn val="ctr"/>
        <c:lblOffset val="100"/>
        <c:noMultiLvlLbl val="0"/>
      </c:catAx>
      <c:valAx>
        <c:axId val="390822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a:t>
                </a:r>
                <a:r>
                  <a:rPr lang="en-US"/>
                  <a:t>SBI</a:t>
                </a:r>
                <a:r>
                  <a:rPr lang="uk-UA"/>
                  <a:t>, бали</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0820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2.64</c:v>
                </c:pt>
                <c:pt idx="1">
                  <c:v>5.08</c:v>
                </c:pt>
                <c:pt idx="2">
                  <c:v>4.9000000000000004</c:v>
                </c:pt>
              </c:numCache>
            </c:numRef>
          </c:val>
          <c:extLst>
            <c:ext xmlns:c16="http://schemas.microsoft.com/office/drawing/2014/chart" uri="{C3380CC4-5D6E-409C-BE32-E72D297353CC}">
              <c16:uniqueId val="{00000000-C925-424E-85C4-8C3584ECDFC3}"/>
            </c:ext>
          </c:extLst>
        </c:ser>
        <c:ser>
          <c:idx val="1"/>
          <c:order val="1"/>
          <c:tx>
            <c:strRef>
              <c:f>Sheet1!$C$1</c:f>
              <c:strCache>
                <c:ptCount val="1"/>
                <c:pt idx="0">
                  <c:v>Група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2.0499999999999998</c:v>
                </c:pt>
                <c:pt idx="1">
                  <c:v>5.17</c:v>
                </c:pt>
                <c:pt idx="2">
                  <c:v>4.7</c:v>
                </c:pt>
              </c:numCache>
            </c:numRef>
          </c:val>
          <c:extLst>
            <c:ext xmlns:c16="http://schemas.microsoft.com/office/drawing/2014/chart" uri="{C3380CC4-5D6E-409C-BE32-E72D297353CC}">
              <c16:uniqueId val="{00000001-C925-424E-85C4-8C3584ECDFC3}"/>
            </c:ext>
          </c:extLst>
        </c:ser>
        <c:ser>
          <c:idx val="2"/>
          <c:order val="2"/>
          <c:tx>
            <c:strRef>
              <c:f>Sheet1!$D$1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Sheet1!$D$2:$D$4</c:f>
              <c:numCache>
                <c:formatCode>General</c:formatCode>
                <c:ptCount val="3"/>
                <c:pt idx="0">
                  <c:v>2.2000000000000002</c:v>
                </c:pt>
                <c:pt idx="1">
                  <c:v>2.02</c:v>
                </c:pt>
                <c:pt idx="2">
                  <c:v>1.9</c:v>
                </c:pt>
              </c:numCache>
            </c:numRef>
          </c:val>
          <c:extLst>
            <c:ext xmlns:c16="http://schemas.microsoft.com/office/drawing/2014/chart" uri="{C3380CC4-5D6E-409C-BE32-E72D297353CC}">
              <c16:uniqueId val="{00000002-C925-424E-85C4-8C3584ECDFC3}"/>
            </c:ext>
          </c:extLst>
        </c:ser>
        <c:ser>
          <c:idx val="3"/>
          <c:order val="3"/>
          <c:tx>
            <c:strRef>
              <c:f>Sheet1!$E$1</c:f>
              <c:strCache>
                <c:ptCount val="1"/>
                <c:pt idx="0">
                  <c:v>Група 4</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Sheet1!$E$2:$E$4</c:f>
              <c:numCache>
                <c:formatCode>General</c:formatCode>
                <c:ptCount val="3"/>
                <c:pt idx="0">
                  <c:v>2.15</c:v>
                </c:pt>
                <c:pt idx="1">
                  <c:v>2.1</c:v>
                </c:pt>
                <c:pt idx="2">
                  <c:v>1.94</c:v>
                </c:pt>
              </c:numCache>
            </c:numRef>
          </c:val>
          <c:extLst>
            <c:ext xmlns:c16="http://schemas.microsoft.com/office/drawing/2014/chart" uri="{C3380CC4-5D6E-409C-BE32-E72D297353CC}">
              <c16:uniqueId val="{00000003-C925-424E-85C4-8C3584ECDFC3}"/>
            </c:ext>
          </c:extLst>
        </c:ser>
        <c:dLbls>
          <c:showLegendKey val="0"/>
          <c:showVal val="0"/>
          <c:showCatName val="0"/>
          <c:showSerName val="0"/>
          <c:showPercent val="0"/>
          <c:showBubbleSize val="0"/>
        </c:dLbls>
        <c:gapWidth val="100"/>
        <c:overlap val="-24"/>
        <c:axId val="394161296"/>
        <c:axId val="394162080"/>
      </c:barChart>
      <c:catAx>
        <c:axId val="39416129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94162080"/>
        <c:crosses val="autoZero"/>
        <c:auto val="1"/>
        <c:lblAlgn val="ctr"/>
        <c:lblOffset val="100"/>
        <c:noMultiLvlLbl val="0"/>
      </c:catAx>
      <c:valAx>
        <c:axId val="3941620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 імуноглобуліну М, 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9416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1"/>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0.49</c:v>
                </c:pt>
                <c:pt idx="1">
                  <c:v>0.08</c:v>
                </c:pt>
                <c:pt idx="2">
                  <c:v>0.11</c:v>
                </c:pt>
                <c:pt idx="3">
                  <c:v>0.13</c:v>
                </c:pt>
                <c:pt idx="4">
                  <c:v>0.13</c:v>
                </c:pt>
              </c:numCache>
            </c:numRef>
          </c:val>
          <c:extLst>
            <c:ext xmlns:c16="http://schemas.microsoft.com/office/drawing/2014/chart" uri="{C3380CC4-5D6E-409C-BE32-E72D297353CC}">
              <c16:uniqueId val="{00000000-6A85-4F7E-9D88-B73036F91486}"/>
            </c:ext>
          </c:extLst>
        </c:ser>
        <c:ser>
          <c:idx val="1"/>
          <c:order val="1"/>
          <c:tx>
            <c:strRef>
              <c:f>Sheet1!$C$1</c:f>
              <c:strCache>
                <c:ptCount val="1"/>
                <c:pt idx="0">
                  <c:v>Група 4</c:v>
                </c:pt>
              </c:strCache>
            </c:strRef>
          </c:tx>
          <c:spPr>
            <a:solidFill>
              <a:schemeClr val="accent2"/>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0.47</c:v>
                </c:pt>
                <c:pt idx="1">
                  <c:v>0.24</c:v>
                </c:pt>
                <c:pt idx="2">
                  <c:v>0.4</c:v>
                </c:pt>
                <c:pt idx="3">
                  <c:v>0.74</c:v>
                </c:pt>
                <c:pt idx="4">
                  <c:v>1.35</c:v>
                </c:pt>
              </c:numCache>
            </c:numRef>
          </c:val>
          <c:extLst>
            <c:ext xmlns:c16="http://schemas.microsoft.com/office/drawing/2014/chart" uri="{C3380CC4-5D6E-409C-BE32-E72D297353CC}">
              <c16:uniqueId val="{00000001-6A85-4F7E-9D88-B73036F91486}"/>
            </c:ext>
          </c:extLst>
        </c:ser>
        <c:dLbls>
          <c:showLegendKey val="0"/>
          <c:showVal val="0"/>
          <c:showCatName val="0"/>
          <c:showSerName val="0"/>
          <c:showPercent val="0"/>
          <c:showBubbleSize val="0"/>
        </c:dLbls>
        <c:gapWidth val="219"/>
        <c:overlap val="-27"/>
        <c:axId val="330361048"/>
        <c:axId val="297833880"/>
      </c:barChart>
      <c:catAx>
        <c:axId val="330361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7833880"/>
        <c:crosses val="autoZero"/>
        <c:auto val="1"/>
        <c:lblAlgn val="ctr"/>
        <c:lblOffset val="100"/>
        <c:noMultiLvlLbl val="0"/>
      </c:catAx>
      <c:valAx>
        <c:axId val="297833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a:t>
                </a:r>
                <a:r>
                  <a:rPr lang="en-US"/>
                  <a:t>SBI</a:t>
                </a:r>
                <a:r>
                  <a:rPr lang="uk-UA"/>
                  <a:t>, бали</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0361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6"/>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34.340000000000003</c:v>
                </c:pt>
                <c:pt idx="1">
                  <c:v>3.29</c:v>
                </c:pt>
                <c:pt idx="2">
                  <c:v>3.09</c:v>
                </c:pt>
                <c:pt idx="3">
                  <c:v>3.26</c:v>
                </c:pt>
                <c:pt idx="4">
                  <c:v>3.59</c:v>
                </c:pt>
              </c:numCache>
            </c:numRef>
          </c:val>
          <c:extLst>
            <c:ext xmlns:c16="http://schemas.microsoft.com/office/drawing/2014/chart" uri="{C3380CC4-5D6E-409C-BE32-E72D297353CC}">
              <c16:uniqueId val="{00000000-F2F1-4C16-8D70-68F653B92EF1}"/>
            </c:ext>
          </c:extLst>
        </c:ser>
        <c:ser>
          <c:idx val="1"/>
          <c:order val="1"/>
          <c:tx>
            <c:strRef>
              <c:f>Sheet1!$C$1</c:f>
              <c:strCache>
                <c:ptCount val="1"/>
                <c:pt idx="0">
                  <c:v>Група 3</c:v>
                </c:pt>
              </c:strCache>
            </c:strRef>
          </c:tx>
          <c:spPr>
            <a:solidFill>
              <a:schemeClr val="accent5"/>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35.5</c:v>
                </c:pt>
                <c:pt idx="1">
                  <c:v>2.87</c:v>
                </c:pt>
                <c:pt idx="2">
                  <c:v>8.5</c:v>
                </c:pt>
                <c:pt idx="3">
                  <c:v>15.17</c:v>
                </c:pt>
                <c:pt idx="4">
                  <c:v>31.33</c:v>
                </c:pt>
              </c:numCache>
            </c:numRef>
          </c:val>
          <c:extLst>
            <c:ext xmlns:c16="http://schemas.microsoft.com/office/drawing/2014/chart" uri="{C3380CC4-5D6E-409C-BE32-E72D297353CC}">
              <c16:uniqueId val="{00000001-F2F1-4C16-8D70-68F653B92EF1}"/>
            </c:ext>
          </c:extLst>
        </c:ser>
        <c:dLbls>
          <c:showLegendKey val="0"/>
          <c:showVal val="0"/>
          <c:showCatName val="0"/>
          <c:showSerName val="0"/>
          <c:showPercent val="0"/>
          <c:showBubbleSize val="0"/>
        </c:dLbls>
        <c:gapWidth val="219"/>
        <c:overlap val="-27"/>
        <c:axId val="329916152"/>
        <c:axId val="329913800"/>
      </c:barChart>
      <c:catAx>
        <c:axId val="329916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913800"/>
        <c:crosses val="autoZero"/>
        <c:auto val="1"/>
        <c:lblAlgn val="ctr"/>
        <c:lblOffset val="100"/>
        <c:noMultiLvlLbl val="0"/>
      </c:catAx>
      <c:valAx>
        <c:axId val="329913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РМА,</a:t>
                </a:r>
                <a:r>
                  <a:rPr lang="uk-UA" baseline="0"/>
                  <a:t> %</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916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6"/>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Sheet1!$B$2:$B$6</c:f>
              <c:numCache>
                <c:formatCode>General</c:formatCode>
                <c:ptCount val="5"/>
                <c:pt idx="0">
                  <c:v>6.86</c:v>
                </c:pt>
                <c:pt idx="1">
                  <c:v>1.86</c:v>
                </c:pt>
                <c:pt idx="2">
                  <c:v>2.9</c:v>
                </c:pt>
                <c:pt idx="3">
                  <c:v>1.58</c:v>
                </c:pt>
                <c:pt idx="4">
                  <c:v>1.94</c:v>
                </c:pt>
              </c:numCache>
            </c:numRef>
          </c:val>
          <c:extLst>
            <c:ext xmlns:c16="http://schemas.microsoft.com/office/drawing/2014/chart" uri="{C3380CC4-5D6E-409C-BE32-E72D297353CC}">
              <c16:uniqueId val="{00000000-BA86-463E-A34A-5131B1324531}"/>
            </c:ext>
          </c:extLst>
        </c:ser>
        <c:ser>
          <c:idx val="1"/>
          <c:order val="1"/>
          <c:tx>
            <c:strRef>
              <c:f>Sheet1!$C$1</c:f>
              <c:strCache>
                <c:ptCount val="1"/>
                <c:pt idx="0">
                  <c:v>Група 4</c:v>
                </c:pt>
              </c:strCache>
            </c:strRef>
          </c:tx>
          <c:spPr>
            <a:solidFill>
              <a:schemeClr val="accent5"/>
            </a:solidFill>
            <a:ln>
              <a:noFill/>
            </a:ln>
            <a:effectLst/>
          </c:spPr>
          <c:invertIfNegative val="0"/>
          <c:cat>
            <c:strRef>
              <c:f>Sheet1!$A$2:$A$6</c:f>
              <c:strCache>
                <c:ptCount val="5"/>
                <c:pt idx="0">
                  <c:v>До лікування</c:v>
                </c:pt>
                <c:pt idx="1">
                  <c:v>Через 1 міс</c:v>
                </c:pt>
                <c:pt idx="2">
                  <c:v>Через 3 міс</c:v>
                </c:pt>
                <c:pt idx="3">
                  <c:v>Через 6 міс</c:v>
                </c:pt>
                <c:pt idx="4">
                  <c:v>Через 12 міс</c:v>
                </c:pt>
              </c:strCache>
            </c:strRef>
          </c:cat>
          <c:val>
            <c:numRef>
              <c:f>Sheet1!$C$2:$C$6</c:f>
              <c:numCache>
                <c:formatCode>General</c:formatCode>
                <c:ptCount val="5"/>
                <c:pt idx="0">
                  <c:v>7.87</c:v>
                </c:pt>
                <c:pt idx="1">
                  <c:v>2.93</c:v>
                </c:pt>
                <c:pt idx="2">
                  <c:v>9</c:v>
                </c:pt>
                <c:pt idx="3">
                  <c:v>13.67</c:v>
                </c:pt>
                <c:pt idx="4">
                  <c:v>18.329999999999998</c:v>
                </c:pt>
              </c:numCache>
            </c:numRef>
          </c:val>
          <c:extLst>
            <c:ext xmlns:c16="http://schemas.microsoft.com/office/drawing/2014/chart" uri="{C3380CC4-5D6E-409C-BE32-E72D297353CC}">
              <c16:uniqueId val="{00000001-BA86-463E-A34A-5131B1324531}"/>
            </c:ext>
          </c:extLst>
        </c:ser>
        <c:dLbls>
          <c:showLegendKey val="0"/>
          <c:showVal val="0"/>
          <c:showCatName val="0"/>
          <c:showSerName val="0"/>
          <c:showPercent val="0"/>
          <c:showBubbleSize val="0"/>
        </c:dLbls>
        <c:gapWidth val="219"/>
        <c:overlap val="-27"/>
        <c:axId val="329914584"/>
        <c:axId val="329916544"/>
      </c:barChart>
      <c:catAx>
        <c:axId val="329914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Термін</a:t>
                </a:r>
                <a:r>
                  <a:rPr lang="uk-UA" baseline="0"/>
                  <a:t>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916544"/>
        <c:crosses val="autoZero"/>
        <c:auto val="1"/>
        <c:lblAlgn val="ctr"/>
        <c:lblOffset val="100"/>
        <c:noMultiLvlLbl val="0"/>
      </c:catAx>
      <c:valAx>
        <c:axId val="329916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Індекс РМА,</a:t>
                </a:r>
                <a:r>
                  <a:rPr lang="uk-UA" baseline="0"/>
                  <a:t> %</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914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78.06</c:v>
                </c:pt>
                <c:pt idx="1">
                  <c:v>117.61</c:v>
                </c:pt>
                <c:pt idx="2">
                  <c:v>121.42</c:v>
                </c:pt>
              </c:numCache>
            </c:numRef>
          </c:val>
          <c:extLst>
            <c:ext xmlns:c16="http://schemas.microsoft.com/office/drawing/2014/chart" uri="{C3380CC4-5D6E-409C-BE32-E72D297353CC}">
              <c16:uniqueId val="{00000000-AED0-4EDD-833D-9C42DB22EEFA}"/>
            </c:ext>
          </c:extLst>
        </c:ser>
        <c:ser>
          <c:idx val="1"/>
          <c:order val="1"/>
          <c:tx>
            <c:strRef>
              <c:f>Sheet1!$C$1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76.09</c:v>
                </c:pt>
                <c:pt idx="1">
                  <c:v>77.099999999999994</c:v>
                </c:pt>
                <c:pt idx="2">
                  <c:v>80.13</c:v>
                </c:pt>
              </c:numCache>
            </c:numRef>
          </c:val>
          <c:extLst>
            <c:ext xmlns:c16="http://schemas.microsoft.com/office/drawing/2014/chart" uri="{C3380CC4-5D6E-409C-BE32-E72D297353CC}">
              <c16:uniqueId val="{00000001-AED0-4EDD-833D-9C42DB22EEFA}"/>
            </c:ext>
          </c:extLst>
        </c:ser>
        <c:dLbls>
          <c:showLegendKey val="0"/>
          <c:showVal val="0"/>
          <c:showCatName val="0"/>
          <c:showSerName val="0"/>
          <c:showPercent val="0"/>
          <c:showBubbleSize val="0"/>
        </c:dLbls>
        <c:gapWidth val="100"/>
        <c:overlap val="-24"/>
        <c:axId val="329919680"/>
        <c:axId val="329914976"/>
      </c:barChart>
      <c:catAx>
        <c:axId val="32991968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14976"/>
        <c:crosses val="autoZero"/>
        <c:auto val="1"/>
        <c:lblAlgn val="ctr"/>
        <c:lblOffset val="100"/>
        <c:noMultiLvlLbl val="0"/>
      </c:catAx>
      <c:valAx>
        <c:axId val="32991497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a:t>
                </a:r>
                <a:r>
                  <a:rPr lang="uk-UA" baseline="0"/>
                  <a:t> секреторного імуноглобуліну А, мг/л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19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75.41</c:v>
                </c:pt>
                <c:pt idx="1">
                  <c:v>111.84</c:v>
                </c:pt>
                <c:pt idx="2">
                  <c:v>122.03</c:v>
                </c:pt>
              </c:numCache>
            </c:numRef>
          </c:val>
          <c:extLst>
            <c:ext xmlns:c16="http://schemas.microsoft.com/office/drawing/2014/chart" uri="{C3380CC4-5D6E-409C-BE32-E72D297353CC}">
              <c16:uniqueId val="{00000000-CB35-4F80-B0FB-AC583E702DFA}"/>
            </c:ext>
          </c:extLst>
        </c:ser>
        <c:ser>
          <c:idx val="1"/>
          <c:order val="1"/>
          <c:tx>
            <c:strRef>
              <c:f>Sheet1!$C$1</c:f>
              <c:strCache>
                <c:ptCount val="1"/>
                <c:pt idx="0">
                  <c:v>Група 4</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76.709999999999994</c:v>
                </c:pt>
                <c:pt idx="1">
                  <c:v>75.28</c:v>
                </c:pt>
                <c:pt idx="2">
                  <c:v>80.709999999999994</c:v>
                </c:pt>
              </c:numCache>
            </c:numRef>
          </c:val>
          <c:extLst>
            <c:ext xmlns:c16="http://schemas.microsoft.com/office/drawing/2014/chart" uri="{C3380CC4-5D6E-409C-BE32-E72D297353CC}">
              <c16:uniqueId val="{00000001-CB35-4F80-B0FB-AC583E702DFA}"/>
            </c:ext>
          </c:extLst>
        </c:ser>
        <c:dLbls>
          <c:showLegendKey val="0"/>
          <c:showVal val="0"/>
          <c:showCatName val="0"/>
          <c:showSerName val="0"/>
          <c:showPercent val="0"/>
          <c:showBubbleSize val="0"/>
        </c:dLbls>
        <c:gapWidth val="100"/>
        <c:overlap val="-24"/>
        <c:axId val="329919288"/>
        <c:axId val="329917328"/>
      </c:barChart>
      <c:catAx>
        <c:axId val="3299192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17328"/>
        <c:crosses val="autoZero"/>
        <c:auto val="1"/>
        <c:lblAlgn val="ctr"/>
        <c:lblOffset val="100"/>
        <c:noMultiLvlLbl val="0"/>
      </c:catAx>
      <c:valAx>
        <c:axId val="32991732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a:t>
                </a:r>
                <a:r>
                  <a:rPr lang="uk-UA" baseline="0"/>
                  <a:t> секреторного імуноглобуліну А, мг/л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19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2.06</c:v>
                </c:pt>
                <c:pt idx="1">
                  <c:v>6.58</c:v>
                </c:pt>
                <c:pt idx="2">
                  <c:v>6.4</c:v>
                </c:pt>
              </c:numCache>
            </c:numRef>
          </c:val>
          <c:extLst>
            <c:ext xmlns:c16="http://schemas.microsoft.com/office/drawing/2014/chart" uri="{C3380CC4-5D6E-409C-BE32-E72D297353CC}">
              <c16:uniqueId val="{00000000-79B0-43B4-AF37-176C488EB63A}"/>
            </c:ext>
          </c:extLst>
        </c:ser>
        <c:ser>
          <c:idx val="1"/>
          <c:order val="1"/>
          <c:tx>
            <c:strRef>
              <c:f>Sheet1!$C$1</c:f>
              <c:strCache>
                <c:ptCount val="1"/>
                <c:pt idx="0">
                  <c:v>Група 3</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1.91</c:v>
                </c:pt>
                <c:pt idx="1">
                  <c:v>1.9</c:v>
                </c:pt>
                <c:pt idx="2">
                  <c:v>2.0299999999999998</c:v>
                </c:pt>
              </c:numCache>
            </c:numRef>
          </c:val>
          <c:extLst>
            <c:ext xmlns:c16="http://schemas.microsoft.com/office/drawing/2014/chart" uri="{C3380CC4-5D6E-409C-BE32-E72D297353CC}">
              <c16:uniqueId val="{00000001-79B0-43B4-AF37-176C488EB63A}"/>
            </c:ext>
          </c:extLst>
        </c:ser>
        <c:dLbls>
          <c:dLblPos val="inEnd"/>
          <c:showLegendKey val="0"/>
          <c:showVal val="1"/>
          <c:showCatName val="0"/>
          <c:showSerName val="0"/>
          <c:showPercent val="0"/>
          <c:showBubbleSize val="0"/>
        </c:dLbls>
        <c:gapWidth val="65"/>
        <c:axId val="329915368"/>
        <c:axId val="329915760"/>
      </c:barChart>
      <c:catAx>
        <c:axId val="3299153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29915760"/>
        <c:crosses val="autoZero"/>
        <c:auto val="1"/>
        <c:lblAlgn val="ctr"/>
        <c:lblOffset val="100"/>
        <c:noMultiLvlLbl val="0"/>
      </c:catAx>
      <c:valAx>
        <c:axId val="32991576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Рівень імуноглобуліну А, г/л</a:t>
                </a:r>
                <a:endParaRPr lang="en-US"/>
              </a:p>
            </c:rich>
          </c:tx>
          <c:overlay val="0"/>
          <c:spPr>
            <a:noFill/>
            <a:ln>
              <a:noFill/>
            </a:ln>
            <a:effectLst/>
          </c:spPr>
        </c:title>
        <c:numFmt formatCode="General" sourceLinked="1"/>
        <c:majorTickMark val="none"/>
        <c:minorTickMark val="none"/>
        <c:tickLblPos val="nextTo"/>
        <c:crossAx val="32991536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2</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2.04</c:v>
                </c:pt>
                <c:pt idx="1">
                  <c:v>6.89</c:v>
                </c:pt>
                <c:pt idx="2">
                  <c:v>5.1100000000000003</c:v>
                </c:pt>
              </c:numCache>
            </c:numRef>
          </c:val>
          <c:extLst>
            <c:ext xmlns:c16="http://schemas.microsoft.com/office/drawing/2014/chart" uri="{C3380CC4-5D6E-409C-BE32-E72D297353CC}">
              <c16:uniqueId val="{00000000-C64E-4430-A60B-61DD318FFD8A}"/>
            </c:ext>
          </c:extLst>
        </c:ser>
        <c:ser>
          <c:idx val="1"/>
          <c:order val="1"/>
          <c:tx>
            <c:strRef>
              <c:f>Sheet1!$C$1</c:f>
              <c:strCache>
                <c:ptCount val="1"/>
                <c:pt idx="0">
                  <c:v>Група 4</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1.95</c:v>
                </c:pt>
                <c:pt idx="1">
                  <c:v>1.84</c:v>
                </c:pt>
                <c:pt idx="2">
                  <c:v>1.72</c:v>
                </c:pt>
              </c:numCache>
            </c:numRef>
          </c:val>
          <c:extLst>
            <c:ext xmlns:c16="http://schemas.microsoft.com/office/drawing/2014/chart" uri="{C3380CC4-5D6E-409C-BE32-E72D297353CC}">
              <c16:uniqueId val="{00000001-C64E-4430-A60B-61DD318FFD8A}"/>
            </c:ext>
          </c:extLst>
        </c:ser>
        <c:dLbls>
          <c:dLblPos val="inEnd"/>
          <c:showLegendKey val="0"/>
          <c:showVal val="1"/>
          <c:showCatName val="0"/>
          <c:showSerName val="0"/>
          <c:showPercent val="0"/>
          <c:showBubbleSize val="0"/>
        </c:dLbls>
        <c:gapWidth val="65"/>
        <c:axId val="329917720"/>
        <c:axId val="329918504"/>
      </c:barChart>
      <c:catAx>
        <c:axId val="32991772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329918504"/>
        <c:crosses val="autoZero"/>
        <c:auto val="1"/>
        <c:lblAlgn val="ctr"/>
        <c:lblOffset val="100"/>
        <c:noMultiLvlLbl val="0"/>
      </c:catAx>
      <c:valAx>
        <c:axId val="3299185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uk-UA"/>
                  <a:t>Рівень імуноглобуліну А, г/л</a:t>
                </a:r>
                <a:endParaRPr lang="en-US"/>
              </a:p>
            </c:rich>
          </c:tx>
          <c:overlay val="0"/>
          <c:spPr>
            <a:noFill/>
            <a:ln>
              <a:noFill/>
            </a:ln>
            <a:effectLst/>
          </c:spPr>
        </c:title>
        <c:numFmt formatCode="General" sourceLinked="1"/>
        <c:majorTickMark val="none"/>
        <c:minorTickMark val="none"/>
        <c:tickLblPos val="nextTo"/>
        <c:crossAx val="32991772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Група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Sheet1!$B$2:$B$4</c:f>
              <c:numCache>
                <c:formatCode>General</c:formatCode>
                <c:ptCount val="3"/>
                <c:pt idx="0">
                  <c:v>1.72</c:v>
                </c:pt>
                <c:pt idx="1">
                  <c:v>4.71</c:v>
                </c:pt>
                <c:pt idx="2">
                  <c:v>5.04</c:v>
                </c:pt>
              </c:numCache>
            </c:numRef>
          </c:val>
          <c:extLst>
            <c:ext xmlns:c16="http://schemas.microsoft.com/office/drawing/2014/chart" uri="{C3380CC4-5D6E-409C-BE32-E72D297353CC}">
              <c16:uniqueId val="{00000000-9269-4A33-8D67-221E074BAA30}"/>
            </c:ext>
          </c:extLst>
        </c:ser>
        <c:ser>
          <c:idx val="1"/>
          <c:order val="1"/>
          <c:tx>
            <c:strRef>
              <c:f>Sheet1!$C$1</c:f>
              <c:strCache>
                <c:ptCount val="1"/>
                <c:pt idx="0">
                  <c:v>Група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Sheet1!$C$2:$C$4</c:f>
              <c:numCache>
                <c:formatCode>General</c:formatCode>
                <c:ptCount val="3"/>
                <c:pt idx="0">
                  <c:v>1.56</c:v>
                </c:pt>
                <c:pt idx="1">
                  <c:v>4.8899999999999997</c:v>
                </c:pt>
                <c:pt idx="2">
                  <c:v>5.0999999999999996</c:v>
                </c:pt>
              </c:numCache>
            </c:numRef>
          </c:val>
          <c:extLst>
            <c:ext xmlns:c16="http://schemas.microsoft.com/office/drawing/2014/chart" uri="{C3380CC4-5D6E-409C-BE32-E72D297353CC}">
              <c16:uniqueId val="{00000001-9269-4A33-8D67-221E074BAA30}"/>
            </c:ext>
          </c:extLst>
        </c:ser>
        <c:ser>
          <c:idx val="2"/>
          <c:order val="2"/>
          <c:tx>
            <c:strRef>
              <c:f>Sheet1!$D$1</c:f>
              <c:strCache>
                <c:ptCount val="1"/>
                <c:pt idx="0">
                  <c:v>Група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Sheet1!$D$2:$D$4</c:f>
              <c:numCache>
                <c:formatCode>General</c:formatCode>
                <c:ptCount val="3"/>
                <c:pt idx="0">
                  <c:v>1.82</c:v>
                </c:pt>
                <c:pt idx="1">
                  <c:v>2.04</c:v>
                </c:pt>
                <c:pt idx="2">
                  <c:v>1.99</c:v>
                </c:pt>
              </c:numCache>
            </c:numRef>
          </c:val>
          <c:extLst>
            <c:ext xmlns:c16="http://schemas.microsoft.com/office/drawing/2014/chart" uri="{C3380CC4-5D6E-409C-BE32-E72D297353CC}">
              <c16:uniqueId val="{00000002-9269-4A33-8D67-221E074BAA30}"/>
            </c:ext>
          </c:extLst>
        </c:ser>
        <c:ser>
          <c:idx val="3"/>
          <c:order val="3"/>
          <c:tx>
            <c:strRef>
              <c:f>Sheet1!$E$1</c:f>
              <c:strCache>
                <c:ptCount val="1"/>
                <c:pt idx="0">
                  <c:v>Група 4</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Sheet1!$A$2:$A$4</c:f>
              <c:strCache>
                <c:ptCount val="3"/>
                <c:pt idx="0">
                  <c:v>До лікування</c:v>
                </c:pt>
                <c:pt idx="1">
                  <c:v>Через 6 міс</c:v>
                </c:pt>
                <c:pt idx="2">
                  <c:v>Через 12 міс</c:v>
                </c:pt>
              </c:strCache>
            </c:strRef>
          </c:cat>
          <c:val>
            <c:numRef>
              <c:f>Sheet1!$E$2:$E$4</c:f>
              <c:numCache>
                <c:formatCode>General</c:formatCode>
                <c:ptCount val="3"/>
                <c:pt idx="0">
                  <c:v>1.92</c:v>
                </c:pt>
                <c:pt idx="1">
                  <c:v>1.93</c:v>
                </c:pt>
                <c:pt idx="2">
                  <c:v>1.85</c:v>
                </c:pt>
              </c:numCache>
            </c:numRef>
          </c:val>
          <c:extLst>
            <c:ext xmlns:c16="http://schemas.microsoft.com/office/drawing/2014/chart" uri="{C3380CC4-5D6E-409C-BE32-E72D297353CC}">
              <c16:uniqueId val="{00000003-9269-4A33-8D67-221E074BAA30}"/>
            </c:ext>
          </c:extLst>
        </c:ser>
        <c:dLbls>
          <c:showLegendKey val="0"/>
          <c:showVal val="0"/>
          <c:showCatName val="0"/>
          <c:showSerName val="0"/>
          <c:showPercent val="0"/>
          <c:showBubbleSize val="0"/>
        </c:dLbls>
        <c:gapWidth val="100"/>
        <c:overlap val="-24"/>
        <c:axId val="329920464"/>
        <c:axId val="329913016"/>
      </c:barChart>
      <c:catAx>
        <c:axId val="32992046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Термін спостереження</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13016"/>
        <c:crosses val="autoZero"/>
        <c:auto val="1"/>
        <c:lblAlgn val="ctr"/>
        <c:lblOffset val="100"/>
        <c:noMultiLvlLbl val="0"/>
      </c:catAx>
      <c:valAx>
        <c:axId val="329913016"/>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Рівень імуноглобуліну </a:t>
                </a:r>
                <a:r>
                  <a:rPr lang="en-US"/>
                  <a:t>G</a:t>
                </a:r>
                <a:r>
                  <a:rPr lang="uk-UA"/>
                  <a:t>, г/л</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29920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Бал97</b:Tag>
    <b:SourceType>JournalArticle</b:SourceType>
    <b:Guid>{7DCD415B-F3A1-4827-8856-003863CF11FB}</b:Guid>
    <b:Author>
      <b:Author>
        <b:NameList>
          <b:Person>
            <b:Last>И.И.</b:Last>
            <b:First>Балаболкин</b:First>
          </b:Person>
        </b:NameList>
      </b:Author>
    </b:Author>
    <b:Title>Современные проблемы детской аллергологии</b:Title>
    <b:JournalName>Педиатрия</b:JournalName>
    <b:Year>1997</b:Year>
    <b:Pages>5-8</b:Pages>
    <b:Issue>2</b:Issue>
    <b:RefOrder>57</b:RefOrder>
  </b:Source>
  <b:Source>
    <b:Tag>Лас03</b:Tag>
    <b:SourceType>JournalArticle</b:SourceType>
    <b:Guid>{58B6C20C-73C0-4929-9449-7B2B9A55CCAD}</b:Guid>
    <b:Author>
      <b:Author>
        <b:Corporate>Ласиця О.І., Охотнікова О.М.</b:Corporate>
      </b:Author>
    </b:Author>
    <b:Title>Бронхіальна астма у дітей: проблеми і перспективи діагностики та лікування</b:Title>
    <b:JournalName>Нова медицина</b:JournalName>
    <b:Year>2003</b:Year>
    <b:Pages>44-49</b:Pages>
    <b:Issue>1</b:Issue>
    <b:RefOrder>58</b:RefOrder>
  </b:Source>
  <b:Source>
    <b:Tag>Ако00</b:Tag>
    <b:SourceType>JournalArticle</b:SourceType>
    <b:Guid>{0DB845AA-83BD-44EE-9CCC-F3899D8626B3}</b:Guid>
    <b:Author>
      <b:Author>
        <b:NameList>
          <b:Person>
            <b:Last>А.З.</b:Last>
            <b:First>Акопян</b:First>
          </b:Person>
        </b:NameList>
      </b:Author>
    </b:Author>
    <b:Title>Распространённость аллергических заболеваний у детей</b:Title>
    <b:JournalName> Укр. пульмонол. журнал. </b:JournalName>
    <b:Year>2000</b:Year>
    <b:Pages>65-69</b:Pages>
    <b:Issue>1</b:Issue>
    <b:RefOrder>11</b:RefOrder>
  </b:Source>
  <b:Source>
    <b:Tag>Ков98</b:Tag>
    <b:SourceType>JournalArticle</b:SourceType>
    <b:Guid>{0E162147-59FF-46B9-849F-0EF911C8D35F}</b:Guid>
    <b:Author>
      <b:Author>
        <b:NameList>
          <b:Person>
            <b:Last>М.П.</b:Last>
            <b:First>Ковальчук</b:First>
          </b:Person>
        </b:NameList>
      </b:Author>
    </b:Author>
    <b:Title>Епідеміологічні дослідження бронхіальної астми у дітей</b:Title>
    <b:JournalName>Педіатрія, акушерство та гінекологія</b:JournalName>
    <b:Year>1998</b:Year>
    <b:Pages>48-50</b:Pages>
    <b:Issue>2</b:Issue>
    <b:RefOrder>59</b:RefOrder>
  </b:Source>
  <b:Source>
    <b:Tag>Кар02</b:Tag>
    <b:SourceType>Book</b:SourceType>
    <b:Guid>{98B513DA-A66B-49A2-950B-6C92575A661A}</b:Guid>
    <b:Author>
      <b:Author>
        <b:NameList>
          <b:Person>
            <b:Last>А.В.</b:Last>
            <b:First>Караулов</b:First>
          </b:Person>
        </b:NameList>
      </b:Author>
    </b:Author>
    <b:Title> Клиничская иммунология и аллергология. </b:Title>
    <b:Year>2002</b:Year>
    <b:City>Москва</b:City>
    <b:Publisher>Мед.информац. агенство</b:Publisher>
    <b:RefOrder>60</b:RefOrder>
  </b:Source>
  <b:Source>
    <b:Tag>Бор97</b:Tag>
    <b:SourceType>JournalArticle</b:SourceType>
    <b:Guid>{88829F58-5D4C-4B1F-9997-87993E1765FA}</b:Guid>
    <b:Title>Иммунитет у больных хроническими неспецифическими заболеваниями лёгких</b:Title>
    <b:Year>1997</b:Year>
    <b:Author>
      <b:Author>
        <b:NameList>
          <b:Person>
            <b:Last>А.М.</b:Last>
            <b:First>Борисова</b:First>
          </b:Person>
        </b:NameList>
      </b:Author>
    </b:Author>
    <b:JournalName>Рос. мед. журнал.</b:JournalName>
    <b:Pages>15-21</b:Pages>
    <b:Issue>1</b:Issue>
    <b:RefOrder>12</b:RefOrder>
  </b:Source>
  <b:Source>
    <b:Tag>Боб05</b:Tag>
    <b:SourceType>JournalArticle</b:SourceType>
    <b:Guid>{76712D22-F516-4B13-AC5C-01B357CD53A6}</b:Guid>
    <b:Author>
      <b:Author>
        <b:Corporate>Бобырев В.Н., Муляр Л.А. и др. </b:Corporate>
      </b:Author>
    </b:Author>
    <b:Title>Особенности показателей иммунитета больных бронхиальной астмой в сочетании с аллергическими риносинусопатиями</b:Title>
    <b:JournalName>Імунологія та алергологія</b:JournalName>
    <b:Year>2005</b:Year>
    <b:Pages>68-72</b:Pages>
    <b:Issue>3</b:Issue>
    <b:RefOrder>13</b:RefOrder>
  </b:Source>
  <b:Source>
    <b:Tag>Ger02</b:Tag>
    <b:SourceType>JournalArticle</b:SourceType>
    <b:Guid>{4FE1F3A8-90E3-4F6E-94F8-3EB4B46C1B1E}</b:Guid>
    <b:Author>
      <b:Author>
        <b:NameList>
          <b:Person>
            <b:Last>JE</b:Last>
            <b:First>Gern</b:First>
          </b:Person>
        </b:NameList>
      </b:Author>
    </b:Author>
    <b:Title>Rhinovirus respiratory infections and asthma </b:Title>
    <b:JournalName>American Journal of Medicine</b:JournalName>
    <b:Year>2002</b:Year>
    <b:Pages>19-27</b:Pages>
    <b:Volume>112 </b:Volume>
    <b:RefOrder>61</b:RefOrder>
  </b:Source>
  <b:Source>
    <b:Tag>Pee00</b:Tag>
    <b:SourceType>JournalArticle</b:SourceType>
    <b:Guid>{63787849-0CF1-4B5B-9DF8-CC5FCDCBF424}</b:Guid>
    <b:Author>
      <b:Author>
        <b:Corporate>Peebles RS Jr. Hartert TV. </b:Corporate>
      </b:Author>
    </b:Author>
    <b:Title>Respiratory viruses and asthma</b:Title>
    <b:JournalName>Current Opinion in Pulmonaru Medicine</b:JournalName>
    <b:Year>2000</b:Year>
    <b:Pages>10-14</b:Pages>
    <b:Volume>6</b:Volume>
    <b:Issue>1</b:Issue>
    <b:RefOrder>62</b:RefOrder>
  </b:Source>
  <b:Source>
    <b:Tag>Чер00</b:Tag>
    <b:SourceType>JournalArticle</b:SourceType>
    <b:Guid>{D1639C59-305C-497E-B582-6895E628FF51}</b:Guid>
    <b:Author>
      <b:Author>
        <b:NameList>
          <b:Person>
            <b:Last>Е.Ф.</b:Last>
            <b:First>Чернушенко</b:First>
          </b:Person>
        </b:NameList>
      </b:Author>
    </b:Author>
    <b:Title>Иммунология бронхиальной астмы </b:Title>
    <b:JournalName>Укр. пульмонол. журнал</b:JournalName>
    <b:Year>2000</b:Year>
    <b:Pages>18-22</b:Pages>
    <b:Issue>2</b:Issue>
    <b:RefOrder>14</b:RefOrder>
  </b:Source>
  <b:Source>
    <b:Tag>Куз04</b:Tag>
    <b:SourceType>JournalArticle</b:SourceType>
    <b:Guid>{0FAA17B6-371D-4C50-8B36-1393D5D4B7C6}</b:Guid>
    <b:Author>
      <b:Author>
        <b:Corporate>Кузнєцова Л.В., Грішило П.В., Осипова Л.С., Літус В.І.</b:Corporate>
      </b:Author>
    </b:Author>
    <b:Title>Жирнокислотний спектр ліпідів сироватки крові у хворих на бронхіальну астму під впливом комплексного лікування імуотопним препаратом пропес </b:Title>
    <b:JournalName> Імунологія та алергологія</b:JournalName>
    <b:Year>2004</b:Year>
    <b:Pages>43-45</b:Pages>
    <b:Issue>1</b:Issue>
    <b:RefOrder>15</b:RefOrder>
  </b:Source>
  <b:Source>
    <b:Tag>Тру06</b:Tag>
    <b:SourceType>JournalArticle</b:SourceType>
    <b:Guid>{1388B3E8-270B-49A9-BC86-EB84238051E2}</b:Guid>
    <b:Author>
      <b:Author>
        <b:Corporate>Трунова О.А., Андрухей С.В., Куляс В.М. и др. </b:Corporate>
      </b:Author>
    </b:Author>
    <b:Title>Клинико-лабораторные параллели при бронхиальной астме у детей</b:Title>
    <b:JournalName>Імунологія та алергологія</b:JournalName>
    <b:Year>2006</b:Year>
    <b:Pages>70-72</b:Pages>
    <b:Issue>1</b:Issue>
    <b:RefOrder>16</b:RefOrder>
  </b:Source>
  <b:Source>
    <b:Tag>Hob85</b:Tag>
    <b:SourceType>JournalArticle</b:SourceType>
    <b:Guid>{93365A77-5F8A-4F56-BB8C-962779C62CD7}</b:Guid>
    <b:Author>
      <b:Author>
        <b:NameList>
          <b:Person>
            <b:Last>P.</b:Last>
            <b:First>Hobson</b:First>
          </b:Person>
        </b:NameList>
      </b:Author>
    </b:Author>
    <b:Title>Sugar based medicines and dental disease</b:Title>
    <b:JournalName> Community Dent Health </b:JournalName>
    <b:Year>1985</b:Year>
    <b:Pages>57-62</b:Pages>
    <b:Issue>2</b:Issue>
    <b:RefOrder>63</b:RefOrder>
  </b:Source>
  <b:Source>
    <b:Tag>Bau87</b:Tag>
    <b:SourceType>JournalArticle</b:SourceType>
    <b:Guid>{E3530D47-86F8-43E4-AB16-BEC1F15079C0}</b:Guid>
    <b:Author>
      <b:Author>
        <b:NameList>
          <b:Person>
            <b:Last>BJ.</b:Last>
            <b:First>Baum</b:First>
          </b:Person>
        </b:NameList>
      </b:Author>
    </b:Author>
    <b:Title>Neurotransmitter control of secretion.</b:Title>
    <b:JournalName> J Dent Res </b:JournalName>
    <b:Year>1987</b:Year>
    <b:Pages>628-632.</b:Pages>
    <b:Volume>66</b:Volume>
    <b:RefOrder>64</b:RefOrder>
  </b:Source>
  <b:Source>
    <b:Tag>Sha07</b:Tag>
    <b:SourceType>JournalArticle</b:SourceType>
    <b:Guid>{948FE828-BD37-4A25-A52F-67B48359DE09}</b:Guid>
    <b:Author>
      <b:Author>
        <b:Corporate>Shashikiran N. D., Reddy V. V. S., Krishnam Raju P. </b:Corporate>
      </b:Author>
    </b:Author>
    <b:Title>Effect of antiasthmatic medication on dental disease: Dental caries and periodontal disease.</b:Title>
    <b:JournalName> J Indian Soc Pedod Prev Dent</b:JournalName>
    <b:Year>2007</b:Year>
    <b:Pages>65-68</b:Pages>
    <b:Issue>2</b:Issue>
    <b:RefOrder>65</b:RefOrder>
  </b:Source>
  <b:Source>
    <b:Tag>Hyp84</b:Tag>
    <b:SourceType>JournalArticle</b:SourceType>
    <b:Guid>{11C703BD-37A5-44B8-B6E1-93EC6E365540}</b:Guid>
    <b:Author>
      <b:Author>
        <b:NameList>
          <b:Person>
            <b:Last>T.</b:Last>
            <b:First>Hyppa</b:First>
          </b:Person>
        </b:NameList>
      </b:Author>
    </b:Author>
    <b:Title> Gingival IgE and histamine concentrations in patients with asthma and in patients with periodontitis</b:Title>
    <b:JournalName>J Clin Periodontol</b:JournalName>
    <b:Year>1984</b:Year>
    <b:Pages>132-137</b:Pages>
    <b:Volume>11</b:Volume>
    <b:RefOrder>66</b:RefOrder>
  </b:Source>
  <b:Source>
    <b:Tag>Kar02</b:Tag>
    <b:SourceType>JournalArticle</b:SourceType>
    <b:Guid>{2A02E9D3-9F6E-4A84-B1C2-7E073D0AD112}</b:Guid>
    <b:Author>
      <b:Author>
        <b:Corporate>Karl L, Hakamima. </b:Corporate>
      </b:Author>
    </b:Author>
    <b:Title>Asthma and oral health. A clinical and epidemiological study.</b:Title>
    <b:JournalName> Acta Electronica Universitatis Tamperensis </b:JournalName>
    <b:Year>2002</b:Year>
    <b:Pages>193-196</b:Pages>
    <b:Issue>4</b:Issue>
    <b:RefOrder>67</b:RefOrder>
  </b:Source>
  <b:Source>
    <b:Tag>Wot73</b:Tag>
    <b:SourceType>JournalArticle</b:SourceType>
    <b:Guid>{3386CBF3-8CAA-46DB-B6E7-E864497B9745}</b:Guid>
    <b:Author>
      <b:Author>
        <b:Corporate>Wotman S, Mercandante J, Mandel ID, Goldman RS, Dening C.</b:Corporate>
      </b:Author>
    </b:Author>
    <b:Title>The occurrence of calculus in normal children, children with cystic fibrosis and children with asthma</b:Title>
    <b:JournalName> J Periodontal </b:JournalName>
    <b:Year>1973</b:Year>
    <b:Pages>278-280</b:Pages>
    <b:Volume>44</b:Volume>
    <b:RefOrder>68</b:RefOrder>
  </b:Source>
  <b:Source>
    <b:Tag>Len98</b:Tag>
    <b:SourceType>JournalArticle</b:SourceType>
    <b:Guid>{C6833B6F-9841-4271-B209-9AD6A0DBBD91}</b:Guid>
    <b:Author>
      <b:Author>
        <b:Corporate>Lenander-Lumikarim M, Laurikainen K, Kuvsisto P, Vilija P. </b:Corporate>
      </b:Author>
    </b:Author>
    <b:Title>Stimulated salivary flow rate and composition in asthmatic and non asthmatic adults</b:Title>
    <b:JournalName>Arch Oral Biol </b:JournalName>
    <b:Year>1998</b:Year>
    <b:Pages>151-156</b:Pages>
    <b:Volume>43</b:Volume>
    <b:RefOrder>69</b:RefOrder>
  </b:Source>
  <b:Source>
    <b:Tag>Hyp80</b:Tag>
    <b:SourceType>JournalArticle</b:SourceType>
    <b:Guid>{D1FD0CC3-7FA3-4ACC-AE48-E088D4A67374}</b:Guid>
    <b:Author>
      <b:Author>
        <b:NameList>
          <b:Person>
            <b:Last>T.</b:Last>
            <b:First>Hyppa</b:First>
          </b:Person>
        </b:NameList>
      </b:Author>
    </b:Author>
    <b:Title>Salivary immunoglobulins in children with asthma</b:Title>
    <b:JournalName>J Periodontol Res</b:JournalName>
    <b:Year>1980</b:Year>
    <b:Pages>227-231</b:Pages>
    <b:Volume>15</b:Volume>
    <b:RefOrder>70</b:RefOrder>
  </b:Source>
  <b:Source>
    <b:Tag>Joh01</b:Tag>
    <b:SourceType>JournalArticle</b:SourceType>
    <b:Guid>{C95D047A-022A-4136-9C00-43BB30C3319E}</b:Guid>
    <b:Author>
      <b:Author>
        <b:Corporate>Johansson et al. </b:Corporate>
      </b:Author>
    </b:Author>
    <b:Title>A revised nomenclature for allergy</b:Title>
    <b:JournalName>Allergy</b:JournalName>
    <b:Year>2001</b:Year>
    <b:Pages>813–824</b:Pages>
    <b:Volume>56</b:Volume>
    <b:RefOrder>7</b:RefOrder>
  </b:Source>
  <b:Source>
    <b:Tag>Johay</b:Tag>
    <b:SourceType>JournalArticle</b:SourceType>
    <b:Guid>{5C329718-6175-4C94-852F-F948BB3D7476}</b:Guid>
    <b:Author>
      <b:Author>
        <b:Corporate>Johansson SG et al.</b:Corporate>
      </b:Author>
    </b:Author>
    <b:Title>Revised nomenclature for allergy for global use: Report of the Nomenclature Review Committee of the World Allergy Organization</b:Title>
    <b:JournalName>J Allergy Clin Immunol.</b:JournalName>
    <b:Year>2004 May</b:Year>
    <b:Pages>832-836</b:Pages>
    <b:Volume>113</b:Volume>
    <b:Issue>5</b:Issue>
    <b:RefOrder>8</b:RefOrder>
  </b:Source>
  <b:Source>
    <b:Tag>MSt08</b:Tag>
    <b:SourceType>JournalArticle</b:SourceType>
    <b:Guid>{01329EE2-102E-4590-9E2A-EB5DE2DC44EA}</b:Guid>
    <b:Author>
      <b:Author>
        <b:Corporate>M. Stensson, L.K. Wendt, G. Koch et al. </b:Corporate>
      </b:Author>
    </b:Author>
    <b:Title>Oral health in preschool children with asthma </b:Title>
    <b:JournalName>Int.J.Paediatr.Dent. </b:JournalName>
    <b:Year>2008</b:Year>
    <b:Pages>243–250</b:Pages>
    <b:Volume>18</b:Volume>
    <b:RefOrder>18</b:RefOrder>
  </b:Source>
  <b:Source>
    <b:Tag>MSD01</b:Tag>
    <b:SourceType>JournalArticle</b:SourceType>
    <b:Guid>{839389A6-F597-4224-BA60-60871A2035FE}</b:Guid>
    <b:Author>
      <b:Author>
        <b:Corporate>M.S. Derek, G. Michael  </b:Corporate>
      </b:Author>
    </b:Author>
    <b:Title>The dental patient with asthma: An update and oral health considerations </b:Title>
    <b:JournalName>J.Am.Dent.Assoc </b:JournalName>
    <b:Year>2001</b:Year>
    <b:Pages>1229-1239</b:Pages>
    <b:Volume>132</b:Volume>
    <b:RefOrder>71</b:RefOrder>
  </b:Source>
  <b:Source>
    <b:Tag>CFu05</b:Tag>
    <b:SourceType>JournalArticle</b:SourceType>
    <b:Guid>{6C132B2E-DE03-422D-9ED7-B0D1D4487C9F}</b:Guid>
    <b:Author>
      <b:Author>
        <b:Corporate>C. Fukushima, H. Matsuse, S.J. Saeki </b:Corporate>
      </b:Author>
    </b:Author>
    <b:Title>Salivary IgA and oral candidiasis in asthmatic patients treated with inhaled corticosteroid</b:Title>
    <b:JournalName> Asthma</b:JournalName>
    <b:Year>2005</b:Year>
    <b:Pages>601–604</b:Pages>
    <b:Volume>42</b:Volume>
    <b:RefOrder>72</b:RefOrder>
  </b:Source>
  <b:Source>
    <b:Tag>JDS03</b:Tag>
    <b:SourceType>JournalArticle</b:SourceType>
    <b:Guid>{9C373E44-304D-41F8-9626-EE57B586FE5C}</b:Guid>
    <b:Author>
      <b:Author>
        <b:Corporate>J.D. Schulman, M.E. Nunn, S.E. Taylor </b:Corporate>
      </b:Author>
    </b:Author>
    <b:Title>The prevalence of periodontal related changes in adolescents with asthma: Results of third annual national health and nutrition examination survey </b:Title>
    <b:JournalName>Pediatr Dentist.</b:JournalName>
    <b:Year>2003</b:Year>
    <b:Pages>279-284</b:Pages>
    <b:Volume>25</b:Volume>
    <b:RefOrder>73</b:RefOrder>
  </b:Source>
  <b:Source>
    <b:Tag>PFW04</b:Tag>
    <b:SourceType>JournalArticle</b:SourceType>
    <b:Guid>{A3AF8C1B-C42A-40A2-845E-75CA718EB231}</b:Guid>
    <b:Author>
      <b:Author>
        <b:Corporate>P.F. Wei, K.Y. Ho, Y.P. Ho </b:Corporate>
      </b:Author>
    </b:Author>
    <b:Title>The investigation of glutathione peroxidase, lactoferrin, myeloperoxidase and interleukin-1beta in gingival crevicular fluid: implications for oxidative stress in human periodontal diseases</b:Title>
    <b:JournalName>J Periodontal Res.</b:JournalName>
    <b:Year>2004</b:Year>
    <b:Pages>287-293</b:Pages>
    <b:Volume>39</b:Volume>
    <b:Issue>5</b:Issue>
    <b:RefOrder>74</b:RefOrder>
  </b:Source>
  <b:Source>
    <b:Tag>Гев15</b:Tag>
    <b:SourceType>JournalArticle</b:SourceType>
    <b:Guid>{9F4AE28F-31F1-4E73-B437-B415E2E1E3C5}</b:Guid>
    <b:Author>
      <b:Author>
        <b:NameList>
          <b:Person>
            <b:Last>О.</b:Last>
            <b:First>Гевкалюк</b:First>
            <b:Middle>Н.</b:Middle>
          </b:Person>
        </b:NameList>
      </b:Author>
    </b:Author>
    <b:Title>Антиоксидантно-прооксидантні відношення у крові хворих на ГРВІ дітей із проявами захворювання в порожнині рота</b:Title>
    <b:JournalName>Медична та клінічна хімія. </b:JournalName>
    <b:Year>2015</b:Year>
    <b:Pages>91-95</b:Pages>
    <b:Volume>4</b:Volume>
    <b:RefOrder>75</b:RefOrder>
  </b:Source>
  <b:Source>
    <b:Tag>Год12</b:Tag>
    <b:SourceType>JournalArticle</b:SourceType>
    <b:Guid>{E8F9CBC8-7D1F-41AC-92FE-D36B9DFF4455}</b:Guid>
    <b:Author>
      <b:Author>
        <b:NameList>
          <b:Person>
            <b:Last>О.І.</b:Last>
            <b:First>Годованець</b:First>
          </b:Person>
        </b:NameList>
      </b:Author>
    </b:Author>
    <b:Title>Віддалені результати застосування препаратів антиоксидантної дії у комплексі лікування хронічного катарального гінгівіту в дітей </b:Title>
    <b:JournalName>Світ медицини та біології</b:JournalName>
    <b:Year>2012</b:Year>
    <b:Pages>80-83</b:Pages>
    <b:Issue>3</b:Issue>
    <b:RefOrder>22</b:RefOrder>
  </b:Source>
  <b:Source>
    <b:Tag>FAA05</b:Tag>
    <b:SourceType>JournalArticle</b:SourceType>
    <b:Guid>{E29C2DAD-EF71-4DD6-80C9-11EDE4CECB36}</b:Guid>
    <b:Author>
      <b:Author>
        <b:Corporate>F.A. Akalin, E. Toklu, N. Renda </b:Corporate>
      </b:Author>
    </b:Author>
    <b:Title>Analysis of superoxide dismutase activity levels in gingiva and gingival crevicular fluid in patients with chronic periodontitis and periodontally healthy controls</b:Title>
    <b:JournalName>J Clin Periodontol.</b:JournalName>
    <b:Year>2005</b:Year>
    <b:Pages>238-243</b:Pages>
    <b:Volume>32</b:Volume>
    <b:Issue>3</b:Issue>
    <b:RefOrder>76</b:RefOrder>
  </b:Source>
  <b:Source>
    <b:Tag>FDA10</b:Tag>
    <b:SourceType>JournalArticle</b:SourceType>
    <b:Guid>{6321D27B-7907-4522-8365-81C3886A1BD7}</b:Guid>
    <b:Author>
      <b:Author>
        <b:Corporate>F D’Aiuto, L Nibali, M Parkar et al.</b:Corporate>
      </b:Author>
    </b:Author>
    <b:Title>Oxidative stress, systemic inflammation, and severe periodontitis</b:Title>
    <b:JournalName>J Dent Res</b:JournalName>
    <b:Year>2010</b:Year>
    <b:Pages>1241–1246</b:Pages>
    <b:Volume>89</b:Volume>
    <b:RefOrder>77</b:RefOrder>
  </b:Source>
  <b:Source>
    <b:Tag>KHe00</b:Tag>
    <b:SourceType>JournalArticle</b:SourceType>
    <b:Guid>{B515AB1E-B37C-4504-918B-3A86C0FC06C7}</b:Guid>
    <b:Author>
      <b:Author>
        <b:Corporate>K. Hensley, K.A. Robinson, S.P. Gabbita </b:Corporate>
      </b:Author>
    </b:Author>
    <b:Title>Reactive oxygen species, cell signaling, and cell injury</b:Title>
    <b:JournalName>Free Radic Biol Med.</b:JournalName>
    <b:Year>2000</b:Year>
    <b:Pages>1456–1462</b:Pages>
    <b:Volume>28</b:Volume>
    <b:RefOrder>78</b:RefOrder>
  </b:Source>
  <b:Source>
    <b:Tag>SKi93</b:Tag>
    <b:SourceType>JournalArticle</b:SourceType>
    <b:Guid>{A67DBDD4-695E-46A9-AFE5-B203DF7B88DB}</b:Guid>
    <b:Author>
      <b:Author>
        <b:Corporate> S. Kimura, T. Yonemura, H. Kaya</b:Corporate>
      </b:Author>
    </b:Author>
    <b:Title>Increased oxidative product formation by peripheral blood polymorphonuclear leukocytes in human periodontal diseases </b:Title>
    <b:JournalName>J Periodontal Res. </b:JournalName>
    <b:Year>1993</b:Year>
    <b:Pages>197–203</b:Pages>
    <b:Volume>28</b:Volume>
    <b:RefOrder>79</b:RefOrder>
  </b:Source>
  <b:Source>
    <b:Tag>BTh13</b:Tag>
    <b:SourceType>JournalArticle</b:SourceType>
    <b:Guid>{95EE83AD-B897-48D8-A4D7-74AA9F380FFA}</b:Guid>
    <b:Author>
      <b:Author>
        <b:Corporate>B. Thomas, A. Ramesh, S. Suresh </b:Corporate>
      </b:Author>
    </b:Author>
    <b:Title> A comparative evaluation of antioxidant enzymes and selenium in the serum of periodontitis patients with diabetes mellitus type 2</b:Title>
    <b:JournalName>Contemp Clin Dent.</b:JournalName>
    <b:Year>2013</b:Year>
    <b:Pages>176–180</b:Pages>
    <b:Issue>4</b:Issue>
    <b:RefOrder>80</b:RefOrder>
  </b:Source>
  <b:Source>
    <b:Tag>DVS03</b:Tag>
    <b:SourceType>JournalArticle</b:SourceType>
    <b:Guid>{EE64F229-082A-4E34-9894-B2759BC94F16}</b:Guid>
    <b:Author>
      <b:Author>
        <b:Corporate> D.V. Sculley, S.C. Langley-Evans </b:Corporate>
      </b:Author>
    </b:Author>
    <b:Title>Periodontal disease is associated with lower antioxidant capacity in whole saliva and evidence of increased protein oxidation</b:Title>
    <b:JournalName>Clin Sci (Lond)</b:JournalName>
    <b:Year>2003</b:Year>
    <b:Pages>167–172</b:Pages>
    <b:Volume>105</b:Volume>
    <b:RefOrder>24</b:RefOrder>
  </b:Source>
  <b:Source>
    <b:Tag>ОЯВ15</b:Tag>
    <b:SourceType>JournalArticle</b:SourceType>
    <b:Guid>{ACE2B791-DA89-4B3C-91CB-4F820DAA692E}</b:Guid>
    <b:Author>
      <b:Author>
        <b:Corporate> О. Я. Видойник, О. В. Авдєєв, О. О. Стаханська</b:Corporate>
      </b:Author>
    </b:Author>
    <b:Title>Клінічна ефективність лікувально-профілактичних заходів у дітей зі стомат ологічними захворюваннями на фоні бронхіальної астми</b:Title>
    <b:JournalName>Вісник проблем біології і медицини</b:JournalName>
    <b:Year>2015</b:Year>
    <b:Pages>278-282</b:Pages>
    <b:Volume>117</b:Volume>
    <b:Issue>1</b:Issue>
    <b:RefOrder>81</b:RefOrder>
  </b:Source>
  <b:Source>
    <b:Tag>Glo11</b:Tag>
    <b:SourceType>Report</b:SourceType>
    <b:Guid>{88EF5862-3875-4121-A5FC-3DCDA59AA756}</b:Guid>
    <b:Title>The International Union Against Tuberculosis and Lung Diseases,</b:Title>
    <b:Year> 2011</b:Year>
    <b:Author>
      <b:Author>
        <b:NameList>
          <b:Person>
            <b:Last>Report</b:Last>
            <b:First>Global</b:First>
            <b:Middle>Asthma</b:Middle>
          </b:Person>
        </b:NameList>
      </b:Author>
    </b:Author>
    <b:City>Paris , France</b:City>
    <b:RefOrder>82</b:RefOrder>
  </b:Source>
  <b:Source>
    <b:Tag>Dav11</b:Tag>
    <b:SourceType>Book</b:SourceType>
    <b:Guid>{264E4CA0-65C2-4222-8F6F-2C82B27D8E08}</b:Guid>
    <b:Title>Gingival Diseases - Their Aetiology, Prevention and Treatment</b:Title>
    <b:Year>2011</b:Year>
    <b:Publisher>InTech.</b:Publisher>
    <b:Pages>246 p.</b:Pages>
    <b:Author>
      <b:Author>
        <b:NameList>
          <b:Person>
            <b:Last>Davies</b:Last>
            <b:First>Fotinos</b:First>
            <b:Middle>S. Panagakos and Robin M.</b:Middle>
          </b:Person>
        </b:NameList>
      </b:Author>
    </b:Author>
    <b:RefOrder>25</b:RefOrder>
  </b:Source>
  <b:Source>
    <b:Tag>BWW14</b:Tag>
    <b:SourceType>JournalArticle</b:SourceType>
    <b:Guid>{2266E982-6611-41F7-B9B8-E6190620972B}</b:Guid>
    <b:Title>Cancer risk among gingivitis and periodontitis patients: a nationwide cohort study </b:Title>
    <b:Year> 2014</b:Year>
    <b:Author>
      <b:Author>
        <b:NameList>
          <b:Person>
            <b:Last>B.-W. WEN</b:Last>
            <b:First>C.-S.</b:First>
            <b:Middle>TSAI, C.-L. LIN, Y.-J. CHANG, C.-F. LEE, C.-H. HSU and C.-H. KAO</b:Middle>
          </b:Person>
        </b:NameList>
      </b:Author>
    </b:Author>
    <b:JournalName>Q J Med</b:JournalName>
    <b:Pages>283–290</b:Pages>
    <b:Volume>107</b:Volume>
    <b:RefOrder>26</b:RefOrder>
  </b:Source>
  <b:Source>
    <b:Tag>Söd15</b:Tag>
    <b:SourceType>JournalArticle</b:SourceType>
    <b:Guid>{A6AAC95B-59A9-4229-96BC-AA0331809617}</b:Guid>
    <b:Author>
      <b:Author>
        <b:NameList>
          <b:Person>
            <b:Last>Söder B</b:Last>
            <b:First>Andersson</b:First>
            <b:Middle>LC, Meurman JH, Söder P-Ö.</b:Middle>
          </b:Person>
        </b:NameList>
      </b:Author>
    </b:Author>
    <b:Title>Unique database study linking gingival inflammation and smoking in carcinogenesis </b:Title>
    <b:JournalName>Phil. Trans. R. Soc. </b:JournalName>
    <b:Year>2015</b:Year>
    <b:Pages>370</b:Pages>
    <b:Volume>B </b:Volume>
    <b:RefOrder>27</b:RefOrder>
  </b:Source>
  <b:Source>
    <b:Tag>Söd05</b:Tag>
    <b:SourceType>JournalArticle</b:SourceType>
    <b:Guid>{A301EE71-4A93-4BCF-B103-F0C80A2BC84C}</b:Guid>
    <b:Author>
      <b:Author>
        <b:NameList>
          <b:Person>
            <b:Last>Söder P-Ö</b:Last>
            <b:First>Söder</b:First>
            <b:Middle>B, Nowak J, Jogestrand T.</b:Middle>
          </b:Person>
        </b:NameList>
      </b:Author>
    </b:Author>
    <b:Title>Early carotid atherosclerosis in subjects with periodontal diseases</b:Title>
    <b:JournalName>Stroke</b:JournalName>
    <b:Year>2005 </b:Year>
    <b:Pages>1195–1200</b:Pages>
    <b:Volume>36</b:Volume>
    <b:RefOrder>28</b:RefOrder>
  </b:Source>
  <b:Source>
    <b:Tag>Mat05</b:Tag>
    <b:SourceType>JournalArticle</b:SourceType>
    <b:Guid>{D3EB96E6-FD7A-4785-BD7D-E44241CCD792}</b:Guid>
    <b:Author>
      <b:Author>
        <b:NameList>
          <b:Person>
            <b:Last>Mattila KJ</b:Last>
            <b:First>Pussinen</b:First>
            <b:Middle>PJ, Paju S.</b:Middle>
          </b:Person>
        </b:NameList>
      </b:Author>
    </b:Author>
    <b:Title>Dental infections and cardiovascular diseases: a review.</b:Title>
    <b:JournalName> J. Periodontol. </b:JournalName>
    <b:Year>2005 </b:Year>
    <b:Pages>2085–2088</b:Pages>
    <b:Volume>76</b:Volume>
    <b:RefOrder>29</b:RefOrder>
  </b:Source>
  <b:Source>
    <b:Tag>Meu04</b:Tag>
    <b:SourceType>JournalArticle</b:SourceType>
    <b:Guid>{7ADAE98E-6B11-4917-80C7-C0D66882E996}</b:Guid>
    <b:Author>
      <b:Author>
        <b:NameList>
          <b:Person>
            <b:Last>Meurman JH</b:Last>
            <b:First>Sanz</b:First>
            <b:Middle>M, Janket SJ.</b:Middle>
          </b:Person>
        </b:NameList>
      </b:Author>
    </b:Author>
    <b:Title>Oral health, atherosclerosis, and cardiovascular disease </b:Title>
    <b:JournalName>Crit. Rev. Oral Biol. Med.</b:JournalName>
    <b:Year>2004</b:Year>
    <b:Pages>403–413</b:Pages>
    <b:Volume>15</b:Volume>
    <b:RefOrder>30</b:RefOrder>
  </b:Source>
  <b:Source>
    <b:Tag>Vir14</b:Tag>
    <b:SourceType>JournalArticle</b:SourceType>
    <b:Guid>{BEE14A17-24DA-47D3-923A-D020FFD8AA9A}</b:Guid>
    <b:Author>
      <b:Author>
        <b:NameList>
          <b:Person>
            <b:Last>Virtanen E</b:Last>
            <b:First>Söder</b:First>
            <b:Middle>B, Andersson LC, Meurman JH, Söder P-Ö.</b:Middle>
          </b:Person>
        </b:NameList>
      </b:Author>
    </b:Author>
    <b:Title>History of dental infection associates with cancer in periodontally healthy subjects: a 24-year follow-up study from Sweden. </b:Title>
    <b:JournalName>J. Cancer </b:JournalName>
    <b:Year>2014</b:Year>
    <b:Pages> 79–85</b:Pages>
    <b:Volume>5</b:Volume>
    <b:RefOrder>31</b:RefOrder>
  </b:Source>
  <b:Source>
    <b:Tag>Chi12</b:Tag>
    <b:SourceType>JournalArticle</b:SourceType>
    <b:Guid>{96EA9533-91AA-4FC6-9365-8B3381ADA728}</b:Guid>
    <b:Author>
      <b:Author>
        <b:Corporate>Chian-Yaw Hwang, Yi-Ju Chen, Ming-Wei Lin, Tzeng-Ji Chen, et al.  </b:Corporate>
      </b:Author>
    </b:Author>
    <b:Title>Cancer risk in patients with allergic rhinitis, asthma and atopic dermatitis: a nationwide cohort study in Taiwan</b:Title>
    <b:JournalName>Int. J. Cancer </b:JournalName>
    <b:Year>2012 </b:Year>
    <b:Pages>1160–1167</b:Pages>
    <b:Volume>130</b:Volume>
    <b:RefOrder>32</b:RefOrder>
  </b:Source>
  <b:Source>
    <b:Tag>Alb12</b:Tag>
    <b:SourceType>JournalArticle</b:SourceType>
    <b:Guid>{C8A35DC7-4BA8-4C68-B685-C1781FAFDAF2}</b:Guid>
    <b:Author>
      <b:Author>
        <b:Corporate>Albert Rosenberger, Heike Bickeböller, Valerie McCormack, Darren R.Brenner, et al.</b:Corporate>
      </b:Author>
    </b:Author>
    <b:Title> Asthma and lung cancer risk: a systematic investigation by the International Lung Cancer Consortium</b:Title>
    <b:JournalName>Carcinogenesis</b:JournalName>
    <b:Year>2012 </b:Year>
    <b:Pages>587–597</b:Pages>
    <b:Volume>33</b:Volume>
    <b:RefOrder>33</b:RefOrder>
  </b:Source>
  <b:Source>
    <b:Tag>Dav02</b:Tag>
    <b:SourceType>JournalArticle</b:SourceType>
    <b:Guid>{BB227474-4670-4F13-9F62-B5EE12E2EC44}</b:Guid>
    <b:Author>
      <b:Author>
        <b:NameList>
          <b:Person>
            <b:Last>Davies J.R.</b:Last>
            <b:First>Herrmann</b:First>
            <b:Middle>A., Russell W., Svitacheva N., Wickstrom C., Carlstedt I.</b:Middle>
          </b:Person>
        </b:NameList>
      </b:Author>
    </b:Author>
    <b:Title> Respiratory tract mucins: structure and expression patterns</b:Title>
    <b:JournalName>Novartis Found Symp. </b:JournalName>
    <b:Year>2002</b:Year>
    <b:Pages>76–88</b:Pages>
    <b:Volume>248</b:Volume>
    <b:RefOrder>46</b:RefOrder>
  </b:Source>
  <b:Source>
    <b:Tag>Pea12</b:Tag>
    <b:SourceType>JournalArticle</b:SourceType>
    <b:Guid>{827516F7-1D70-4228-B584-A73282D46158}</b:Guid>
    <b:Author>
      <b:Author>
        <b:NameList>
          <b:Person>
            <b:Last>Peacocke J.</b:Last>
            <b:First>Lotz</b:First>
            <b:Middle>Z., de Beer C., Roux P., et al.</b:Middle>
          </b:Person>
        </b:NameList>
      </b:Author>
    </b:Author>
    <b:Title> The role of crude saliva and purified salivary mucins in the inhibition of the Human Immunodeficiency Virus type 1 </b:Title>
    <b:JournalName>Virology Journal</b:JournalName>
    <b:Year>2012</b:Year>
    <b:Pages>177</b:Pages>
    <b:Volume>9</b:Volume>
    <b:RefOrder>47</b:RefOrder>
  </b:Source>
  <b:Source>
    <b:Tag>Des99</b:Tag>
    <b:SourceType>JournalArticle</b:SourceType>
    <b:Guid>{465057E5-EA83-4CB3-950C-C296080B5350}</b:Guid>
    <b:Author>
      <b:Author>
        <b:NameList>
          <b:Person>
            <b:Last>Desseyn J.-L.</b:Last>
            <b:First>Rousseau</b:First>
            <b:Middle>K., Laine A.</b:Middle>
          </b:Person>
        </b:NameList>
      </b:Author>
    </b:Author>
    <b:Title> Fifty-nine bp repeat polymorphism in the uncommon intron 36 of the human mucin gene MUC5B </b:Title>
    <b:JournalName>Electrophoresis</b:JournalName>
    <b:Year>1999</b:Year>
    <b:Pages>493-496</b:Pages>
    <b:Volume>20</b:Volume>
    <b:RefOrder>48</b:RefOrder>
  </b:Source>
  <b:Source>
    <b:Tag>Vin00</b:Tag>
    <b:SourceType>JournalArticle</b:SourceType>
    <b:Guid>{9889CFA0-8075-490B-83FC-C2059CC9AFF5}</b:Guid>
    <b:Author>
      <b:Author>
        <b:NameList>
          <b:Person>
            <b:Last>Vinall L.E.</b:Last>
            <b:First>Fowler</b:First>
            <b:Middle>J.C., Jones A.L., Kirkbride H.J., de Bolos C., Laine A., Porchet N., Gum J.R., Kim Y.S., Moss P.M., Mitchell D.M., Swallow D.M.</b:Middle>
          </b:Person>
        </b:NameList>
      </b:Author>
    </b:Author>
    <b:Title>Polymorphism of human mucin genes in chest disease, possible significance of MUC2. </b:Title>
    <b:JournalName>Am J Respir Cell Mol Biol</b:JournalName>
    <b:Year>2000</b:Year>
    <b:Pages>678-686</b:Pages>
    <b:Volume>23</b:Volume>
    <b:RefOrder>50</b:RefOrder>
  </b:Source>
  <b:Source>
    <b:Tag>Kir01</b:Tag>
    <b:SourceType>JournalArticle</b:SourceType>
    <b:Guid>{A262A889-C8DF-4D8B-8DB0-E46AFC734FDE}</b:Guid>
    <b:Author>
      <b:Author>
        <b:NameList>
          <b:Person>
            <b:Last>Kirkbride H.J.</b:Last>
            <b:First>Bolscher</b:First>
            <b:Middle>J.G., Nazmi K., Vinall L.E., Nash M.W., Moss F.M., Mitchell D.M., Swallow D.M.</b:Middle>
          </b:Person>
        </b:NameList>
      </b:Author>
    </b:Author>
    <b:Title>Genetic polymorphism of MUC7: allele frequencies and association with asthma. </b:Title>
    <b:JournalName>Eur. J. Hum. Genet. </b:JournalName>
    <b:Year>2001</b:Year>
    <b:Pages>347–354</b:Pages>
    <b:Volume>9</b:Volume>
    <b:Issue>5</b:Issue>
    <b:RefOrder>51</b:RefOrder>
  </b:Source>
  <b:Source>
    <b:Tag>Ros06</b:Tag>
    <b:SourceType>JournalArticle</b:SourceType>
    <b:Guid>{D9F706B6-9A38-4E99-8114-31F0F0C6C6AD}</b:Guid>
    <b:Author>
      <b:Author>
        <b:NameList>
          <b:Person>
            <b:Last>Rose M.C.</b:Last>
            <b:First>and</b:First>
            <b:Middle>Voynow, J.A.</b:Middle>
          </b:Person>
        </b:NameList>
      </b:Author>
    </b:Author>
    <b:Title>Respiratory tract mucin genes and mucin glycoproteins in health and disease. </b:Title>
    <b:JournalName>Physiol Rev</b:JournalName>
    <b:Year>2006</b:Year>
    <b:Pages>245–278.</b:Pages>
    <b:Volume>86</b:Volume>
    <b:Issue>1</b:Issue>
    <b:RefOrder>52</b:RefOrder>
  </b:Source>
  <b:Source>
    <b:Tag>Eva09</b:Tag>
    <b:SourceType>JournalArticle</b:SourceType>
    <b:Guid>{015E940B-5847-4028-B462-695946BE9A39}</b:Guid>
    <b:Author>
      <b:Author>
        <b:NameList>
          <b:Person>
            <b:Last>Evans C.M.</b:Last>
            <b:First>Koo</b:First>
            <b:Middle>J.S.</b:Middle>
          </b:Person>
        </b:NameList>
      </b:Author>
    </b:Author>
    <b:Title>Airway mucus: the good, the bad, the sticky</b:Title>
    <b:JournalName>Pharmacol. Therapeut.</b:JournalName>
    <b:Year> 2009</b:Year>
    <b:Pages>332–348</b:Pages>
    <b:Volume>121</b:Volume>
    <b:Issue>3</b:Issue>
    <b:RefOrder>53</b:RefOrder>
  </b:Source>
  <b:Source>
    <b:Tag>Ros01</b:Tag>
    <b:SourceType>JournalArticle</b:SourceType>
    <b:Guid>{4D4289D4-17AB-4C11-8BDD-8E5A9E745182}</b:Guid>
    <b:Author>
      <b:Author>
        <b:NameList>
          <b:Person>
            <b:Last>Rose M.C.</b:Last>
            <b:First>Nickola</b:First>
            <b:Middle>T.J., Voynow J.A.</b:Middle>
          </b:Person>
        </b:NameList>
      </b:Author>
    </b:Author>
    <b:Title> Airway mucus obstruction: mucin glycoproteins, MUC gene regulation and goblet cell hyperplasia</b:Title>
    <b:JournalName>Am. J. Respir. Cell. Mol. Biol. </b:JournalName>
    <b:Year>2001</b:Year>
    <b:Pages>533–537</b:Pages>
    <b:Volume>25</b:Volume>
    <b:RefOrder>54</b:RefOrder>
  </b:Source>
  <b:Source>
    <b:Tag>Voy02</b:Tag>
    <b:SourceType>JournalArticle</b:SourceType>
    <b:Guid>{22DC0560-9441-44BE-9039-FB07218A553B}</b:Guid>
    <b:Author>
      <b:Author>
        <b:NameList>
          <b:Person>
            <b:Last>J.A.</b:Last>
            <b:First>Voynow</b:First>
          </b:Person>
        </b:NameList>
      </b:Author>
    </b:Author>
    <b:Title>What does mucin have to do with lung disease?</b:Title>
    <b:JournalName> Paediatr Respir Rev. </b:JournalName>
    <b:Year>2002</b:Year>
    <b:Pages>98-103</b:Pages>
    <b:Volume>3</b:Volume>
    <b:RefOrder>55</b:RefOrder>
  </b:Source>
  <b:Source>
    <b:Tag>Esc01</b:Tag>
    <b:SourceType>JournalArticle</b:SourceType>
    <b:Guid>{1EB59E4C-CBAA-4101-A431-C66410AEFAED}</b:Guid>
    <b:Author>
      <b:Author>
        <b:NameList>
          <b:Person>
            <b:Last>Escande F.</b:Last>
            <b:First>Aubert</b:First>
            <b:Middle>J.P., Porchet N., Buisine M.P.</b:Middle>
          </b:Person>
        </b:NameList>
      </b:Author>
    </b:Author>
    <b:Title>Human mucin gene MUC5AC: organization of its 5'-region and central repetitive region </b:Title>
    <b:JournalName>Biochem J. </b:JournalName>
    <b:Year>2001</b:Year>
    <b:Pages>763–772</b:Pages>
    <b:Volume>358</b:Volume>
    <b:RefOrder>56</b:RefOrder>
  </b:Source>
  <b:Source>
    <b:Tag>Bro16</b:Tag>
    <b:SourceType>BookSection</b:SourceType>
    <b:Guid>{ECE16D7E-A711-400D-A61D-8A797E8DB674}</b:Guid>
    <b:Author>
      <b:Author>
        <b:NameList>
          <b:Person>
            <b:Last>Bronwen L. Aken</b:Last>
            <b:First>Sarah</b:First>
            <b:Middle>Ayling, Daniel Barrell, Laura Clarke, et al.</b:Middle>
          </b:Person>
        </b:NameList>
      </b:Author>
    </b:Author>
    <b:Title>The Ensembl gene annotation system.</b:Title>
    <b:Year>2016</b:Year>
    <b:Pages>baw093</b:Pages>
    <b:Publisher>Database 2016 </b:Publisher>
    <b:RefOrder>45</b:RefOrder>
  </b:Source>
  <b:Source>
    <b:Tag>Fei11</b:Tag>
    <b:SourceType>JournalArticle</b:SourceType>
    <b:Guid>{7AD332CF-AA5C-4F7D-BE50-E10B7CE7FB68}</b:Guid>
    <b:Title>P21 codon 31 polymorphism associated with cancer among white people: evidence from a meta-analysis involving 78 074 subjects </b:Title>
    <b:Year>2011</b:Year>
    <b:Pages>513–521</b:Pages>
    <b:Author>
      <b:Author>
        <b:NameList>
          <b:Person>
            <b:Last>Fei Liu</b:Last>
            <b:First>Bo</b:First>
            <b:Middle>Li, Yonggang Wei, Xi Chen, Yu Ma, Lvnan Yan and Tianfu Wen</b:Middle>
          </b:Person>
        </b:NameList>
      </b:Author>
    </b:Author>
    <b:JournalName>Mutagenesis</b:JournalName>
    <b:Volume>26</b:Volume>
    <b:Issue>4</b:Issue>
    <b:RefOrder>83</b:RefOrder>
  </b:Source>
  <b:Source>
    <b:Tag>Sjäug</b:Tag>
    <b:SourceType>JournalArticle</b:SourceType>
    <b:Guid>{5EF0D164-89DD-4C7D-9244-9ECDE4D9FBD1}</b:Guid>
    <b:Author>
      <b:Author>
        <b:NameList>
          <b:Person>
            <b:Last>Själander A</b:Last>
            <b:First>Birgander</b:First>
            <b:Middle>R, Rannug A, Alexandrie AK, Tornling G, Beckman G.</b:Middle>
          </b:Person>
        </b:NameList>
      </b:Author>
    </b:Author>
    <b:Title> Association between the p21 codon 31 A1 (arg) allele and lung cancer </b:Title>
    <b:JournalName>Hum Hered.</b:JournalName>
    <b:Year>1996 Jul-Aug</b:Year>
    <b:Pages>221-225</b:Pages>
    <b:Volume>46</b:Volume>
    <b:Issue>4</b:Issue>
    <b:RefOrder>84</b:RefOrder>
  </b:Source>
  <b:Source>
    <b:Tag>Ron15</b:Tag>
    <b:SourceType>JournalArticle</b:SourceType>
    <b:Guid>{87BFB815-9AA1-496A-99D0-11B3B5326846}</b:Guid>
    <b:Author>
      <b:Author>
        <b:NameList>
          <b:Person>
            <b:Last>Rongxin Chen</b:Last>
            <b:First>Shu</b:First>
            <b:Middle>Liu, Huijing Ye, Jiali Li, et al.</b:Middle>
          </b:Person>
        </b:NameList>
      </b:Author>
    </b:Author>
    <b:Title> Association of p53 rs1042522, MDM2 rs2279744, and p21 rs1801270 polymorphisms with retinoblastoma risk and invasion in a Chinese population</b:Title>
    <b:JournalName>Scientific RepoRts.</b:JournalName>
    <b:Year>2015</b:Year>
    <b:Volume>5</b:Volume>
    <b:RefOrder>85</b:RefOrder>
  </b:Source>
  <b:Source>
    <b:Tag>Kun15</b:Tag>
    <b:SourceType>JournalArticle</b:SourceType>
    <b:Guid>{41385A97-5415-4AFF-8903-3EA5C7D1655A}</b:Guid>
    <b:Author>
      <b:Author>
        <b:NameList>
          <b:Person>
            <b:Last>Kun Tang</b:Last>
            <b:First>Chenghe</b:First>
            <b:Middle>Wang, Zhong Chen, Hua Xu, Zhangqun Ye</b:Middle>
          </b:Person>
        </b:NameList>
      </b:Author>
    </b:Author>
    <b:Title>Clinicopathologic and prognostic significance of p21 (Cip1/Waf1) expression in bladder cancer</b:Title>
    <b:JournalName> Int J Clin Exp Pathol </b:JournalName>
    <b:Year>2015</b:Year>
    <b:Pages>4999-5007</b:Pages>
    <b:Volume>8</b:Volume>
    <b:Issue>5</b:Issue>
    <b:RefOrder>86</b:RefOrder>
  </b:Source>
  <b:Source xmlns:b="http://schemas.openxmlformats.org/officeDocument/2006/bibliography">
    <b:Tag>FSa16</b:Tag>
    <b:SourceType>JournalArticle</b:SourceType>
    <b:Guid>{805EBC4A-74DB-44D9-ADBB-E6E170241559}</b:Guid>
    <b:Author>
      <b:Author>
        <b:NameList>
          <b:Person>
            <b:Last>F Sawair</b:Last>
            <b:First>Y</b:First>
            <b:Middle>Hassona, C Irwin, M Stephenson, et al.</b:Middle>
          </b:Person>
        </b:NameList>
      </b:Author>
    </b:Author>
    <b:Title>Expression at Invasive Tumour Fronts of Oral Squamous Cell Carcinomas and Development of Local Recurrence </b:Title>
    <b:JournalName>Asian Pacific Journal of Cancer Prevention. </b:JournalName>
    <b:Year>2016</b:Year>
    <b:Pages>53</b:Pages>
    <b:Volume>13</b:Volume>
    <b:RefOrder>87</b:RefOrder>
  </b:Source>
  <b:Source>
    <b:Tag>FSa161</b:Tag>
    <b:SourceType>JournalArticle</b:SourceType>
    <b:Guid>{7F58C044-38F2-4D8F-AEDF-4487E23958F1}</b:Guid>
    <b:Author>
      <b:Author>
        <b:NameList>
          <b:Person>
            <b:Last>F Sawair</b:Last>
            <b:First>Y</b:First>
            <b:Middle>Hassona, C Irwin, M Stephenson, et al.</b:Middle>
          </b:Person>
        </b:NameList>
      </b:Author>
    </b:Author>
    <b:Title>P53, Cyclin D1, p21 (WAF1) and Ki-67 (MIB1) Expression at Invasive Tumour Fronts of Oral Squamous Cell Carcinomas and Development of Local Recurrence</b:Title>
    <b:JournalName>Asian Pacific Journal of Cancer Prevention. </b:JournalName>
    <b:Year>2016</b:Year>
    <b:Pages>1243-1249</b:Pages>
    <b:Volume>17</b:Volume>
    <b:RefOrder>88</b:RefOrder>
  </b:Source>
  <b:Source>
    <b:Tag>Ron151</b:Tag>
    <b:SourceType>JournalArticle</b:SourceType>
    <b:Guid>{04890C94-622E-48D9-94B5-5273A35CD6F3}</b:Guid>
    <b:Author>
      <b:Author>
        <b:NameList>
          <b:Person>
            <b:Last>Rongxin Chen</b:Last>
            <b:First>Shu</b:First>
            <b:Middle>Liu, Huijing Ye, Jiali Li, et al.</b:Middle>
          </b:Person>
        </b:NameList>
      </b:Author>
    </b:Author>
    <b:Title>Association of p53 rs1042522, MDM2 rs2279744, and p21 rs1801270 polymorphisms with retinoblastoma risk and invasion in a Chinese population</b:Title>
    <b:JournalName>Scientific RepoRts. </b:JournalName>
    <b:Year>2015</b:Year>
    <b:Pages>13300</b:Pages>
    <b:Volume>5</b:Volume>
    <b:RefOrder>89</b:RefOrder>
  </b:Source>
  <b:Source>
    <b:Tag>Kun151</b:Tag>
    <b:SourceType>JournalArticle</b:SourceType>
    <b:Guid>{33343FEF-8FE3-4161-A54E-34AE083387D2}</b:Guid>
    <b:Author>
      <b:Author>
        <b:NameList>
          <b:Person>
            <b:Last>Kun Tang</b:Last>
            <b:First>Chenghe</b:First>
            <b:Middle>Wang, Zhong Chen, Hua Xu, Zhangqun Ye</b:Middle>
          </b:Person>
        </b:NameList>
      </b:Author>
    </b:Author>
    <b:Title>Clinicopathologic and prognostic significance of p21 (Cip1/Waf1) expression in bladder cancer</b:Title>
    <b:JournalName>Int J Clin Exp Pathol </b:JournalName>
    <b:Year>2015</b:Year>
    <b:Pages>4999-5007</b:Pages>
    <b:Volume>8</b:Volume>
    <b:Issue>5</b:Issue>
    <b:RefOrder>90</b:RefOrder>
  </b:Source>
  <b:Source>
    <b:Tag>Ivn13</b:Tag>
    <b:SourceType>JournalArticle</b:SourceType>
    <b:Guid>{24EBD6C6-C7AD-491B-92DB-80CDE76A4525}</b:Guid>
    <b:Author>
      <b:Author>
        <b:NameList>
          <b:Person>
            <b:Last>Ivna Néria Silva Ribamar Carvalho</b:Last>
            <b:First>Adriana</b:First>
            <b:Middle>Helena de Oliveira Reis, Pedro H. Cabello and Fernando Regla Vargas</b:Middle>
          </b:Person>
        </b:NameList>
      </b:Author>
    </b:Author>
    <b:Title>Polymorphisms of CDKN1A gene and risk of retinoblastoma</b:Title>
    <b:JournalName>Carcinogenesis</b:JournalName>
    <b:Year>2013</b:Year>
    <b:Pages>2774–2777</b:Pages>
    <b:Volume>34</b:Volume>
    <b:Issue>12</b:Issue>
    <b:RefOrder>91</b:RefOrder>
  </b:Source>
  <b:Source>
    <b:Tag>Gov06</b:Tag>
    <b:SourceType>BookSection</b:SourceType>
    <b:Guid>{24A525C9-4993-4D6F-916D-074E332225B6}</b:Guid>
    <b:Author>
      <b:Author>
        <b:NameList>
          <b:Person>
            <b:Last>Govender</b:Last>
            <b:First>U.</b:First>
          </b:Person>
        </b:NameList>
      </b:Author>
    </b:Author>
    <b:Title>The biochemical and molecular, characterisation of respiratory mucins in TB.</b:Title>
    <b:Year>2006</b:Year>
    <b:BookTitle>Thesis submitted in fulfillment of the requirements for the degree of Master of Science in Medical Biochemistry</b:BookTitle>
    <b:City>Cape Town</b:City>
    <b:Publisher>University of Cape Town</b:Publisher>
    <b:RefOrder>49</b:RefOrder>
  </b:Source>
  <b:Source>
    <b:Tag>Мал13</b:Tag>
    <b:SourceType>JournalArticle</b:SourceType>
    <b:Guid>{AF988ED2-F906-4A33-A518-7E8583A2475A}</b:Guid>
    <b:Author>
      <b:Author>
        <b:NameList>
          <b:Person>
            <b:Last>Малий Д.Ю.</b:Last>
            <b:First>Антоненко</b:First>
            <b:Middle>Д.Ю.</b:Middle>
          </b:Person>
        </b:NameList>
      </b:Author>
    </b:Author>
    <b:Title>Епідеміологічя захврювань пародонту: віковий аспект</b:Title>
    <b:Year>2013</b:Year>
    <b:Pages>41-43</b:Pages>
    <b:JournalName>Український медичний науково-молодіжний журнал</b:JournalName>
    <b:Issue>4</b:Issue>
    <b:RefOrder>92</b:RefOrder>
  </b:Source>
  <b:Source>
    <b:Tag>NTi98</b:Tag>
    <b:SourceType>JournalArticle</b:SourceType>
    <b:Guid>{086D21BA-9810-4B0E-B06F-5F1120E03C26}</b:Guid>
    <b:Author>
      <b:Author>
        <b:Corporate>N. Titenko-Holland, R.A. Jacob, N. Shang, A. Balaraman, M.T. Smith </b:Corporate>
      </b:Author>
    </b:Author>
    <b:Title>Micronuclei in lymphocytes and exfoliated buccal cells of postmenopausal women with dietary changes in folate </b:Title>
    <b:JournalName>Genetic Toxycology and Environmental Mutagenesis</b:JournalName>
    <b:Year>1998</b:Year>
    <b:Pages>101-114</b:Pages>
    <b:Volume>417</b:Volume>
    <b:Issue>2</b:Issue>
    <b:RefOrder>36</b:RefOrder>
  </b:Source>
  <b:Source>
    <b:Tag>BKa99</b:Tag>
    <b:SourceType>JournalArticle</b:SourceType>
    <b:Guid>{BA7E5103-3470-4F12-B2D9-5DD2BAC65663}</b:Guid>
    <b:Author>
      <b:Author>
        <b:Corporate>B. Karahalil, A.E. Karakaya, S. Burgaz </b:Corporate>
      </b:Author>
    </b:Author>
    <b:Title>The micronucleus assay in exfoliated buccal cells: application to occupational exposure to polycyclic aromatic hydrocarbons</b:Title>
    <b:JournalName>Mutation Research/Genetic Toxicology and Environmental Mutagenesis. </b:JournalName>
    <b:Year>1999</b:Year>
    <b:Pages>29-35</b:Pages>
    <b:Volume>442</b:Volume>
    <b:Issue>1</b:Issue>
    <b:RefOrder>37</b:RefOrder>
  </b:Source>
  <b:Source>
    <b:Tag>ARa02</b:Tag>
    <b:SourceType>JournalArticle</b:SourceType>
    <b:Guid>{247D1A55-2242-4A7A-A042-3BCDE1EDC3E3}</b:Guid>
    <b:Author>
      <b:Author>
        <b:Corporate>A. Ramirez, P.H. Saldanha </b:Corporate>
      </b:Author>
    </b:Author>
    <b:Title>Micronucleus investigation of alcoholic patients with oral carcinomas </b:Title>
    <b:JournalName>Genet Mol Res. </b:JournalName>
    <b:Year>2002</b:Year>
    <b:Pages>246-260</b:Pages>
    <b:Volume>1</b:Volume>
    <b:Issue>3</b:Issue>
    <b:RefOrder>38</b:RefOrder>
  </b:Source>
  <b:Source>
    <b:Tag>Шко05</b:Tag>
    <b:SourceType>JournalArticle</b:SourceType>
    <b:Guid>{EF9F274A-FA79-4ED9-945A-118950B76430}</b:Guid>
    <b:Title>Структурні та електрокінетичні властивості ядер клітин букального епітелію людини у зв’язку з дією фізико-хімічних факторів та зміною функціонального стану організму</b:Title>
    <b:JournalName>дис. д-ра биол. наук: 03. 00. 11. Київ: Нац.унт ім. Т.Шевченка</b:JournalName>
    <b:Year>2005</b:Year>
    <b:Pages>349</b:Pages>
    <b:Author>
      <b:Author>
        <b:NameList>
          <b:Person>
            <b:Last>Ю.Г.</b:Last>
            <b:First>Шкорбатов</b:First>
          </b:Person>
        </b:NameList>
      </b:Author>
    </b:Author>
    <b:RefOrder>93</b:RefOrder>
  </b:Source>
  <b:Source>
    <b:Tag>ВАК90</b:Tag>
    <b:SourceType>JournalArticle</b:SourceType>
    <b:Guid>{A7E8E069-EC8D-4A53-8E11-9A56E05F1810}</b:Guid>
    <b:Author>
      <b:Author>
        <b:NameList>
          <b:Person>
            <b:Last>В.А. Костюк</b:Last>
            <b:First>А.И.</b:First>
            <b:Middle>Потапович, Ж.В. Ковалева</b:Middle>
          </b:Person>
        </b:NameList>
      </b:Author>
    </b:Author>
    <b:Title>Простой и чувствительный метод определения активности супероксиддисмутазы, основанный на реакции окисления кверцетина </b:Title>
    <b:JournalName>Вопр. мед. химии.</b:JournalName>
    <b:Year>1990</b:Year>
    <b:Pages>88-91</b:Pages>
    <b:Issue>2</b:Issue>
    <b:RefOrder>39</b:RefOrder>
  </b:Source>
  <b:Source>
    <b:Tag>CYH10</b:Tag>
    <b:SourceType>JournalArticle</b:SourceType>
    <b:Guid>{E5E065E1-3AC4-462C-AD72-E940736AFBA3}</b:Guid>
    <b:Author>
      <b:Author>
        <b:Corporate>C.Y. Hwang, Y.J. Chen, M.W. Lin et al.</b:Corporate>
      </b:Author>
    </b:Author>
    <b:Title>Prevalence of atopic dermatitis, allergic rhinitis and asthma in Taiwan: a national study 2000 to 2007</b:Title>
    <b:JournalName>Acta Derm Venereol. </b:JournalName>
    <b:Year>2010</b:Year>
    <b:Pages>589-594</b:Pages>
    <b:Volume>90</b:Volume>
    <b:RefOrder>9</b:RefOrder>
  </b:Source>
  <b:Source>
    <b:Tag>GWW13</b:Tag>
    <b:SourceType>JournalArticle</b:SourceType>
    <b:Guid>{228BCFCA-3485-4AA3-BEF3-258A6AFD64AD}</b:Guid>
    <b:Author>
      <b:Author>
        <b:Corporate>G.W. Wong, T.F. Leung, F.W. Ko. </b:Corporate>
      </b:Author>
    </b:Author>
    <b:Title>Changing prevalence of allergic diseases in the Asia-pacific region</b:Title>
    <b:JournalName>Allergy Asthma Immunol Res.</b:JournalName>
    <b:Year>2013</b:Year>
    <b:Pages>251-257</b:Pages>
    <b:Issue>5</b:Issue>
    <b:RefOrder>10</b:RefOrder>
  </b:Source>
  <b:Source>
    <b:Tag>RKa10</b:Tag>
    <b:SourceType>JournalArticle</b:SourceType>
    <b:Guid>{C8ACD61A-AC76-414F-AE94-75EA4B2D17B5}</b:Guid>
    <b:Author>
      <b:Author>
        <b:Corporate> R. Kathariya, A.R. Pradeep </b:Corporate>
      </b:Author>
    </b:Author>
    <b:Title>Salivary proteomic biomarkers for oral diseases: A review of literature </b:Title>
    <b:JournalName>Arch Oral Sci Res.</b:JournalName>
    <b:Year>2010</b:Year>
    <b:Pages>439-442</b:Pages>
    <b:Issue>1</b:Issue>
    <b:RefOrder>94</b:RefOrder>
  </b:Source>
  <b:Source>
    <b:Tag>MBa02</b:Tag>
    <b:SourceType>JournalArticle</b:SourceType>
    <b:Guid>{9AA6B861-9B39-48D8-B868-47060BB32C2D}</b:Guid>
    <b:Author>
      <b:Author>
        <b:NameList>
          <b:Person>
            <b:Last>M. Battino</b:Last>
            <b:First>M.S.</b:First>
            <b:Middle>Ferreiro, I. Gallardo et al.</b:Middle>
          </b:Person>
        </b:NameList>
      </b:Author>
    </b:Author>
    <b:Title> The antioxidant capacity of saliva </b:Title>
    <b:JournalName>J Clin Periodontol. </b:JournalName>
    <b:Year>2002</b:Year>
    <b:Pages>189-194</b:Pages>
    <b:Volume>29</b:Volume>
    <b:RefOrder>95</b:RefOrder>
  </b:Source>
  <b:Source>
    <b:Tag>JKh08</b:Tag>
    <b:SourceType>JournalArticle</b:SourceType>
    <b:Guid>{10CBF8CB-D91D-4078-86A7-4F1B74BCB75E}</b:Guid>
    <b:Author>
      <b:Author>
        <b:Corporate>J. Khalili, H.F. Biloklytska </b:Corporate>
      </b:Author>
    </b:Author>
    <b:Title>Salivary malondialdehyde levels in clinically healthy and periodontal diseased individuals</b:Title>
    <b:JournalName>Oral Dis.</b:JournalName>
    <b:Year>2008</b:Year>
    <b:Pages>754-760</b:Pages>
    <b:Volume>14</b:Volume>
    <b:Issue>8</b:Issue>
    <b:RefOrder>96</b:RefOrder>
  </b:Source>
  <b:Source>
    <b:Tag>BHa91</b:Tag>
    <b:SourceType>JournalArticle</b:SourceType>
    <b:Guid>{A4460D6B-4B20-4093-94A8-5358265DE5F2}</b:Guid>
    <b:Author>
      <b:Author>
        <b:NameList>
          <b:Person>
            <b:Last>Halliwell</b:Last>
            <b:First>B.</b:First>
          </b:Person>
        </b:NameList>
      </b:Author>
    </b:Author>
    <b:Title>Reactive oxygen species in living systems: source, biochemistry, and role in human disease </b:Title>
    <b:JournalName>Am J Med. </b:JournalName>
    <b:Year>1991</b:Year>
    <b:Pages>14-22</b:Pages>
    <b:Volume>91</b:Volume>
    <b:RefOrder>23</b:RefOrder>
  </b:Source>
  <b:Source>
    <b:Tag>Под67</b:Tag>
    <b:SourceType>Book</b:SourceType>
    <b:Guid>{0CF41F8A-B18B-4519-AF67-A8CC62560E77}</b:Guid>
    <b:Title>Клиническая энзимология</b:Title>
    <b:Year>1967</b:Year>
    <b:Pages>184 – 188</b:Pages>
    <b:Author>
      <b:Author>
        <b:NameList>
          <b:Person>
            <b:Last>М.Д.</b:Last>
            <b:First>Подильчак</b:First>
          </b:Person>
        </b:NameList>
      </b:Author>
    </b:Author>
    <b:City>Киев</b:City>
    <b:RefOrder>44</b:RefOrder>
  </b:Source>
  <b:Source>
    <b:Tag>Mad05</b:Tag>
    <b:SourceType>JournalArticle</b:SourceType>
    <b:Guid>{60692CFD-6965-4D75-BBDC-EF94D67EA09E}</b:Guid>
    <b:Author>
      <b:Author>
        <b:Corporate>Madianos PN, Bobetsis YA, Kinane DF. </b:Corporate>
      </b:Author>
    </b:Author>
    <b:Title>Generation of inflammatory stimuli: How bacteria set up inflammatory responses in the gingiva</b:Title>
    <b:JournalName>J Clin Periodontol </b:JournalName>
    <b:Year>2005</b:Year>
    <b:Pages>57-71</b:Pages>
    <b:Volume>32</b:Volume>
    <b:Issue>6</b:Issue>
    <b:RefOrder>34</b:RefOrder>
  </b:Source>
  <b:Source>
    <b:Tag>Bud11</b:Tag>
    <b:SourceType>JournalArticle</b:SourceType>
    <b:Guid>{3D58ED32-D0D2-47A0-9410-3FD4F07B81B2}</b:Guid>
    <b:Author>
      <b:Author>
        <b:Corporate>Buduneli N, Kinane DF. </b:Corporate>
      </b:Author>
    </b:Author>
    <b:Title>Host-derived diagnostic markers related to soft tissue destruction and bone degradation in periodontitis</b:Title>
    <b:JournalName>J Clin Periodontol </b:JournalName>
    <b:Year>2011</b:Year>
    <b:Pages>85-105</b:Pages>
    <b:Volume>38</b:Volume>
    <b:Issue>11</b:Issue>
    <b:RefOrder>97</b:RefOrder>
  </b:Source>
  <b:Source>
    <b:Tag>Brä05</b:Tag>
    <b:SourceType>JournalArticle</b:SourceType>
    <b:Guid>{434308C2-86D4-457D-849D-F2821F6FD247}</b:Guid>
    <b:Author>
      <b:Author>
        <b:NameList>
          <b:Person>
            <b:Last>U.</b:Last>
            <b:First>Brägger</b:First>
          </b:Person>
        </b:NameList>
      </b:Author>
    </b:Author>
    <b:Title>Radiographic parameters: Biological significance and clinical use.</b:Title>
    <b:JournalName> Periodontol 2000</b:JournalName>
    <b:Year>2005</b:Year>
    <b:Pages>73-90</b:Pages>
    <b:Volume>39</b:Volume>
    <b:RefOrder>98</b:RefOrder>
  </b:Source>
  <b:Source>
    <b:Tag>AlR14</b:Tag>
    <b:SourceType>JournalArticle</b:SourceType>
    <b:Guid>{AE1B59B2-3F82-447E-BDDE-648D33D523F0}</b:Guid>
    <b:Author>
      <b:Author>
        <b:Corporate>AlRowis R, AlMoharib HS, AlMubarak A, Bhaskardoss J, Preethanath RS, Anil S. </b:Corporate>
      </b:Author>
    </b:Author>
    <b:Title>Oral fluid based biomarkers in periodontal disease – Part 2. Gingival crevicular fluid.  </b:Title>
    <b:JournalName>J Int Oral Health</b:JournalName>
    <b:Year>2014</b:Year>
    <b:Pages>126-35</b:Pages>
    <b:Volume>6</b:Volume>
    <b:Issue>5</b:Issue>
    <b:RefOrder>35</b:RefOrder>
  </b:Source>
  <b:Source>
    <b:Tag>Бул01</b:Tag>
    <b:SourceType>JournalArticle</b:SourceType>
    <b:Guid>{8370A1B9-F535-4F4E-A817-E63A692D3479}</b:Guid>
    <b:Author>
      <b:Author>
        <b:NameList>
          <b:Person>
            <b:Last>А.И.</b:Last>
            <b:First>Булгакова</b:First>
          </b:Person>
        </b:NameList>
      </b:Author>
    </b:Author>
    <b:Title>Влияние состояния местного иммунитета десны и ротовой полости на течение хронического пародонтита.</b:Title>
    <b:JournalName>Новое в стоматологии</b:JournalName>
    <b:Year>2001</b:Year>
    <b:Pages>90-93</b:Pages>
    <b:Issue>10</b:Issue>
    <b:RefOrder>99</b:RefOrder>
  </b:Source>
  <b:Source>
    <b:Tag>Вол05</b:Tag>
    <b:SourceType>JournalArticle</b:SourceType>
    <b:Guid>{A08A4294-843A-46A2-AFFF-3FAC166E8E0E}</b:Guid>
    <b:Author>
      <b:Author>
        <b:Corporate>Воложин А.И., Порядин Г.В., А.Н. Казимирский</b:Corporate>
      </b:Author>
    </b:Author>
    <b:Title>Иммунологические нарушения в патогенезе хронического генерализованного пародонтита</b:Title>
    <b:JournalName>Стоматология</b:JournalName>
    <b:Year>2005</b:Year>
    <b:Pages>4-7</b:Pages>
    <b:Issue>3</b:Issue>
    <b:RefOrder>100</b:RefOrder>
  </b:Source>
  <b:Source>
    <b:Tag>АСГ04</b:Tag>
    <b:SourceType>Book</b:SourceType>
    <b:Guid>{D80EF69C-D906-4AAC-B74B-18EF3B584ABF}</b:Guid>
    <b:Title>Болезни пародонта. Патогенез, диагностика, лечение: руководство для врачей</b:Title>
    <b:Year>2004</b:Year>
    <b:Author>
      <b:Author>
        <b:Corporate>А.С. Григорьян, А.И. Грудянов, Н.А. Рабухина, О.А. Фролова</b:Corporate>
      </b:Author>
    </b:Author>
    <b:City>Москва</b:City>
    <b:Publisher>Медицинское информационное агенство</b:Publisher>
    <b:RefOrder>19</b:RefOrder>
  </b:Source>
  <b:Source>
    <b:Tag>ЮММ03</b:Tag>
    <b:SourceType>JournalArticle</b:SourceType>
    <b:Guid>{E01E16E6-5558-4584-BA8C-E248582F8A92}</b:Guid>
    <b:Title>Клинико-иммунологические особенности патогенеза катарального гингивита</b:Title>
    <b:Year>2003</b:Year>
    <b:Author>
      <b:Author>
        <b:Corporate>Ю.М. Максимовский, Т.Л. Чиркова, Т.А. Фролова</b:Corporate>
      </b:Author>
    </b:Author>
    <b:JournalName>Стоматология</b:JournalName>
    <b:Pages>24-27</b:Pages>
    <b:Issue>3</b:Issue>
    <b:RefOrder>20</b:RefOrder>
  </b:Source>
  <b:Source>
    <b:Tag>FJa14</b:Tag>
    <b:SourceType>JournalArticle</b:SourceType>
    <b:Guid>{C239EA8E-EC24-4D5B-9B4B-1492BB57ACCF}</b:Guid>
    <b:Author>
      <b:Author>
        <b:Corporate>F. Javed, H.B. Ahmed, T. Mikami</b:Corporate>
      </b:Author>
    </b:Author>
    <b:Title>Cytokine profile in the gingival crevicular fluid of rhematoid arthritis patients with chronic periodontitis</b:Title>
    <b:JournalName>J. Investig. Clin. Dent.</b:JournalName>
    <b:Year>2014</b:Year>
    <b:Pages>1-8</b:Pages>
    <b:Volume>5</b:Volume>
    <b:Issue>1</b:Issue>
    <b:RefOrder>21</b:RefOrder>
  </b:Source>
  <b:Source>
    <b:Tag>АИК97</b:Tag>
    <b:SourceType>Book</b:SourceType>
    <b:Guid>{9D32986F-80BD-4A3B-B5C2-9E58DAD15156}</b:Guid>
    <b:Title>Спекторофотометрическое определение продуктов перекисного окисления  липидов // Медицинская   лабораторная диагностика  (программы  и  алгоритмы)</b:Title>
    <b:Year>1997</b:Year>
    <b:Pages>48-52</b:Pages>
    <b:Author>
      <b:Author>
        <b:NameList>
          <b:Person>
            <b:Last>А.И.Карпищенко</b:Last>
          </b:Person>
        </b:NameList>
      </b:Author>
    </b:Author>
    <b:City>Санкт-Петербург</b:City>
    <b:Publisher>Интермедика</b:Publisher>
    <b:RefOrder>41</b:RefOrder>
  </b:Source>
  <b:Source>
    <b:Tag>Бар91</b:Tag>
    <b:SourceType>BookSection</b:SourceType>
    <b:Guid>{9F56BAC3-F6AB-4678-96E6-F050E1E48782}</b:Guid>
    <b:Title>Методические особенности исследования перекисного окисления </b:Title>
    <b:Year>1991</b:Year>
    <b:City> Киев</b:City>
    <b:Publisher>"Наукова думка"</b:Publisher>
    <b:Author>
      <b:Author>
        <b:Corporate>Барабой В.А., Орел В.Э., Карнаух И.М. </b:Corporate>
      </b:Author>
    </b:Author>
    <b:BookTitle>Перекисное окисление и радиация</b:BookTitle>
    <b:Pages>52-75</b:Pages>
    <b:RefOrder>42</b:RefOrder>
  </b:Source>
  <b:Source>
    <b:Tag>Кос90</b:Tag>
    <b:SourceType>JournalArticle</b:SourceType>
    <b:Guid>{1C7BD791-0578-4839-B7B3-673884741768}</b:Guid>
    <b:Title>Простой и чувствительный метод определения активности супероксиддисмутазы, основанный на реакции окисления кверцетина </b:Title>
    <b:Year>1990</b:Year>
    <b:Pages>88-91</b:Pages>
    <b:Author>
      <b:Author>
        <b:Corporate>Костюк В.А.,  Потапович А.И., Ковалева Ж.В. </b:Corporate>
      </b:Author>
    </b:Author>
    <b:JournalName>Вопр. мед. химии. </b:JournalName>
    <b:Issue>2</b:Issue>
    <b:RefOrder>43</b:RefOrder>
  </b:Source>
  <b:Source>
    <b:Tag>МДП67</b:Tag>
    <b:SourceType>Book</b:SourceType>
    <b:Guid>{BA2F55A1-D3B4-47B1-8B3B-D0FB369192C1}</b:Guid>
    <b:Title>Клиническая энзимология </b:Title>
    <b:Year>1967</b:Year>
    <b:Pages>184 – 188.</b:Pages>
    <b:Author>
      <b:Author>
        <b:NameList>
          <b:Person>
            <b:Last>М.Д.</b:Last>
            <b:First>Подильчак</b:First>
          </b:Person>
        </b:NameList>
      </b:Author>
    </b:Author>
    <b:City>Киев</b:City>
    <b:RefOrder>101</b:RefOrder>
  </b:Source>
  <b:Source>
    <b:Tag>АПЛ07</b:Tag>
    <b:SourceType>Book</b:SourceType>
    <b:Guid>{6357E92F-7045-490B-8A93-723194C992B5}</b:Guid>
    <b:Title>Ферментативный метод определения дисбиоза полости рта для скрининга про- и пребиотиков: Метод. рекомендации</b:Title>
    <b:Year>2007</b:Year>
    <b:City>Киев</b:City>
    <b:Publisher>ГФЦ</b:Publisher>
    <b:Author>
      <b:Author>
        <b:Corporate>А.П. Левицкий, О.А. Макаренко, И.А. Селиванская [и др.].</b:Corporate>
      </b:Author>
    </b:Author>
    <b:Pages>26</b:Pages>
    <b:RefOrder>40</b:RefOrder>
  </b:Source>
  <b:Source>
    <b:Tag>ЛПК16</b:Tag>
    <b:SourceType>JournalArticle</b:SourceType>
    <b:Guid>{24301ECC-FFCE-48AB-BA0C-43E28550FA0F}</b:Guid>
    <b:Title>Аналіз стоматологічного статусу в дітей з алергіями в анамнезі</b:Title>
    <b:Year>2016</b:Year>
    <b:Author>
      <b:Author>
        <b:NameList>
          <b:Person>
            <b:Last>Л.П.Кравченко</b:Last>
          </b:Person>
        </b:NameList>
      </b:Author>
    </b:Author>
    <b:JournalName>Современная стоматология</b:JournalName>
    <b:Pages>24-27</b:Pages>
    <b:Issue>5</b:Issue>
    <b:RefOrder>17</b:RefOrder>
  </b:Source>
  <b:Source>
    <b:Tag>АВС12</b:Tag>
    <b:SourceType>JournalArticle</b:SourceType>
    <b:Guid>{14B2CDF0-C4C5-4198-9E44-93FE373E9AF3}</b:Guid>
    <b:Author>
      <b:Author>
        <b:Corporate>А. В. Самойленко, В. А. Дрок</b:Corporate>
      </b:Author>
    </b:Author>
    <b:Title>РАСПРОСТРАНЕННОСТЬ ЗАБОЛЕВАНИЙ ПАРОДОНТА У ДЕТЕЙ СО СКОЛИОЗОМ</b:Title>
    <b:JournalName> В і с н и к  с т о м а т о л о г і ї </b:JournalName>
    <b:Year>2012</b:Year>
    <b:Pages>113-115</b:Pages>
    <b:Volume>1</b:Volume>
    <b:RefOrder>102</b:RefOrder>
  </b:Source>
  <b:Source>
    <b:Tag>ОВХ15</b:Tag>
    <b:SourceType>JournalArticle</b:SourceType>
    <b:Guid>{E23536B1-404A-41CB-AEEB-794AB199B5B0}</b:Guid>
    <b:Author>
      <b:Author>
        <b:NameList>
          <b:Person>
            <b:Last>Холодняк</b:Last>
            <b:First>О.</b:First>
            <b:Middle>В.</b:Middle>
          </b:Person>
        </b:NameList>
      </b:Author>
    </b:Author>
    <b:Title>Поширеність та структура захворювань пародонту в осіб молодого віку</b:Title>
    <b:JournalName>Клінічна та експериментальна патологія</b:JournalName>
    <b:Year>2015</b:Year>
    <b:Pages>159-162</b:Pages>
    <b:Volume>53</b:Volume>
    <b:Issue>3</b:Issue>
    <b:RefOrder>103</b:RefOrder>
  </b:Source>
  <b:Source>
    <b:Tag>RBA15</b:Tag>
    <b:SourceType>JournalArticle</b:SourceType>
    <b:Guid>{A0A74FF1-38B5-4B07-986C-B237FCA936E4}</b:Guid>
    <b:Author>
      <b:Author>
        <b:Corporate>R.B. Adhikari, A. Karmacharya, N. Malla, M.B Gurung. </b:Corporate>
      </b:Author>
    </b:Author>
    <b:Title>Prevalence of Gingivitis and Periodontitis amongst School Children: A Cross Sectional Study. </b:Title>
    <b:JournalName>American Journal of Public Health Research. </b:JournalName>
    <b:Year>2015</b:Year>
    <b:Pages>80-82. </b:Pages>
    <b:Volume>3</b:Volume>
    <b:Issue>4</b:Issue>
    <b:RefOrder>104</b:RefOrder>
  </b:Source>
  <b:Source>
    <b:Tag>Bim01</b:Tag>
    <b:SourceType>BookSection</b:SourceType>
    <b:Guid>{605C9F94-43F1-4A88-835A-051E233013DB}</b:Guid>
    <b:Author>
      <b:Author>
        <b:Corporate>Bimstein Enrique, Needleman Howard L, et al.</b:Corporate>
      </b:Author>
    </b:Author>
    <b:Title> Chapter 2 The normal gingival and periodontium</b:Title>
    <b:Year>2001</b:Year>
    <b:Pages>17–30.</b:Pages>
    <b:BookTitle>Periodontal and gingival health and diseases. </b:BookTitle>
    <b:Publisher>United Kingdom: Martin Dunitz </b:Publisher>
    <b:RefOrder>105</b:RefOrder>
  </b:Source>
  <b:Source>
    <b:Tag>ЛВБ07</b:Tag>
    <b:SourceType>JournalArticle</b:SourceType>
    <b:Guid>{1B2937F9-2E16-49F8-8E55-46FC5FF7FAD6}</b:Guid>
    <b:Title>Аналіз діагностики і лікувальних помилок у дитячій алергології </b:Title>
    <b:Year> 2007</b:Year>
    <b:Pages>69-72</b:Pages>
    <b:Author>
      <b:Author>
        <b:NameList>
          <b:Person>
            <b:Last>Беш</b:Last>
            <b:First>Л.</b:First>
            <b:Middle>В.</b:Middle>
          </b:Person>
        </b:NameList>
      </b:Author>
    </b:Author>
    <b:JournalName>Здоровье ребенка</b:JournalName>
    <b:Issue>4</b:Issue>
    <b:RefOrder>3</b:RefOrder>
  </b:Source>
  <b:Source>
    <b:Tag>РПа00</b:Tag>
    <b:SourceType>Book</b:SourceType>
    <b:Guid>{AD1F6870-CCF8-4BF9-93C4-F8AB56483E22}</b:Guid>
    <b:Author>
      <b:Author>
        <b:Corporate>Р. Паттерсон, Л. Грэмэр, П. Гринберг.</b:Corporate>
      </b:Author>
    </b:Author>
    <b:Title>Аллергические болезни (диагностика и лечение)</b:Title>
    <b:Year>2000</b:Year>
    <b:Pages>763</b:Pages>
    <b:City>Москва</b:City>
    <b:Publisher>Геотар</b:Publisher>
    <b:RefOrder>4</b:RefOrder>
  </b:Source>
  <b:Source>
    <b:Tag>Про08</b:Tag>
    <b:SourceType>Book</b:SourceType>
    <b:Guid>{2C993170-71FC-4F99-B14F-FB9B8469F81B}</b:Guid>
    <b:Author>
      <b:Author>
        <b:NameList>
          <b:Person>
            <b:Last>В.</b:Last>
            <b:First>Проценко</b:First>
            <b:Middle>Т.</b:Middle>
          </b:Person>
        </b:NameList>
      </b:Author>
    </b:Author>
    <b:Title>Атопический дерматит: рук-во для врачей </b:Title>
    <b:Year>2008</b:Year>
    <b:City>Донецк</b:City>
    <b:Publisher>Мединфо</b:Publisher>
    <b:RefOrder>5</b:RefOrder>
  </b:Source>
  <b:Source>
    <b:Tag>ООО11</b:Tag>
    <b:SourceType>JournalArticle</b:SourceType>
    <b:Guid>{5447E3C0-BEE5-4E46-9F54-46BC60955194}</b:Guid>
    <b:Title>Визначення вагомості факторів ризику виникнення хронічного катарального гінгівіту у дітей </b:Title>
    <b:Year>2011</b:Year>
    <b:Author>
      <b:Author>
        <b:NameList>
          <b:Person>
            <b:Last>Опанасенко</b:Last>
            <b:First>О.О.</b:First>
          </b:Person>
        </b:NameList>
      </b:Author>
    </b:Author>
    <b:JournalName>Профілактична та дитяча стоматологія</b:JournalName>
    <b:Pages>34-40</b:Pages>
    <b:Volume>5</b:Volume>
    <b:Issue>2</b:Issue>
    <b:RefOrder>1</b:RefOrder>
  </b:Source>
  <b:Source>
    <b:Tag>ЕВБ13</b:Tag>
    <b:SourceType>JournalArticle</b:SourceType>
    <b:Guid>{2920933F-537B-4853-9C3F-7C7955956740}</b:Guid>
    <b:Author>
      <b:Author>
        <b:Corporate>Е.В. Безвушко, Л.Ф. Жугіна, А.А. Нарикова [та ін.]</b:Corporate>
      </b:Author>
    </b:Author>
    <b:Title>Порівняльна оцінка стоматологічного здоров’я дітей шкільного віку за Європейськими індикаторами здоров’я порожнини рота</b:Title>
    <b:JournalName>Новини стоматології</b:JournalName>
    <b:Year>2013</b:Year>
    <b:Pages>76-80</b:Pages>
    <b:Issue>3</b:Issue>
    <b:RefOrder>6</b:RefOrder>
  </b:Source>
  <b:Source>
    <b:Tag>ОГР10</b:Tag>
    <b:SourceType>JournalArticle</b:SourceType>
    <b:Guid>{12BFF477-03A7-435C-9B94-1CDAE96F9A2B}</b:Guid>
    <b:Author>
      <b:Author>
        <b:Corporate>О.Г. Романенко, В.О. Кондратьєв</b:Corporate>
      </b:Author>
    </b:Author>
    <b:Title> Умови розвитку захворювань пародонту в дитячому віці й патологія верхніх відділів травного тракту </b:Title>
    <b:JournalName>Здоровье ребенка.</b:JournalName>
    <b:Year>2010</b:Year>
    <b:Pages>145-148</b:Pages>
    <b:Issue>4</b:Issue>
    <b:RefOrder>2</b:RefOrder>
  </b:Source>
</b:Sources>
</file>

<file path=customXml/itemProps1.xml><?xml version="1.0" encoding="utf-8"?>
<ds:datastoreItem xmlns:ds="http://schemas.openxmlformats.org/officeDocument/2006/customXml" ds:itemID="{6C253B23-5424-4ACD-8425-C0216DA2A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83253</Words>
  <Characters>474543</Characters>
  <Application>Microsoft Office Word</Application>
  <DocSecurity>0</DocSecurity>
  <Lines>3954</Lines>
  <Paragraphs>1113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556683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 Krivenko</dc:creator>
  <cp:keywords/>
  <dc:description/>
  <cp:lastModifiedBy>Windows User</cp:lastModifiedBy>
  <cp:revision>3</cp:revision>
  <cp:lastPrinted>2018-03-15T22:20:00Z</cp:lastPrinted>
  <dcterms:created xsi:type="dcterms:W3CDTF">2018-03-15T22:23:00Z</dcterms:created>
  <dcterms:modified xsi:type="dcterms:W3CDTF">2018-03-15T22:24:00Z</dcterms:modified>
</cp:coreProperties>
</file>