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5DB86B" w14:textId="2EB9210B" w:rsidR="00122324" w:rsidRPr="00A0584E" w:rsidRDefault="00122324" w:rsidP="00122324">
      <w:pPr>
        <w:spacing w:after="0" w:line="240" w:lineRule="auto"/>
        <w:jc w:val="center"/>
        <w:outlineLvl w:val="2"/>
        <w:rPr>
          <w:rFonts w:ascii="Times New Roman" w:eastAsia="Times New Roman" w:hAnsi="Times New Roman" w:cs="Times New Roman"/>
          <w:b/>
          <w:bCs/>
          <w:color w:val="000000"/>
          <w:kern w:val="36"/>
          <w:sz w:val="28"/>
          <w:szCs w:val="28"/>
          <w:lang w:eastAsia="ru-RU"/>
          <w14:ligatures w14:val="none"/>
        </w:rPr>
      </w:pPr>
      <w:r w:rsidRPr="00A0584E">
        <w:rPr>
          <w:rFonts w:ascii="Times New Roman" w:eastAsia="Times New Roman" w:hAnsi="Times New Roman" w:cs="Times New Roman"/>
          <w:b/>
          <w:bCs/>
          <w:color w:val="000000"/>
          <w:kern w:val="36"/>
          <w:sz w:val="28"/>
          <w:szCs w:val="28"/>
          <w:lang w:eastAsia="ru-RU"/>
          <w14:ligatures w14:val="none"/>
        </w:rPr>
        <w:t>CONSERVATIVE TREATMENT OF ADHESIVE INTESTINAL OBSTRUCTION: EFFECTIVENESS OF NON-SURGICAL METHODS IN AVOIDING SURGICAL INTERVENTION</w:t>
      </w:r>
    </w:p>
    <w:p w14:paraId="2FB14009" w14:textId="77777777" w:rsidR="00122324" w:rsidRPr="00A0584E" w:rsidRDefault="00122324" w:rsidP="00122324">
      <w:pPr>
        <w:spacing w:after="0" w:line="240" w:lineRule="auto"/>
        <w:outlineLvl w:val="2"/>
        <w:rPr>
          <w:rFonts w:ascii="Times New Roman" w:eastAsia="Times New Roman" w:hAnsi="Times New Roman" w:cs="Times New Roman"/>
          <w:b/>
          <w:bCs/>
          <w:i/>
          <w:iCs/>
          <w:color w:val="000000"/>
          <w:kern w:val="0"/>
          <w:sz w:val="28"/>
          <w:szCs w:val="28"/>
          <w:lang w:val="en-US" w:eastAsia="ru-RU"/>
          <w14:ligatures w14:val="none"/>
        </w:rPr>
      </w:pPr>
    </w:p>
    <w:p w14:paraId="17332057" w14:textId="0B78ADD3" w:rsidR="00122324" w:rsidRPr="00864866" w:rsidRDefault="00122324" w:rsidP="00122324">
      <w:pPr>
        <w:spacing w:after="0" w:line="240" w:lineRule="auto"/>
        <w:jc w:val="right"/>
        <w:outlineLvl w:val="2"/>
        <w:rPr>
          <w:rFonts w:ascii="Times New Roman" w:eastAsia="Times New Roman" w:hAnsi="Times New Roman" w:cs="Times New Roman"/>
          <w:b/>
          <w:bCs/>
          <w:i/>
          <w:iCs/>
          <w:color w:val="000000"/>
          <w:kern w:val="0"/>
          <w:sz w:val="28"/>
          <w:szCs w:val="28"/>
          <w:lang w:val="uk-UA" w:eastAsia="ru-RU"/>
          <w14:ligatures w14:val="none"/>
        </w:rPr>
      </w:pPr>
      <w:proofErr w:type="spellStart"/>
      <w:r w:rsidRPr="00864866">
        <w:rPr>
          <w:rFonts w:ascii="Times New Roman" w:eastAsia="Times New Roman" w:hAnsi="Times New Roman" w:cs="Times New Roman"/>
          <w:b/>
          <w:bCs/>
          <w:i/>
          <w:iCs/>
          <w:color w:val="000000"/>
          <w:kern w:val="0"/>
          <w:sz w:val="28"/>
          <w:szCs w:val="28"/>
          <w:lang w:val="uk-UA" w:eastAsia="ru-RU"/>
          <w14:ligatures w14:val="none"/>
        </w:rPr>
        <w:t>Pryimak</w:t>
      </w:r>
      <w:proofErr w:type="spellEnd"/>
      <w:r w:rsidRPr="00864866">
        <w:rPr>
          <w:rFonts w:ascii="Times New Roman" w:eastAsia="Times New Roman" w:hAnsi="Times New Roman" w:cs="Times New Roman"/>
          <w:b/>
          <w:bCs/>
          <w:i/>
          <w:iCs/>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b/>
          <w:bCs/>
          <w:i/>
          <w:iCs/>
          <w:color w:val="000000"/>
          <w:kern w:val="0"/>
          <w:sz w:val="28"/>
          <w:szCs w:val="28"/>
          <w:lang w:val="uk-UA" w:eastAsia="ru-RU"/>
          <w14:ligatures w14:val="none"/>
        </w:rPr>
        <w:t>Daryna</w:t>
      </w:r>
      <w:proofErr w:type="spellEnd"/>
      <w:r w:rsidRPr="00864866">
        <w:rPr>
          <w:rFonts w:ascii="Times New Roman" w:eastAsia="Times New Roman" w:hAnsi="Times New Roman" w:cs="Times New Roman"/>
          <w:b/>
          <w:bCs/>
          <w:i/>
          <w:iCs/>
          <w:color w:val="000000"/>
          <w:kern w:val="0"/>
          <w:sz w:val="28"/>
          <w:szCs w:val="28"/>
          <w:lang w:val="uk-UA" w:eastAsia="ru-RU"/>
          <w14:ligatures w14:val="none"/>
        </w:rPr>
        <w:t xml:space="preserve"> </w:t>
      </w:r>
    </w:p>
    <w:p w14:paraId="1F6C590A" w14:textId="77777777" w:rsidR="00122324" w:rsidRPr="00864866" w:rsidRDefault="00122324" w:rsidP="00122324">
      <w:pPr>
        <w:spacing w:after="0" w:line="240" w:lineRule="auto"/>
        <w:jc w:val="right"/>
        <w:outlineLvl w:val="2"/>
        <w:rPr>
          <w:rFonts w:ascii="Times New Roman" w:eastAsia="Times New Roman" w:hAnsi="Times New Roman" w:cs="Times New Roman"/>
          <w:color w:val="000000"/>
          <w:kern w:val="0"/>
          <w:sz w:val="28"/>
          <w:szCs w:val="28"/>
          <w:lang w:val="uk-UA" w:eastAsia="ru-RU"/>
          <w14:ligatures w14:val="none"/>
        </w:rPr>
      </w:pPr>
      <w:r w:rsidRPr="00864866">
        <w:rPr>
          <w:rFonts w:ascii="Times New Roman" w:eastAsia="Times New Roman" w:hAnsi="Times New Roman" w:cs="Times New Roman"/>
          <w:color w:val="000000"/>
          <w:kern w:val="0"/>
          <w:sz w:val="28"/>
          <w:szCs w:val="28"/>
          <w:lang w:val="uk-UA" w:eastAsia="ru-RU"/>
          <w14:ligatures w14:val="none"/>
        </w:rPr>
        <w:t xml:space="preserve">5th-year </w:t>
      </w:r>
      <w:proofErr w:type="spellStart"/>
      <w:r w:rsidRPr="00864866">
        <w:rPr>
          <w:rFonts w:ascii="Times New Roman" w:eastAsia="Times New Roman" w:hAnsi="Times New Roman" w:cs="Times New Roman"/>
          <w:color w:val="000000"/>
          <w:kern w:val="0"/>
          <w:sz w:val="28"/>
          <w:szCs w:val="28"/>
          <w:lang w:val="uk-UA" w:eastAsia="ru-RU"/>
          <w14:ligatures w14:val="none"/>
        </w:rPr>
        <w:t>student</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II </w:t>
      </w:r>
      <w:proofErr w:type="spellStart"/>
      <w:r w:rsidRPr="00864866">
        <w:rPr>
          <w:rFonts w:ascii="Times New Roman" w:eastAsia="Times New Roman" w:hAnsi="Times New Roman" w:cs="Times New Roman"/>
          <w:color w:val="000000"/>
          <w:kern w:val="0"/>
          <w:sz w:val="28"/>
          <w:szCs w:val="28"/>
          <w:lang w:val="uk-UA" w:eastAsia="ru-RU"/>
          <w14:ligatures w14:val="none"/>
        </w:rPr>
        <w:t>Medical</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Faculty</w:t>
      </w:r>
      <w:proofErr w:type="spellEnd"/>
    </w:p>
    <w:p w14:paraId="1AA08749" w14:textId="77777777" w:rsidR="00122324" w:rsidRPr="00864866" w:rsidRDefault="00122324" w:rsidP="00122324">
      <w:pPr>
        <w:spacing w:after="0" w:line="240" w:lineRule="auto"/>
        <w:jc w:val="right"/>
        <w:outlineLvl w:val="2"/>
        <w:rPr>
          <w:rFonts w:ascii="Times New Roman" w:eastAsia="Times New Roman" w:hAnsi="Times New Roman" w:cs="Times New Roman"/>
          <w:color w:val="000000"/>
          <w:kern w:val="0"/>
          <w:sz w:val="28"/>
          <w:szCs w:val="28"/>
          <w:lang w:val="uk-UA" w:eastAsia="ru-RU"/>
          <w14:ligatures w14:val="none"/>
        </w:rPr>
      </w:pPr>
      <w:proofErr w:type="spellStart"/>
      <w:r w:rsidRPr="00864866">
        <w:rPr>
          <w:rFonts w:ascii="Times New Roman" w:eastAsia="Times New Roman" w:hAnsi="Times New Roman" w:cs="Times New Roman"/>
          <w:color w:val="000000"/>
          <w:kern w:val="0"/>
          <w:sz w:val="28"/>
          <w:szCs w:val="28"/>
          <w:lang w:val="uk-UA" w:eastAsia="ru-RU"/>
          <w14:ligatures w14:val="none"/>
        </w:rPr>
        <w:t>Kharkiv</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National</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Medical</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University</w:t>
      </w:r>
      <w:proofErr w:type="spellEnd"/>
    </w:p>
    <w:p w14:paraId="1B72CD45" w14:textId="77777777" w:rsidR="00122324" w:rsidRDefault="00122324" w:rsidP="00122324">
      <w:pPr>
        <w:spacing w:after="0" w:line="240" w:lineRule="auto"/>
        <w:jc w:val="right"/>
        <w:outlineLvl w:val="2"/>
      </w:pPr>
      <w:r>
        <w:fldChar w:fldCharType="begin"/>
      </w:r>
      <w:r>
        <w:instrText>HYPERLINK "mailto:Dvpryimak.2m21@knmu.edu.ua"</w:instrText>
      </w:r>
      <w:r>
        <w:fldChar w:fldCharType="separate"/>
      </w:r>
      <w:r w:rsidRPr="00730A9E">
        <w:rPr>
          <w:rStyle w:val="ae"/>
          <w:rFonts w:ascii="Times New Roman" w:eastAsia="Times New Roman" w:hAnsi="Times New Roman" w:cs="Times New Roman"/>
          <w:kern w:val="0"/>
          <w:sz w:val="28"/>
          <w:szCs w:val="28"/>
          <w:lang w:val="uk-UA" w:eastAsia="ru-RU"/>
          <w14:ligatures w14:val="none"/>
        </w:rPr>
        <w:t>Dvpryimak.2m21@knmu.edu.ua</w:t>
      </w:r>
      <w:r>
        <w:fldChar w:fldCharType="end"/>
      </w:r>
    </w:p>
    <w:p w14:paraId="5D2B5F20" w14:textId="77777777" w:rsidR="008E0168" w:rsidRDefault="008E0168" w:rsidP="00122324">
      <w:pPr>
        <w:spacing w:after="0" w:line="240" w:lineRule="auto"/>
        <w:jc w:val="right"/>
        <w:outlineLvl w:val="2"/>
      </w:pPr>
    </w:p>
    <w:p w14:paraId="1CA6B698" w14:textId="77777777" w:rsidR="008E0168" w:rsidRPr="00864866" w:rsidRDefault="008E0168" w:rsidP="008E0168">
      <w:pPr>
        <w:spacing w:after="0" w:line="240" w:lineRule="auto"/>
        <w:ind w:left="4248"/>
        <w:jc w:val="right"/>
        <w:outlineLvl w:val="1"/>
        <w:rPr>
          <w:rFonts w:ascii="Times New Roman" w:eastAsia="Times New Roman" w:hAnsi="Times New Roman" w:cs="Times New Roman"/>
          <w:b/>
          <w:bCs/>
          <w:i/>
          <w:iCs/>
          <w:color w:val="000000"/>
          <w:kern w:val="0"/>
          <w:sz w:val="28"/>
          <w:szCs w:val="28"/>
          <w:lang w:val="uk-UA" w:eastAsia="ru-RU"/>
          <w14:ligatures w14:val="none"/>
        </w:rPr>
      </w:pPr>
      <w:r w:rsidRPr="00864866">
        <w:rPr>
          <w:rFonts w:ascii="Times New Roman" w:eastAsia="Times New Roman" w:hAnsi="Times New Roman" w:cs="Times New Roman"/>
          <w:b/>
          <w:bCs/>
          <w:i/>
          <w:iCs/>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b/>
          <w:bCs/>
          <w:i/>
          <w:iCs/>
          <w:color w:val="000000"/>
          <w:kern w:val="0"/>
          <w:sz w:val="28"/>
          <w:szCs w:val="28"/>
          <w:lang w:val="uk-UA" w:eastAsia="ru-RU"/>
          <w14:ligatures w14:val="none"/>
        </w:rPr>
        <w:t>Myroshnychenko</w:t>
      </w:r>
      <w:proofErr w:type="spellEnd"/>
      <w:r w:rsidRPr="00864866">
        <w:rPr>
          <w:rFonts w:ascii="Times New Roman" w:eastAsia="Times New Roman" w:hAnsi="Times New Roman" w:cs="Times New Roman"/>
          <w:b/>
          <w:bCs/>
          <w:i/>
          <w:iCs/>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b/>
          <w:bCs/>
          <w:i/>
          <w:iCs/>
          <w:color w:val="000000"/>
          <w:kern w:val="0"/>
          <w:sz w:val="28"/>
          <w:szCs w:val="28"/>
          <w:lang w:val="uk-UA" w:eastAsia="ru-RU"/>
          <w14:ligatures w14:val="none"/>
        </w:rPr>
        <w:t>Dmytro</w:t>
      </w:r>
      <w:proofErr w:type="spellEnd"/>
    </w:p>
    <w:p w14:paraId="42B7B1CC" w14:textId="77777777" w:rsidR="008E0168" w:rsidRDefault="008E0168" w:rsidP="008E0168">
      <w:pPr>
        <w:spacing w:after="0" w:line="240" w:lineRule="auto"/>
        <w:ind w:left="4248"/>
        <w:jc w:val="right"/>
        <w:outlineLvl w:val="1"/>
        <w:rPr>
          <w:rFonts w:ascii="Times New Roman" w:eastAsia="Times New Roman" w:hAnsi="Times New Roman" w:cs="Times New Roman"/>
          <w:color w:val="000000"/>
          <w:kern w:val="0"/>
          <w:sz w:val="28"/>
          <w:szCs w:val="28"/>
          <w:lang w:val="uk-UA" w:eastAsia="ru-RU"/>
          <w14:ligatures w14:val="none"/>
        </w:rPr>
      </w:pPr>
      <w:proofErr w:type="spellStart"/>
      <w:r w:rsidRPr="00864866">
        <w:rPr>
          <w:rFonts w:ascii="Times New Roman" w:eastAsia="Times New Roman" w:hAnsi="Times New Roman" w:cs="Times New Roman"/>
          <w:color w:val="000000"/>
          <w:kern w:val="0"/>
          <w:sz w:val="28"/>
          <w:szCs w:val="28"/>
          <w:lang w:val="uk-UA" w:eastAsia="ru-RU"/>
          <w14:ligatures w14:val="none"/>
        </w:rPr>
        <w:t>Candidate</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of</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Medical</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Sciences</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
    <w:p w14:paraId="1C2CAB04" w14:textId="77777777" w:rsidR="008E0168" w:rsidRDefault="008E0168" w:rsidP="008E0168">
      <w:pPr>
        <w:spacing w:after="0" w:line="240" w:lineRule="auto"/>
        <w:jc w:val="right"/>
        <w:outlineLvl w:val="1"/>
        <w:rPr>
          <w:rFonts w:ascii="Times New Roman" w:eastAsia="Times New Roman" w:hAnsi="Times New Roman" w:cs="Times New Roman"/>
          <w:color w:val="000000"/>
          <w:kern w:val="0"/>
          <w:sz w:val="28"/>
          <w:szCs w:val="28"/>
          <w:lang w:val="uk-UA" w:eastAsia="ru-RU"/>
          <w14:ligatures w14:val="none"/>
        </w:rPr>
      </w:pPr>
      <w:proofErr w:type="spellStart"/>
      <w:r w:rsidRPr="00864866">
        <w:rPr>
          <w:rFonts w:ascii="Times New Roman" w:eastAsia="Times New Roman" w:hAnsi="Times New Roman" w:cs="Times New Roman"/>
          <w:color w:val="000000"/>
          <w:kern w:val="0"/>
          <w:sz w:val="28"/>
          <w:szCs w:val="28"/>
          <w:lang w:val="uk-UA" w:eastAsia="ru-RU"/>
          <w14:ligatures w14:val="none"/>
        </w:rPr>
        <w:t>Assistant</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of</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the</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Department</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of</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Surgery</w:t>
      </w:r>
      <w:proofErr w:type="spellEnd"/>
      <w:r>
        <w:rPr>
          <w:rFonts w:ascii="Times New Roman" w:eastAsia="Times New Roman" w:hAnsi="Times New Roman" w:cs="Times New Roman"/>
          <w:color w:val="000000"/>
          <w:kern w:val="0"/>
          <w:sz w:val="28"/>
          <w:szCs w:val="28"/>
          <w:lang w:val="uk-UA" w:eastAsia="ru-RU"/>
          <w14:ligatures w14:val="none"/>
        </w:rPr>
        <w:t xml:space="preserve"> № </w:t>
      </w:r>
      <w:r w:rsidRPr="00864866">
        <w:rPr>
          <w:rFonts w:ascii="Times New Roman" w:eastAsia="Times New Roman" w:hAnsi="Times New Roman" w:cs="Times New Roman"/>
          <w:color w:val="000000"/>
          <w:kern w:val="0"/>
          <w:sz w:val="28"/>
          <w:szCs w:val="28"/>
          <w:lang w:val="uk-UA" w:eastAsia="ru-RU"/>
          <w14:ligatures w14:val="none"/>
        </w:rPr>
        <w:t>4</w:t>
      </w:r>
    </w:p>
    <w:p w14:paraId="78A96C00" w14:textId="77777777" w:rsidR="008E0168" w:rsidRPr="00864866" w:rsidRDefault="008E0168" w:rsidP="008E0168">
      <w:pPr>
        <w:spacing w:after="0" w:line="240" w:lineRule="auto"/>
        <w:jc w:val="right"/>
        <w:outlineLvl w:val="1"/>
        <w:rPr>
          <w:rFonts w:ascii="Times New Roman" w:eastAsia="Times New Roman" w:hAnsi="Times New Roman" w:cs="Times New Roman"/>
          <w:color w:val="000000"/>
          <w:kern w:val="0"/>
          <w:sz w:val="28"/>
          <w:szCs w:val="28"/>
          <w:lang w:val="uk-UA" w:eastAsia="ru-RU"/>
          <w14:ligatures w14:val="none"/>
        </w:rPr>
      </w:pPr>
      <w:proofErr w:type="spellStart"/>
      <w:r w:rsidRPr="00864866">
        <w:rPr>
          <w:rFonts w:ascii="Times New Roman" w:eastAsia="Times New Roman" w:hAnsi="Times New Roman" w:cs="Times New Roman"/>
          <w:color w:val="000000"/>
          <w:kern w:val="0"/>
          <w:sz w:val="28"/>
          <w:szCs w:val="28"/>
          <w:lang w:val="uk-UA" w:eastAsia="ru-RU"/>
          <w14:ligatures w14:val="none"/>
        </w:rPr>
        <w:t>Kharkiv</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National</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Medical</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University</w:t>
      </w:r>
      <w:proofErr w:type="spellEnd"/>
    </w:p>
    <w:p w14:paraId="16A13B02" w14:textId="77777777" w:rsidR="008E0168" w:rsidRPr="00122324" w:rsidRDefault="008E0168" w:rsidP="008E0168">
      <w:pPr>
        <w:spacing w:after="0" w:line="240" w:lineRule="auto"/>
        <w:ind w:left="4248" w:firstLine="708"/>
        <w:jc w:val="right"/>
        <w:outlineLvl w:val="1"/>
        <w:rPr>
          <w:rFonts w:ascii="Times New Roman" w:eastAsia="Times New Roman" w:hAnsi="Times New Roman" w:cs="Times New Roman"/>
          <w:color w:val="000000"/>
          <w:kern w:val="0"/>
          <w:sz w:val="28"/>
          <w:szCs w:val="28"/>
          <w:lang w:val="en-US" w:eastAsia="ru-RU"/>
          <w14:ligatures w14:val="none"/>
        </w:rPr>
      </w:pPr>
      <w:hyperlink r:id="rId5" w:history="1">
        <w:r w:rsidRPr="00730A9E">
          <w:rPr>
            <w:rStyle w:val="ae"/>
            <w:rFonts w:ascii="Times New Roman" w:eastAsia="Times New Roman" w:hAnsi="Times New Roman" w:cs="Times New Roman"/>
            <w:kern w:val="0"/>
            <w:sz w:val="28"/>
            <w:szCs w:val="28"/>
            <w:lang w:val="uk-UA" w:eastAsia="ru-RU"/>
            <w14:ligatures w14:val="none"/>
          </w:rPr>
          <w:t>do.myroshnychenko@knmu.edu.ua</w:t>
        </w:r>
      </w:hyperlink>
    </w:p>
    <w:p w14:paraId="1E398A10" w14:textId="77777777" w:rsidR="00122324" w:rsidRPr="00864866" w:rsidRDefault="00122324" w:rsidP="00A0584E">
      <w:pPr>
        <w:spacing w:after="0" w:line="240" w:lineRule="auto"/>
        <w:outlineLvl w:val="2"/>
        <w:rPr>
          <w:rFonts w:ascii="Times New Roman" w:eastAsia="Times New Roman" w:hAnsi="Times New Roman" w:cs="Times New Roman"/>
          <w:color w:val="000000"/>
          <w:kern w:val="0"/>
          <w:sz w:val="28"/>
          <w:szCs w:val="28"/>
          <w:lang w:val="uk-UA" w:eastAsia="ru-RU"/>
          <w14:ligatures w14:val="none"/>
        </w:rPr>
      </w:pPr>
    </w:p>
    <w:p w14:paraId="207251EB" w14:textId="77777777" w:rsidR="00122324" w:rsidRPr="00864866" w:rsidRDefault="00122324" w:rsidP="00122324">
      <w:pPr>
        <w:spacing w:after="0" w:line="240" w:lineRule="auto"/>
        <w:ind w:left="4248" w:firstLine="708"/>
        <w:jc w:val="right"/>
        <w:outlineLvl w:val="1"/>
        <w:rPr>
          <w:rFonts w:ascii="Times New Roman" w:eastAsia="Times New Roman" w:hAnsi="Times New Roman" w:cs="Times New Roman"/>
          <w:color w:val="000000"/>
          <w:kern w:val="0"/>
          <w:sz w:val="28"/>
          <w:szCs w:val="28"/>
          <w:lang w:val="uk-UA" w:eastAsia="ru-RU"/>
          <w14:ligatures w14:val="none"/>
        </w:rPr>
      </w:pPr>
      <w:proofErr w:type="spellStart"/>
      <w:r w:rsidRPr="00864866">
        <w:rPr>
          <w:rFonts w:ascii="Times New Roman" w:eastAsia="Times New Roman" w:hAnsi="Times New Roman" w:cs="Times New Roman"/>
          <w:color w:val="000000"/>
          <w:kern w:val="0"/>
          <w:sz w:val="28"/>
          <w:szCs w:val="28"/>
          <w:lang w:val="uk-UA" w:eastAsia="ru-RU"/>
          <w14:ligatures w14:val="none"/>
        </w:rPr>
        <w:t>Scientific</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supervisor</w:t>
      </w:r>
      <w:proofErr w:type="spellEnd"/>
      <w:r w:rsidRPr="00864866">
        <w:rPr>
          <w:rFonts w:ascii="Times New Roman" w:eastAsia="Times New Roman" w:hAnsi="Times New Roman" w:cs="Times New Roman"/>
          <w:color w:val="000000"/>
          <w:kern w:val="0"/>
          <w:sz w:val="28"/>
          <w:szCs w:val="28"/>
          <w:lang w:val="uk-UA" w:eastAsia="ru-RU"/>
          <w14:ligatures w14:val="none"/>
        </w:rPr>
        <w:t>:</w:t>
      </w:r>
    </w:p>
    <w:p w14:paraId="5CBD707F" w14:textId="5A994246" w:rsidR="00122324" w:rsidRPr="008E0168" w:rsidRDefault="008E0168" w:rsidP="00122324">
      <w:pPr>
        <w:spacing w:after="0" w:line="240" w:lineRule="auto"/>
        <w:ind w:left="4248"/>
        <w:jc w:val="right"/>
        <w:outlineLvl w:val="1"/>
        <w:rPr>
          <w:rFonts w:ascii="Times New Roman" w:eastAsia="Times New Roman" w:hAnsi="Times New Roman" w:cs="Times New Roman"/>
          <w:b/>
          <w:bCs/>
          <w:i/>
          <w:iCs/>
          <w:color w:val="000000"/>
          <w:kern w:val="0"/>
          <w:sz w:val="28"/>
          <w:szCs w:val="28"/>
          <w:lang w:val="en-US" w:eastAsia="ru-RU"/>
          <w14:ligatures w14:val="none"/>
        </w:rPr>
      </w:pPr>
      <w:proofErr w:type="spellStart"/>
      <w:r>
        <w:rPr>
          <w:rFonts w:ascii="Times New Roman" w:eastAsia="Times New Roman" w:hAnsi="Times New Roman" w:cs="Times New Roman"/>
          <w:b/>
          <w:bCs/>
          <w:i/>
          <w:iCs/>
          <w:color w:val="000000"/>
          <w:kern w:val="0"/>
          <w:sz w:val="28"/>
          <w:szCs w:val="28"/>
          <w:lang w:val="en-US" w:eastAsia="ru-RU"/>
          <w14:ligatures w14:val="none"/>
        </w:rPr>
        <w:t>Petiunin</w:t>
      </w:r>
      <w:proofErr w:type="spellEnd"/>
      <w:r>
        <w:rPr>
          <w:rFonts w:ascii="Times New Roman" w:eastAsia="Times New Roman" w:hAnsi="Times New Roman" w:cs="Times New Roman"/>
          <w:b/>
          <w:bCs/>
          <w:i/>
          <w:iCs/>
          <w:color w:val="000000"/>
          <w:kern w:val="0"/>
          <w:sz w:val="28"/>
          <w:szCs w:val="28"/>
          <w:lang w:val="en-US" w:eastAsia="ru-RU"/>
          <w14:ligatures w14:val="none"/>
        </w:rPr>
        <w:t xml:space="preserve"> Oleksii</w:t>
      </w:r>
    </w:p>
    <w:p w14:paraId="6A91A6F4" w14:textId="77777777" w:rsidR="00122324" w:rsidRDefault="00122324" w:rsidP="00122324">
      <w:pPr>
        <w:spacing w:after="0" w:line="240" w:lineRule="auto"/>
        <w:ind w:left="4248"/>
        <w:jc w:val="right"/>
        <w:outlineLvl w:val="1"/>
        <w:rPr>
          <w:rFonts w:ascii="Times New Roman" w:eastAsia="Times New Roman" w:hAnsi="Times New Roman" w:cs="Times New Roman"/>
          <w:color w:val="000000"/>
          <w:kern w:val="0"/>
          <w:sz w:val="28"/>
          <w:szCs w:val="28"/>
          <w:lang w:val="uk-UA" w:eastAsia="ru-RU"/>
          <w14:ligatures w14:val="none"/>
        </w:rPr>
      </w:pPr>
      <w:proofErr w:type="spellStart"/>
      <w:r w:rsidRPr="00864866">
        <w:rPr>
          <w:rFonts w:ascii="Times New Roman" w:eastAsia="Times New Roman" w:hAnsi="Times New Roman" w:cs="Times New Roman"/>
          <w:color w:val="000000"/>
          <w:kern w:val="0"/>
          <w:sz w:val="28"/>
          <w:szCs w:val="28"/>
          <w:lang w:val="uk-UA" w:eastAsia="ru-RU"/>
          <w14:ligatures w14:val="none"/>
        </w:rPr>
        <w:t>Candidate</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of</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Medical</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Sciences</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
    <w:p w14:paraId="70BED147" w14:textId="66BE9344" w:rsidR="00122324" w:rsidRDefault="008E0168" w:rsidP="00122324">
      <w:pPr>
        <w:spacing w:after="0" w:line="240" w:lineRule="auto"/>
        <w:jc w:val="right"/>
        <w:outlineLvl w:val="1"/>
        <w:rPr>
          <w:rFonts w:ascii="Times New Roman" w:eastAsia="Times New Roman" w:hAnsi="Times New Roman" w:cs="Times New Roman"/>
          <w:color w:val="000000"/>
          <w:kern w:val="0"/>
          <w:sz w:val="28"/>
          <w:szCs w:val="28"/>
          <w:lang w:val="uk-UA" w:eastAsia="ru-RU"/>
          <w14:ligatures w14:val="none"/>
        </w:rPr>
      </w:pPr>
      <w:r>
        <w:rPr>
          <w:rFonts w:ascii="Times New Roman" w:eastAsia="Times New Roman" w:hAnsi="Times New Roman" w:cs="Times New Roman"/>
          <w:color w:val="000000"/>
          <w:kern w:val="0"/>
          <w:sz w:val="28"/>
          <w:szCs w:val="28"/>
          <w:lang w:val="en-US" w:eastAsia="ru-RU"/>
          <w14:ligatures w14:val="none"/>
        </w:rPr>
        <w:t>Associate Professor</w:t>
      </w:r>
      <w:r w:rsidR="00122324"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00122324" w:rsidRPr="00864866">
        <w:rPr>
          <w:rFonts w:ascii="Times New Roman" w:eastAsia="Times New Roman" w:hAnsi="Times New Roman" w:cs="Times New Roman"/>
          <w:color w:val="000000"/>
          <w:kern w:val="0"/>
          <w:sz w:val="28"/>
          <w:szCs w:val="28"/>
          <w:lang w:val="uk-UA" w:eastAsia="ru-RU"/>
          <w14:ligatures w14:val="none"/>
        </w:rPr>
        <w:t>of</w:t>
      </w:r>
      <w:proofErr w:type="spellEnd"/>
      <w:r w:rsidR="00122324"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00122324" w:rsidRPr="00864866">
        <w:rPr>
          <w:rFonts w:ascii="Times New Roman" w:eastAsia="Times New Roman" w:hAnsi="Times New Roman" w:cs="Times New Roman"/>
          <w:color w:val="000000"/>
          <w:kern w:val="0"/>
          <w:sz w:val="28"/>
          <w:szCs w:val="28"/>
          <w:lang w:val="uk-UA" w:eastAsia="ru-RU"/>
          <w14:ligatures w14:val="none"/>
        </w:rPr>
        <w:t>the</w:t>
      </w:r>
      <w:proofErr w:type="spellEnd"/>
      <w:r w:rsidR="00122324"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00122324" w:rsidRPr="00864866">
        <w:rPr>
          <w:rFonts w:ascii="Times New Roman" w:eastAsia="Times New Roman" w:hAnsi="Times New Roman" w:cs="Times New Roman"/>
          <w:color w:val="000000"/>
          <w:kern w:val="0"/>
          <w:sz w:val="28"/>
          <w:szCs w:val="28"/>
          <w:lang w:val="uk-UA" w:eastAsia="ru-RU"/>
          <w14:ligatures w14:val="none"/>
        </w:rPr>
        <w:t>Department</w:t>
      </w:r>
      <w:proofErr w:type="spellEnd"/>
      <w:r w:rsidR="00122324"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00122324" w:rsidRPr="00864866">
        <w:rPr>
          <w:rFonts w:ascii="Times New Roman" w:eastAsia="Times New Roman" w:hAnsi="Times New Roman" w:cs="Times New Roman"/>
          <w:color w:val="000000"/>
          <w:kern w:val="0"/>
          <w:sz w:val="28"/>
          <w:szCs w:val="28"/>
          <w:lang w:val="uk-UA" w:eastAsia="ru-RU"/>
          <w14:ligatures w14:val="none"/>
        </w:rPr>
        <w:t>of</w:t>
      </w:r>
      <w:proofErr w:type="spellEnd"/>
      <w:r w:rsidR="00122324"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00122324" w:rsidRPr="00864866">
        <w:rPr>
          <w:rFonts w:ascii="Times New Roman" w:eastAsia="Times New Roman" w:hAnsi="Times New Roman" w:cs="Times New Roman"/>
          <w:color w:val="000000"/>
          <w:kern w:val="0"/>
          <w:sz w:val="28"/>
          <w:szCs w:val="28"/>
          <w:lang w:val="uk-UA" w:eastAsia="ru-RU"/>
          <w14:ligatures w14:val="none"/>
        </w:rPr>
        <w:t>Surgery</w:t>
      </w:r>
      <w:proofErr w:type="spellEnd"/>
      <w:r w:rsidR="00122324">
        <w:rPr>
          <w:rFonts w:ascii="Times New Roman" w:eastAsia="Times New Roman" w:hAnsi="Times New Roman" w:cs="Times New Roman"/>
          <w:color w:val="000000"/>
          <w:kern w:val="0"/>
          <w:sz w:val="28"/>
          <w:szCs w:val="28"/>
          <w:lang w:val="uk-UA" w:eastAsia="ru-RU"/>
          <w14:ligatures w14:val="none"/>
        </w:rPr>
        <w:t xml:space="preserve"> № </w:t>
      </w:r>
      <w:r w:rsidR="00122324" w:rsidRPr="00864866">
        <w:rPr>
          <w:rFonts w:ascii="Times New Roman" w:eastAsia="Times New Roman" w:hAnsi="Times New Roman" w:cs="Times New Roman"/>
          <w:color w:val="000000"/>
          <w:kern w:val="0"/>
          <w:sz w:val="28"/>
          <w:szCs w:val="28"/>
          <w:lang w:val="uk-UA" w:eastAsia="ru-RU"/>
          <w14:ligatures w14:val="none"/>
        </w:rPr>
        <w:t>4</w:t>
      </w:r>
    </w:p>
    <w:p w14:paraId="636F8D8C" w14:textId="77777777" w:rsidR="00122324" w:rsidRPr="00864866" w:rsidRDefault="00122324" w:rsidP="00122324">
      <w:pPr>
        <w:spacing w:after="0" w:line="240" w:lineRule="auto"/>
        <w:jc w:val="right"/>
        <w:outlineLvl w:val="1"/>
        <w:rPr>
          <w:rFonts w:ascii="Times New Roman" w:eastAsia="Times New Roman" w:hAnsi="Times New Roman" w:cs="Times New Roman"/>
          <w:color w:val="000000"/>
          <w:kern w:val="0"/>
          <w:sz w:val="28"/>
          <w:szCs w:val="28"/>
          <w:lang w:val="uk-UA" w:eastAsia="ru-RU"/>
          <w14:ligatures w14:val="none"/>
        </w:rPr>
      </w:pPr>
      <w:proofErr w:type="spellStart"/>
      <w:r w:rsidRPr="00864866">
        <w:rPr>
          <w:rFonts w:ascii="Times New Roman" w:eastAsia="Times New Roman" w:hAnsi="Times New Roman" w:cs="Times New Roman"/>
          <w:color w:val="000000"/>
          <w:kern w:val="0"/>
          <w:sz w:val="28"/>
          <w:szCs w:val="28"/>
          <w:lang w:val="uk-UA" w:eastAsia="ru-RU"/>
          <w14:ligatures w14:val="none"/>
        </w:rPr>
        <w:t>Kharkiv</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National</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Medical</w:t>
      </w:r>
      <w:proofErr w:type="spellEnd"/>
      <w:r w:rsidRPr="00864866">
        <w:rPr>
          <w:rFonts w:ascii="Times New Roman" w:eastAsia="Times New Roman" w:hAnsi="Times New Roman" w:cs="Times New Roman"/>
          <w:color w:val="000000"/>
          <w:kern w:val="0"/>
          <w:sz w:val="28"/>
          <w:szCs w:val="28"/>
          <w:lang w:val="uk-UA" w:eastAsia="ru-RU"/>
          <w14:ligatures w14:val="none"/>
        </w:rPr>
        <w:t xml:space="preserve"> </w:t>
      </w:r>
      <w:proofErr w:type="spellStart"/>
      <w:r w:rsidRPr="00864866">
        <w:rPr>
          <w:rFonts w:ascii="Times New Roman" w:eastAsia="Times New Roman" w:hAnsi="Times New Roman" w:cs="Times New Roman"/>
          <w:color w:val="000000"/>
          <w:kern w:val="0"/>
          <w:sz w:val="28"/>
          <w:szCs w:val="28"/>
          <w:lang w:val="uk-UA" w:eastAsia="ru-RU"/>
          <w14:ligatures w14:val="none"/>
        </w:rPr>
        <w:t>University</w:t>
      </w:r>
      <w:proofErr w:type="spellEnd"/>
    </w:p>
    <w:p w14:paraId="6DFD4734" w14:textId="1DE6A665" w:rsidR="008E0168" w:rsidRPr="00A0584E" w:rsidRDefault="008E0168" w:rsidP="00A0584E">
      <w:pPr>
        <w:pStyle w:val="ac"/>
        <w:spacing w:before="0" w:beforeAutospacing="0" w:after="0" w:afterAutospacing="0"/>
        <w:ind w:firstLine="708"/>
        <w:jc w:val="right"/>
        <w:rPr>
          <w:rFonts w:eastAsiaTheme="minorHAnsi"/>
          <w:kern w:val="2"/>
          <w:sz w:val="28"/>
          <w:szCs w:val="28"/>
          <w:lang w:val="uk-UA" w:eastAsia="en-US"/>
          <w14:ligatures w14:val="standardContextual"/>
        </w:rPr>
      </w:pPr>
      <w:hyperlink r:id="rId6" w:history="1">
        <w:r w:rsidRPr="008E0168">
          <w:rPr>
            <w:rStyle w:val="ae"/>
            <w:rFonts w:eastAsiaTheme="minorHAnsi"/>
            <w:kern w:val="2"/>
            <w:sz w:val="28"/>
            <w:szCs w:val="28"/>
            <w:lang w:eastAsia="en-US"/>
            <w14:ligatures w14:val="standardContextual"/>
          </w:rPr>
          <w:t>oh.petiunin@knmu.edu.ua</w:t>
        </w:r>
      </w:hyperlink>
    </w:p>
    <w:p w14:paraId="56F312C8" w14:textId="3CD54E3D" w:rsidR="00E5540C" w:rsidRPr="00C72125" w:rsidRDefault="00E5540C" w:rsidP="00C72125">
      <w:pPr>
        <w:pStyle w:val="ac"/>
        <w:ind w:firstLine="708"/>
        <w:jc w:val="both"/>
        <w:rPr>
          <w:color w:val="000000"/>
          <w:sz w:val="28"/>
          <w:szCs w:val="28"/>
          <w:lang w:val="en-US"/>
        </w:rPr>
      </w:pPr>
      <w:r w:rsidRPr="00C72125">
        <w:rPr>
          <w:b/>
          <w:bCs/>
          <w:color w:val="000000"/>
          <w:sz w:val="28"/>
          <w:szCs w:val="28"/>
        </w:rPr>
        <w:t xml:space="preserve">Introduction. </w:t>
      </w:r>
      <w:r w:rsidRPr="00C72125">
        <w:rPr>
          <w:color w:val="000000"/>
          <w:sz w:val="28"/>
          <w:szCs w:val="28"/>
        </w:rPr>
        <w:t>Adhesive peritoneal disease remains the most common cause of acute mechanical small bowel obstruction in adults in countries with a high level of surgical care. According to current estimates, after a single laparotomy the lifetime risk of developing adhesive small bowel obstruction is 4</w:t>
      </w:r>
      <w:r w:rsidRPr="00C72125">
        <w:rPr>
          <w:color w:val="000000"/>
          <w:sz w:val="28"/>
          <w:szCs w:val="28"/>
          <w:lang w:val="uk-UA"/>
        </w:rPr>
        <w:t>-</w:t>
      </w:r>
      <w:r w:rsidRPr="00C72125">
        <w:rPr>
          <w:color w:val="000000"/>
          <w:sz w:val="28"/>
          <w:szCs w:val="28"/>
        </w:rPr>
        <w:t>12 %, and after multiple operations it reaches 30</w:t>
      </w:r>
      <w:r w:rsidRPr="00C72125">
        <w:rPr>
          <w:color w:val="000000"/>
          <w:sz w:val="28"/>
          <w:szCs w:val="28"/>
          <w:lang w:val="uk-UA"/>
        </w:rPr>
        <w:t>-</w:t>
      </w:r>
      <w:r w:rsidRPr="00C72125">
        <w:rPr>
          <w:color w:val="000000"/>
          <w:sz w:val="28"/>
          <w:szCs w:val="28"/>
        </w:rPr>
        <w:t>40 %</w:t>
      </w:r>
      <w:r w:rsidR="00C72125">
        <w:rPr>
          <w:color w:val="000000"/>
          <w:sz w:val="28"/>
          <w:szCs w:val="28"/>
          <w:lang w:val="en-US"/>
        </w:rPr>
        <w:t>.</w:t>
      </w:r>
      <w:r w:rsidRPr="00C72125">
        <w:rPr>
          <w:color w:val="000000"/>
          <w:sz w:val="28"/>
          <w:szCs w:val="28"/>
        </w:rPr>
        <w:t xml:space="preserve"> [1,</w:t>
      </w:r>
      <w:r w:rsidR="00793A52">
        <w:rPr>
          <w:color w:val="000000"/>
          <w:sz w:val="28"/>
          <w:szCs w:val="28"/>
        </w:rPr>
        <w:t xml:space="preserve"> 2</w:t>
      </w:r>
      <w:r w:rsidRPr="00C72125">
        <w:rPr>
          <w:color w:val="000000"/>
          <w:sz w:val="28"/>
          <w:szCs w:val="28"/>
        </w:rPr>
        <w:t>]</w:t>
      </w:r>
      <w:r w:rsidR="00C72125">
        <w:rPr>
          <w:color w:val="000000"/>
          <w:sz w:val="28"/>
          <w:szCs w:val="28"/>
          <w:lang w:val="en-US"/>
        </w:rPr>
        <w:t xml:space="preserve"> </w:t>
      </w:r>
      <w:r w:rsidRPr="00C72125">
        <w:rPr>
          <w:color w:val="000000"/>
          <w:sz w:val="28"/>
          <w:szCs w:val="28"/>
        </w:rPr>
        <w:t xml:space="preserve"> Clinical practice over recent decades has shown that 70</w:t>
      </w:r>
      <w:r w:rsidR="00C72125" w:rsidRPr="00C72125">
        <w:rPr>
          <w:color w:val="000000"/>
          <w:sz w:val="28"/>
          <w:szCs w:val="28"/>
          <w:lang w:val="uk-UA"/>
        </w:rPr>
        <w:t>-</w:t>
      </w:r>
      <w:r w:rsidRPr="00C72125">
        <w:rPr>
          <w:color w:val="000000"/>
          <w:sz w:val="28"/>
          <w:szCs w:val="28"/>
        </w:rPr>
        <w:t>90 % of episodes of adhesive small bowel obstruction can be successfully resolved without surgical intervention provided timely diagnosis and correct treatment strategy are applied</w:t>
      </w:r>
      <w:r w:rsidR="00C72125">
        <w:rPr>
          <w:color w:val="000000"/>
          <w:sz w:val="28"/>
          <w:szCs w:val="28"/>
        </w:rPr>
        <w:t>.</w:t>
      </w:r>
      <w:r w:rsidRPr="00C72125">
        <w:rPr>
          <w:color w:val="000000"/>
          <w:sz w:val="28"/>
          <w:szCs w:val="28"/>
        </w:rPr>
        <w:t xml:space="preserve"> [</w:t>
      </w:r>
      <w:r w:rsidR="00793A52">
        <w:rPr>
          <w:color w:val="000000"/>
          <w:sz w:val="28"/>
          <w:szCs w:val="28"/>
        </w:rPr>
        <w:t>1</w:t>
      </w:r>
      <w:r w:rsidRPr="00C72125">
        <w:rPr>
          <w:color w:val="000000"/>
          <w:sz w:val="28"/>
          <w:szCs w:val="28"/>
        </w:rPr>
        <w:t>,</w:t>
      </w:r>
      <w:r w:rsidR="00793A52">
        <w:rPr>
          <w:color w:val="000000"/>
          <w:sz w:val="28"/>
          <w:szCs w:val="28"/>
        </w:rPr>
        <w:t>3</w:t>
      </w:r>
      <w:r w:rsidRPr="00C72125">
        <w:rPr>
          <w:color w:val="000000"/>
          <w:sz w:val="28"/>
          <w:szCs w:val="28"/>
        </w:rPr>
        <w:t>]</w:t>
      </w:r>
      <w:r w:rsidR="00C72125" w:rsidRPr="00C72125">
        <w:rPr>
          <w:color w:val="000000"/>
          <w:sz w:val="28"/>
          <w:szCs w:val="28"/>
          <w:lang w:val="uk-UA"/>
        </w:rPr>
        <w:t xml:space="preserve"> </w:t>
      </w:r>
      <w:r w:rsidRPr="00C72125">
        <w:rPr>
          <w:color w:val="000000"/>
          <w:sz w:val="28"/>
          <w:szCs w:val="28"/>
        </w:rPr>
        <w:t>However, the absence of clear universal criteria that would reliably distinguish “simple” adhesive obstruction from strangulated forms leads either to excessive surgical intervention or, conversely, to dangerous prolongation of conservative treatment. The choice of tactics is particularly difficult in elderly patients and those with significant comorbidities, where the risk of postoperative complications significantly exceeds the risk of delayed intervention</w:t>
      </w:r>
      <w:r w:rsidR="00C72125">
        <w:rPr>
          <w:color w:val="000000"/>
          <w:sz w:val="28"/>
          <w:szCs w:val="28"/>
        </w:rPr>
        <w:t>.</w:t>
      </w:r>
      <w:r w:rsidR="00C72125" w:rsidRPr="00C72125">
        <w:rPr>
          <w:color w:val="000000"/>
          <w:sz w:val="28"/>
          <w:szCs w:val="28"/>
          <w:lang w:val="uk-UA"/>
        </w:rPr>
        <w:t xml:space="preserve"> </w:t>
      </w:r>
      <w:r w:rsidRPr="00C72125">
        <w:rPr>
          <w:color w:val="000000"/>
          <w:sz w:val="28"/>
          <w:szCs w:val="28"/>
        </w:rPr>
        <w:t>[</w:t>
      </w:r>
      <w:r w:rsidR="00793A52">
        <w:rPr>
          <w:color w:val="000000"/>
          <w:sz w:val="28"/>
          <w:szCs w:val="28"/>
        </w:rPr>
        <w:t>4</w:t>
      </w:r>
      <w:r w:rsidRPr="00C72125">
        <w:rPr>
          <w:color w:val="000000"/>
          <w:sz w:val="28"/>
          <w:szCs w:val="28"/>
        </w:rPr>
        <w:t>]</w:t>
      </w:r>
    </w:p>
    <w:p w14:paraId="11C104A1" w14:textId="77777777" w:rsidR="00820633" w:rsidRDefault="00122324" w:rsidP="00C72125">
      <w:pPr>
        <w:pStyle w:val="ac"/>
        <w:ind w:firstLine="708"/>
        <w:jc w:val="both"/>
        <w:rPr>
          <w:color w:val="000000"/>
          <w:sz w:val="28"/>
          <w:szCs w:val="28"/>
        </w:rPr>
      </w:pPr>
      <w:r w:rsidRPr="00C72125">
        <w:rPr>
          <w:b/>
          <w:bCs/>
          <w:color w:val="000000"/>
          <w:sz w:val="28"/>
          <w:szCs w:val="28"/>
        </w:rPr>
        <w:t>Aim of th</w:t>
      </w:r>
      <w:r w:rsidR="00820633">
        <w:rPr>
          <w:b/>
          <w:bCs/>
          <w:color w:val="000000"/>
          <w:sz w:val="28"/>
          <w:szCs w:val="28"/>
        </w:rPr>
        <w:t>e</w:t>
      </w:r>
      <w:r w:rsidRPr="00C72125">
        <w:rPr>
          <w:b/>
          <w:bCs/>
          <w:color w:val="000000"/>
          <w:sz w:val="28"/>
          <w:szCs w:val="28"/>
        </w:rPr>
        <w:t xml:space="preserve"> work. </w:t>
      </w:r>
      <w:r w:rsidR="00820633" w:rsidRPr="00820633">
        <w:rPr>
          <w:color w:val="000000"/>
          <w:sz w:val="28"/>
          <w:szCs w:val="28"/>
        </w:rPr>
        <w:t>To assess the possibilities and limitations of non-operative management of adhesive small bowel obstruction in routine practice of a general surgery department and to identify situations when surgery cannot be postponed.</w:t>
      </w:r>
    </w:p>
    <w:p w14:paraId="0A533670" w14:textId="0C4B9CAD" w:rsidR="00C72125" w:rsidRPr="00C72125" w:rsidRDefault="00122324" w:rsidP="00C72125">
      <w:pPr>
        <w:pStyle w:val="ac"/>
        <w:ind w:firstLine="708"/>
        <w:jc w:val="both"/>
        <w:rPr>
          <w:color w:val="000000"/>
          <w:sz w:val="28"/>
          <w:szCs w:val="28"/>
        </w:rPr>
      </w:pPr>
      <w:r w:rsidRPr="00C72125">
        <w:rPr>
          <w:b/>
          <w:bCs/>
          <w:color w:val="000000"/>
          <w:sz w:val="28"/>
          <w:szCs w:val="28"/>
        </w:rPr>
        <w:lastRenderedPageBreak/>
        <w:t xml:space="preserve">Materials and methods. </w:t>
      </w:r>
      <w:r w:rsidR="00C72125" w:rsidRPr="00C72125">
        <w:rPr>
          <w:color w:val="000000"/>
          <w:sz w:val="28"/>
          <w:szCs w:val="28"/>
        </w:rPr>
        <w:t xml:space="preserve">A retrospective analysis was performed of the medical records of 5 patients (3 females, 2 males) treated in the general surgery department between January 2023 and March 2024 with a verified diagnosis of adhesive small bowel obstruction. </w:t>
      </w:r>
      <w:r w:rsidR="00820633" w:rsidRPr="00820633">
        <w:rPr>
          <w:color w:val="000000"/>
          <w:sz w:val="28"/>
          <w:szCs w:val="28"/>
        </w:rPr>
        <w:t>All patients initially received conservative treatment (fasting, IV fluids, nasogastric tube</w:t>
      </w:r>
      <w:r w:rsidR="00820633">
        <w:rPr>
          <w:color w:val="000000"/>
          <w:sz w:val="28"/>
          <w:szCs w:val="28"/>
        </w:rPr>
        <w:t>,</w:t>
      </w:r>
      <w:r w:rsidR="00820633" w:rsidRPr="00820633">
        <w:rPr>
          <w:color w:val="000000"/>
          <w:sz w:val="28"/>
          <w:szCs w:val="28"/>
        </w:rPr>
        <w:t xml:space="preserve"> long intestinal tube). Decision about surgery was made in case of clinical deterioration or absence of improvement within 48</w:t>
      </w:r>
      <w:r w:rsidR="00820633">
        <w:rPr>
          <w:color w:val="000000"/>
          <w:sz w:val="28"/>
          <w:szCs w:val="28"/>
        </w:rPr>
        <w:t>-</w:t>
      </w:r>
      <w:r w:rsidR="00820633" w:rsidRPr="00820633">
        <w:rPr>
          <w:color w:val="000000"/>
          <w:sz w:val="28"/>
          <w:szCs w:val="28"/>
        </w:rPr>
        <w:t>72 hours.</w:t>
      </w:r>
      <w:r w:rsidR="00820633">
        <w:rPr>
          <w:color w:val="000000"/>
          <w:sz w:val="28"/>
          <w:szCs w:val="28"/>
        </w:rPr>
        <w:t xml:space="preserve"> </w:t>
      </w:r>
      <w:r w:rsidR="00C72125" w:rsidRPr="00C72125">
        <w:rPr>
          <w:color w:val="000000"/>
          <w:sz w:val="28"/>
          <w:szCs w:val="28"/>
        </w:rPr>
        <w:t>Clinical symptoms and physical findings, laboratory parameters (complete blood count, C-reactive protein, lactate, electrolytes), plain abdominal radiography, and computed tomography of the abdomen with water-soluble contrast were evaluated.</w:t>
      </w:r>
    </w:p>
    <w:p w14:paraId="007F722A" w14:textId="2A67BD88" w:rsidR="00C72125" w:rsidRPr="00C72125" w:rsidRDefault="00122324" w:rsidP="00C72125">
      <w:pPr>
        <w:pStyle w:val="ac"/>
        <w:ind w:firstLine="708"/>
        <w:jc w:val="both"/>
        <w:rPr>
          <w:color w:val="000000"/>
          <w:sz w:val="28"/>
          <w:szCs w:val="28"/>
        </w:rPr>
      </w:pPr>
      <w:r w:rsidRPr="00C72125">
        <w:rPr>
          <w:b/>
          <w:bCs/>
          <w:color w:val="000000"/>
          <w:sz w:val="28"/>
          <w:szCs w:val="28"/>
        </w:rPr>
        <w:t>Results</w:t>
      </w:r>
      <w:r w:rsidR="00820633">
        <w:rPr>
          <w:b/>
          <w:bCs/>
          <w:color w:val="000000"/>
          <w:sz w:val="28"/>
          <w:szCs w:val="28"/>
        </w:rPr>
        <w:t xml:space="preserve"> and discussions</w:t>
      </w:r>
      <w:r w:rsidR="00C72125" w:rsidRPr="00C72125">
        <w:rPr>
          <w:b/>
          <w:bCs/>
          <w:color w:val="000000"/>
          <w:sz w:val="28"/>
          <w:szCs w:val="28"/>
          <w:lang w:val="uk-UA"/>
        </w:rPr>
        <w:t xml:space="preserve">. </w:t>
      </w:r>
      <w:r w:rsidR="00C72125" w:rsidRPr="00C72125">
        <w:rPr>
          <w:color w:val="000000"/>
          <w:sz w:val="28"/>
          <w:szCs w:val="28"/>
        </w:rPr>
        <w:t>In a retrospective analysis of 5 clinical cases of adhesive small bowel obstruction, diverse clinical pictures were found that illustrate the advantages and limitations of the conservative approach. Each case demonstrates how diagnostic criteria influence the choice of treatment strategy. In all five patients, initial management was non-operative, with transition to surgery only in the presence of signs of complications or lack of improvement. The mean age of the patients was 58 years (range 32</w:t>
      </w:r>
      <w:r w:rsidR="00C72125" w:rsidRPr="00C72125">
        <w:rPr>
          <w:color w:val="000000"/>
          <w:sz w:val="28"/>
          <w:szCs w:val="28"/>
          <w:lang w:val="uk-UA"/>
        </w:rPr>
        <w:t>-</w:t>
      </w:r>
      <w:r w:rsidR="00C72125" w:rsidRPr="00C72125">
        <w:rPr>
          <w:color w:val="000000"/>
          <w:sz w:val="28"/>
          <w:szCs w:val="28"/>
        </w:rPr>
        <w:t>78 years), with a predominance of individuals with a history of laparotomies (appendectomy, hysterectomy or intestinal surgery). Successful conservative treatment was achieved in three cases. In 2 cases surgical intervention was required due to signs of ischaemia or lack of improvement after 72 hours. Antegrade intubation (nasogastric tube) was used in 4 cases as the standard decompression method, whereas retrograde (transcecal) intubation was used in 1 case to enhance the effect when primary decompression was ineffective.</w:t>
      </w:r>
    </w:p>
    <w:p w14:paraId="4DB8720E" w14:textId="258D8810" w:rsidR="00C72125" w:rsidRPr="00C72125" w:rsidRDefault="00C72125" w:rsidP="00C72125">
      <w:pPr>
        <w:pStyle w:val="ac"/>
        <w:ind w:firstLine="708"/>
        <w:jc w:val="both"/>
        <w:rPr>
          <w:color w:val="000000"/>
          <w:sz w:val="28"/>
          <w:szCs w:val="28"/>
        </w:rPr>
      </w:pPr>
      <w:r w:rsidRPr="00C72125">
        <w:rPr>
          <w:rStyle w:val="ad"/>
          <w:rFonts w:eastAsiaTheme="majorEastAsia"/>
          <w:color w:val="000000"/>
          <w:sz w:val="28"/>
          <w:szCs w:val="28"/>
        </w:rPr>
        <w:t xml:space="preserve">Clinical case </w:t>
      </w:r>
      <w:r>
        <w:rPr>
          <w:rStyle w:val="ad"/>
          <w:rFonts w:eastAsiaTheme="majorEastAsia"/>
          <w:color w:val="000000"/>
          <w:sz w:val="28"/>
          <w:szCs w:val="28"/>
          <w:lang w:val="uk-UA"/>
        </w:rPr>
        <w:t>№</w:t>
      </w:r>
      <w:r w:rsidRPr="00C72125">
        <w:rPr>
          <w:rStyle w:val="ad"/>
          <w:rFonts w:eastAsiaTheme="majorEastAsia"/>
          <w:color w:val="000000"/>
          <w:sz w:val="28"/>
          <w:szCs w:val="28"/>
        </w:rPr>
        <w:t>1.</w:t>
      </w:r>
      <w:r w:rsidRPr="00C72125">
        <w:rPr>
          <w:color w:val="000000"/>
          <w:sz w:val="28"/>
          <w:szCs w:val="28"/>
        </w:rPr>
        <w:t xml:space="preserve"> A 45-year-old female patient </w:t>
      </w:r>
      <w:r w:rsidR="00820633">
        <w:rPr>
          <w:color w:val="000000"/>
          <w:sz w:val="28"/>
          <w:szCs w:val="28"/>
        </w:rPr>
        <w:t>(</w:t>
      </w:r>
      <w:r w:rsidRPr="00C72125">
        <w:rPr>
          <w:color w:val="000000"/>
          <w:sz w:val="28"/>
          <w:szCs w:val="28"/>
        </w:rPr>
        <w:t xml:space="preserve">hysterectomy </w:t>
      </w:r>
      <w:r w:rsidR="00820633">
        <w:rPr>
          <w:color w:val="000000"/>
          <w:sz w:val="28"/>
          <w:szCs w:val="28"/>
        </w:rPr>
        <w:t xml:space="preserve">was performed </w:t>
      </w:r>
      <w:r w:rsidRPr="00C72125">
        <w:rPr>
          <w:color w:val="000000"/>
          <w:sz w:val="28"/>
          <w:szCs w:val="28"/>
        </w:rPr>
        <w:t>five years previously</w:t>
      </w:r>
      <w:r w:rsidR="00820633">
        <w:rPr>
          <w:color w:val="000000"/>
          <w:sz w:val="28"/>
          <w:szCs w:val="28"/>
        </w:rPr>
        <w:t>)</w:t>
      </w:r>
      <w:r w:rsidRPr="00C72125">
        <w:rPr>
          <w:color w:val="000000"/>
          <w:sz w:val="28"/>
          <w:szCs w:val="28"/>
        </w:rPr>
        <w:t xml:space="preserve"> was admitted with complaints of intense abdominal pain accompanied by repeated vomiting, abdominal distension, and absence of passage of flatus and stool. Clinical examination revealed tympanites over the abdominal cavity, weakened peristalsis, and absence of peritoneal signs. Laboratory findings: leukocytosis 12</w:t>
      </w:r>
      <w:r w:rsidRPr="00C72125">
        <w:rPr>
          <w:color w:val="000000"/>
          <w:sz w:val="28"/>
          <w:szCs w:val="28"/>
          <w:lang w:val="uk-UA"/>
        </w:rPr>
        <w:t>х</w:t>
      </w:r>
      <w:r w:rsidRPr="00C72125">
        <w:rPr>
          <w:color w:val="000000"/>
          <w:sz w:val="28"/>
          <w:szCs w:val="28"/>
        </w:rPr>
        <w:t>10⁹/L, lactate 1.5 mmol/L, no significant electrolyte disturbances. Instrumental diagnostics included plain abdominal radiography, which showed multiple air-fluid levels in the small intestine, and CT with water-soluble contrast, which confirmed a transition zone in the distal small bowel without signs of ischaemia. Given the patient’s age (middle-aged, without significant comorbidities) and the absence of strangulation markers, conservative treatment was chosen: complete fasting, infusion therapy (Ringer’s solution 2</w:t>
      </w:r>
      <w:r w:rsidRPr="00C72125">
        <w:rPr>
          <w:color w:val="000000"/>
          <w:sz w:val="28"/>
          <w:szCs w:val="28"/>
          <w:lang w:val="uk-UA"/>
        </w:rPr>
        <w:t>-</w:t>
      </w:r>
      <w:r w:rsidRPr="00C72125">
        <w:rPr>
          <w:color w:val="000000"/>
          <w:sz w:val="28"/>
          <w:szCs w:val="28"/>
        </w:rPr>
        <w:t>3 L/day), antegrade intubation with a nasogastric tube for decompression (800 mL aspirated on the first day). Symptoms regressed within 48 hours</w:t>
      </w:r>
      <w:r w:rsidR="00820633">
        <w:rPr>
          <w:color w:val="000000"/>
          <w:sz w:val="28"/>
          <w:szCs w:val="28"/>
        </w:rPr>
        <w:t>. P</w:t>
      </w:r>
      <w:r w:rsidRPr="00C72125">
        <w:rPr>
          <w:color w:val="000000"/>
          <w:sz w:val="28"/>
          <w:szCs w:val="28"/>
        </w:rPr>
        <w:t>eristalsis resumed, distension decreased, and the patient began passing flatus. Surgery was avoided</w:t>
      </w:r>
      <w:r w:rsidR="00820633">
        <w:rPr>
          <w:color w:val="000000"/>
          <w:sz w:val="28"/>
          <w:szCs w:val="28"/>
        </w:rPr>
        <w:t>,</w:t>
      </w:r>
      <w:r w:rsidRPr="00C72125">
        <w:rPr>
          <w:color w:val="000000"/>
          <w:sz w:val="28"/>
          <w:szCs w:val="28"/>
        </w:rPr>
        <w:t xml:space="preserve"> discharge occurred on day 5 with dietary recommendations.</w:t>
      </w:r>
    </w:p>
    <w:p w14:paraId="37FC5326" w14:textId="6FAA1F0F" w:rsidR="00C72125" w:rsidRPr="00C72125" w:rsidRDefault="00C72125" w:rsidP="00C72125">
      <w:pPr>
        <w:pStyle w:val="ac"/>
        <w:ind w:firstLine="708"/>
        <w:jc w:val="both"/>
        <w:rPr>
          <w:color w:val="000000"/>
          <w:sz w:val="28"/>
          <w:szCs w:val="28"/>
        </w:rPr>
      </w:pPr>
      <w:r w:rsidRPr="00C72125">
        <w:rPr>
          <w:rStyle w:val="ad"/>
          <w:rFonts w:eastAsiaTheme="majorEastAsia"/>
          <w:color w:val="000000"/>
          <w:sz w:val="28"/>
          <w:szCs w:val="28"/>
        </w:rPr>
        <w:lastRenderedPageBreak/>
        <w:t xml:space="preserve">Clinical case </w:t>
      </w:r>
      <w:r>
        <w:rPr>
          <w:rStyle w:val="ad"/>
          <w:rFonts w:eastAsiaTheme="majorEastAsia"/>
          <w:color w:val="000000"/>
          <w:sz w:val="28"/>
          <w:szCs w:val="28"/>
          <w:lang w:val="uk-UA"/>
        </w:rPr>
        <w:t>№</w:t>
      </w:r>
      <w:r w:rsidRPr="00C72125">
        <w:rPr>
          <w:rStyle w:val="ad"/>
          <w:rFonts w:eastAsiaTheme="majorEastAsia"/>
          <w:color w:val="000000"/>
          <w:sz w:val="28"/>
          <w:szCs w:val="28"/>
        </w:rPr>
        <w:t>2.</w:t>
      </w:r>
      <w:r w:rsidRPr="00C72125">
        <w:rPr>
          <w:color w:val="000000"/>
          <w:sz w:val="28"/>
          <w:szCs w:val="28"/>
        </w:rPr>
        <w:t xml:space="preserve"> A 78-year-old male with a history of multiple abdominal operations (appendectomy 40 years ago, sigmoid resection 10 years ago) presented with colicky abdominal pain, bile vomiting, and abdominal distension lasting 24 hours. Examination revealed tachycardia (110 bpm), hypotension (100/60 mmHg), and rigidity of the abdominal wall in the epigastrium. Laboratory tests: leukocytosis 18</w:t>
      </w:r>
      <w:r w:rsidRPr="00C72125">
        <w:rPr>
          <w:color w:val="000000"/>
          <w:sz w:val="28"/>
          <w:szCs w:val="28"/>
          <w:lang w:val="uk-UA"/>
        </w:rPr>
        <w:t>х</w:t>
      </w:r>
      <w:r w:rsidRPr="00C72125">
        <w:rPr>
          <w:color w:val="000000"/>
          <w:sz w:val="28"/>
          <w:szCs w:val="28"/>
        </w:rPr>
        <w:t>10⁹/L, lactate 3.2 mmol/L, hypokalaemia (3.1 mmol/L). Plain abdominal radiography showed gas in the small intestine with air-fluid levels; CT showed an obstruction zone in the proximal ileum with wall thickening (5 mm) and free fluid in the abdominal cavity, indicating possible ischaemia. Given the advanced age, concomitant diseases (ischaemic heart disease, diabetes mellitus), and signs of strangulation, conservative treatment was started but with a low threshold for surgery. Antegrade intubation with a nasogastric tube yielded 1200 mL/day of aspirate, but due to lack of improvement (persistent pain, lactate rise to 4 mmol/L), laparotomy with adhesiolysis was performed at 24 hours. Adhesions involving an ileal loop were found, without necrosis. The postoperative period was uneventful</w:t>
      </w:r>
      <w:r w:rsidR="00820633">
        <w:rPr>
          <w:color w:val="000000"/>
          <w:sz w:val="28"/>
          <w:szCs w:val="28"/>
        </w:rPr>
        <w:t>,</w:t>
      </w:r>
      <w:r w:rsidRPr="00C72125">
        <w:rPr>
          <w:color w:val="000000"/>
          <w:sz w:val="28"/>
          <w:szCs w:val="28"/>
        </w:rPr>
        <w:t xml:space="preserve"> discharge occurred on day 10. </w:t>
      </w:r>
      <w:r w:rsidR="00820633">
        <w:rPr>
          <w:color w:val="000000"/>
          <w:sz w:val="28"/>
          <w:szCs w:val="28"/>
        </w:rPr>
        <w:t>A</w:t>
      </w:r>
      <w:r w:rsidRPr="00C72125">
        <w:rPr>
          <w:color w:val="000000"/>
          <w:sz w:val="28"/>
          <w:szCs w:val="28"/>
        </w:rPr>
        <w:t>ge and comorbidities necessitated a rapid transition to surgery.</w:t>
      </w:r>
    </w:p>
    <w:p w14:paraId="660EA2AF" w14:textId="109EDD2B" w:rsidR="00C72125" w:rsidRPr="00C72125" w:rsidRDefault="00C72125" w:rsidP="00C72125">
      <w:pPr>
        <w:pStyle w:val="ac"/>
        <w:ind w:firstLine="708"/>
        <w:jc w:val="both"/>
        <w:rPr>
          <w:color w:val="000000"/>
          <w:sz w:val="28"/>
          <w:szCs w:val="28"/>
        </w:rPr>
      </w:pPr>
      <w:r w:rsidRPr="00C72125">
        <w:rPr>
          <w:rStyle w:val="ad"/>
          <w:rFonts w:eastAsiaTheme="majorEastAsia"/>
          <w:color w:val="000000"/>
          <w:sz w:val="28"/>
          <w:szCs w:val="28"/>
        </w:rPr>
        <w:t xml:space="preserve">Clinical case </w:t>
      </w:r>
      <w:r>
        <w:rPr>
          <w:rStyle w:val="ad"/>
          <w:rFonts w:eastAsiaTheme="majorEastAsia"/>
          <w:color w:val="000000"/>
          <w:sz w:val="28"/>
          <w:szCs w:val="28"/>
          <w:lang w:val="uk-UA"/>
        </w:rPr>
        <w:t>№</w:t>
      </w:r>
      <w:r w:rsidRPr="00C72125">
        <w:rPr>
          <w:rStyle w:val="ad"/>
          <w:rFonts w:eastAsiaTheme="majorEastAsia"/>
          <w:color w:val="000000"/>
          <w:sz w:val="28"/>
          <w:szCs w:val="28"/>
        </w:rPr>
        <w:t>3.</w:t>
      </w:r>
      <w:r w:rsidRPr="00C72125">
        <w:rPr>
          <w:color w:val="000000"/>
          <w:sz w:val="28"/>
          <w:szCs w:val="28"/>
        </w:rPr>
        <w:t xml:space="preserve"> A 32-year-old female, two years after caesarean section, was admitted with abdominal pain, nausea, and absence of stool for 12 hours. Clinical picture: soft painless abdomen, active peristalsis, no peritoneal signs. Laboratory parameters were normal (leukocytes 9</w:t>
      </w:r>
      <w:r w:rsidRPr="00C72125">
        <w:rPr>
          <w:color w:val="000000"/>
          <w:sz w:val="28"/>
          <w:szCs w:val="28"/>
          <w:lang w:val="uk-UA"/>
        </w:rPr>
        <w:t>х</w:t>
      </w:r>
      <w:r w:rsidRPr="00C72125">
        <w:rPr>
          <w:color w:val="000000"/>
          <w:sz w:val="28"/>
          <w:szCs w:val="28"/>
        </w:rPr>
        <w:t>10⁹/L, lactate 1.2 mmol/L). CT confirmed adhesive obstruction in the distal ileum without complications. Conservative therapy consisted of hydration and antegrade intubation with a long intestinal tube (for deeper decompression)</w:t>
      </w:r>
      <w:r w:rsidR="00820633">
        <w:rPr>
          <w:color w:val="000000"/>
          <w:sz w:val="28"/>
          <w:szCs w:val="28"/>
        </w:rPr>
        <w:t xml:space="preserve">, </w:t>
      </w:r>
      <w:r w:rsidRPr="00C72125">
        <w:rPr>
          <w:color w:val="000000"/>
          <w:sz w:val="28"/>
          <w:szCs w:val="28"/>
        </w:rPr>
        <w:t>symptoms resolved within 36 hours.</w:t>
      </w:r>
    </w:p>
    <w:p w14:paraId="5A83F129" w14:textId="2860D9D4" w:rsidR="00C72125" w:rsidRPr="00C72125" w:rsidRDefault="00C72125" w:rsidP="00C72125">
      <w:pPr>
        <w:pStyle w:val="ac"/>
        <w:ind w:firstLine="708"/>
        <w:jc w:val="both"/>
        <w:rPr>
          <w:color w:val="000000"/>
          <w:sz w:val="28"/>
          <w:szCs w:val="28"/>
        </w:rPr>
      </w:pPr>
      <w:r w:rsidRPr="00C72125">
        <w:rPr>
          <w:rStyle w:val="ad"/>
          <w:rFonts w:eastAsiaTheme="majorEastAsia"/>
          <w:color w:val="000000"/>
          <w:sz w:val="28"/>
          <w:szCs w:val="28"/>
        </w:rPr>
        <w:t xml:space="preserve">Clinical case </w:t>
      </w:r>
      <w:r>
        <w:rPr>
          <w:rStyle w:val="ad"/>
          <w:rFonts w:eastAsiaTheme="majorEastAsia"/>
          <w:color w:val="000000"/>
          <w:sz w:val="28"/>
          <w:szCs w:val="28"/>
          <w:lang w:val="uk-UA"/>
        </w:rPr>
        <w:t>№</w:t>
      </w:r>
      <w:r w:rsidRPr="00C72125">
        <w:rPr>
          <w:rStyle w:val="ad"/>
          <w:rFonts w:eastAsiaTheme="majorEastAsia"/>
          <w:color w:val="000000"/>
          <w:sz w:val="28"/>
          <w:szCs w:val="28"/>
        </w:rPr>
        <w:t>4.</w:t>
      </w:r>
      <w:r w:rsidRPr="00C72125">
        <w:rPr>
          <w:color w:val="000000"/>
          <w:sz w:val="28"/>
          <w:szCs w:val="28"/>
        </w:rPr>
        <w:t xml:space="preserve"> A 62-year-old male with a history of cholecystectomy presented with obstruction symptoms for 36 hours: pain, vomiting, distension. Diagnostic criteria: leukocytosis 14</w:t>
      </w:r>
      <w:r w:rsidRPr="00C72125">
        <w:rPr>
          <w:color w:val="000000"/>
          <w:sz w:val="28"/>
          <w:szCs w:val="28"/>
          <w:lang w:val="uk-UA"/>
        </w:rPr>
        <w:t>х</w:t>
      </w:r>
      <w:r w:rsidRPr="00C72125">
        <w:rPr>
          <w:color w:val="000000"/>
          <w:sz w:val="28"/>
          <w:szCs w:val="28"/>
        </w:rPr>
        <w:t>10⁹/L, lactate 2.5 mmol/L. Initially antegrade intubation was performed, but it was ineffective (aspirate&gt;1000 mL/day). Retrograde transcecal intubation was added to enhance decompression, which made it possible to avoid surgery</w:t>
      </w:r>
      <w:r w:rsidR="00820633">
        <w:rPr>
          <w:color w:val="000000"/>
          <w:sz w:val="28"/>
          <w:szCs w:val="28"/>
        </w:rPr>
        <w:t>,</w:t>
      </w:r>
      <w:r w:rsidRPr="00C72125">
        <w:rPr>
          <w:color w:val="000000"/>
          <w:sz w:val="28"/>
          <w:szCs w:val="28"/>
        </w:rPr>
        <w:t xml:space="preserve"> improvement occurred on day 3.</w:t>
      </w:r>
    </w:p>
    <w:p w14:paraId="12C786B7" w14:textId="33645DC2" w:rsidR="00C72125" w:rsidRPr="00C72125" w:rsidRDefault="00C72125" w:rsidP="00C72125">
      <w:pPr>
        <w:pStyle w:val="ac"/>
        <w:ind w:firstLine="708"/>
        <w:jc w:val="both"/>
        <w:rPr>
          <w:color w:val="000000"/>
          <w:sz w:val="28"/>
          <w:szCs w:val="28"/>
        </w:rPr>
      </w:pPr>
      <w:r w:rsidRPr="00C72125">
        <w:rPr>
          <w:rStyle w:val="ad"/>
          <w:rFonts w:eastAsiaTheme="majorEastAsia"/>
          <w:color w:val="000000"/>
          <w:sz w:val="28"/>
          <w:szCs w:val="28"/>
        </w:rPr>
        <w:t xml:space="preserve">Clinical case </w:t>
      </w:r>
      <w:r>
        <w:rPr>
          <w:rStyle w:val="ad"/>
          <w:rFonts w:eastAsiaTheme="majorEastAsia"/>
          <w:color w:val="000000"/>
          <w:sz w:val="28"/>
          <w:szCs w:val="28"/>
          <w:lang w:val="uk-UA"/>
        </w:rPr>
        <w:t>№</w:t>
      </w:r>
      <w:r w:rsidRPr="00C72125">
        <w:rPr>
          <w:rStyle w:val="ad"/>
          <w:rFonts w:eastAsiaTheme="majorEastAsia"/>
          <w:color w:val="000000"/>
          <w:sz w:val="28"/>
          <w:szCs w:val="28"/>
        </w:rPr>
        <w:t>5.</w:t>
      </w:r>
      <w:r w:rsidRPr="00C72125">
        <w:rPr>
          <w:color w:val="000000"/>
          <w:sz w:val="28"/>
          <w:szCs w:val="28"/>
        </w:rPr>
        <w:t xml:space="preserve"> A 73-year-old female patient, after previous intestinal surgery, presented with a clinical picture of intestinal obstruction lasting 48 hours. Positive peritoneal signs, high lactate (4.5 mmol/L), CT showed strangulation. Conservative management with antegrade intubation was ineffective</w:t>
      </w:r>
      <w:r w:rsidR="00820633">
        <w:rPr>
          <w:color w:val="000000"/>
          <w:sz w:val="28"/>
          <w:szCs w:val="28"/>
        </w:rPr>
        <w:t>,</w:t>
      </w:r>
      <w:r w:rsidRPr="00C72125">
        <w:rPr>
          <w:color w:val="000000"/>
          <w:sz w:val="28"/>
          <w:szCs w:val="28"/>
        </w:rPr>
        <w:t xml:space="preserve"> surgery was performed at 48 hours with resection of the necrotic segment.</w:t>
      </w:r>
    </w:p>
    <w:p w14:paraId="16BA57AD" w14:textId="52FC13C1" w:rsidR="00C72125" w:rsidRDefault="00E5540C" w:rsidP="00C72125">
      <w:pPr>
        <w:pStyle w:val="ac"/>
        <w:ind w:firstLine="708"/>
        <w:jc w:val="both"/>
        <w:rPr>
          <w:color w:val="000000"/>
          <w:sz w:val="28"/>
          <w:szCs w:val="28"/>
          <w:lang w:val="uk-UA"/>
        </w:rPr>
      </w:pPr>
      <w:r w:rsidRPr="00C72125">
        <w:rPr>
          <w:b/>
          <w:bCs/>
          <w:color w:val="000000"/>
          <w:sz w:val="28"/>
          <w:szCs w:val="28"/>
        </w:rPr>
        <w:t xml:space="preserve">Conclusions. </w:t>
      </w:r>
      <w:r w:rsidR="00C72125" w:rsidRPr="00C72125">
        <w:rPr>
          <w:color w:val="000000"/>
          <w:sz w:val="28"/>
          <w:szCs w:val="28"/>
        </w:rPr>
        <w:t>In 3 of 5 patients complete resolution of adhesive small bowel obstruction was achieved exclusively by conservative methods within 36</w:t>
      </w:r>
      <w:r w:rsidR="00C72125" w:rsidRPr="00C72125">
        <w:rPr>
          <w:color w:val="000000"/>
          <w:sz w:val="28"/>
          <w:szCs w:val="28"/>
          <w:lang w:val="uk-UA"/>
        </w:rPr>
        <w:t>-</w:t>
      </w:r>
      <w:r w:rsidR="00C72125" w:rsidRPr="00C72125">
        <w:rPr>
          <w:color w:val="000000"/>
          <w:sz w:val="28"/>
          <w:szCs w:val="28"/>
        </w:rPr>
        <w:t>72 hours</w:t>
      </w:r>
      <w:r w:rsidR="00793A52">
        <w:rPr>
          <w:color w:val="000000"/>
          <w:sz w:val="28"/>
          <w:szCs w:val="28"/>
        </w:rPr>
        <w:t xml:space="preserve">. </w:t>
      </w:r>
      <w:r w:rsidR="00C72125" w:rsidRPr="00C72125">
        <w:rPr>
          <w:color w:val="000000"/>
          <w:sz w:val="28"/>
          <w:szCs w:val="28"/>
        </w:rPr>
        <w:t>Successful conservative management was possible mainly in younger and middle-aged patients (32</w:t>
      </w:r>
      <w:r w:rsidR="00C72125" w:rsidRPr="00C72125">
        <w:rPr>
          <w:color w:val="000000"/>
          <w:sz w:val="28"/>
          <w:szCs w:val="28"/>
          <w:lang w:val="uk-UA"/>
        </w:rPr>
        <w:t>-</w:t>
      </w:r>
      <w:r w:rsidR="00C72125" w:rsidRPr="00C72125">
        <w:rPr>
          <w:color w:val="000000"/>
          <w:sz w:val="28"/>
          <w:szCs w:val="28"/>
        </w:rPr>
        <w:t xml:space="preserve">62 years) without pronounced CT signs of </w:t>
      </w:r>
      <w:r w:rsidR="00C72125" w:rsidRPr="00C72125">
        <w:rPr>
          <w:color w:val="000000"/>
          <w:sz w:val="28"/>
          <w:szCs w:val="28"/>
        </w:rPr>
        <w:lastRenderedPageBreak/>
        <w:t>ischaemia and with adequate small bowel decompression. In two elderly patients (73 and 78 years) with high lactate levels and radiological signs of strangulation risk, surgical intervention was required within the first 48 hours, emphasising the need to lower the threshold for surgical activity in the elderly. The use of retrograde transcecal intubation in one case avoided laparotomy when standard antegrade decompression was ineffective, indicating the expediency of this method as a reserve option.</w:t>
      </w:r>
      <w:r w:rsidR="00C72125">
        <w:rPr>
          <w:color w:val="000000"/>
          <w:sz w:val="28"/>
          <w:szCs w:val="28"/>
          <w:lang w:val="uk-UA"/>
        </w:rPr>
        <w:t xml:space="preserve"> </w:t>
      </w:r>
    </w:p>
    <w:p w14:paraId="197104D7" w14:textId="21998B66" w:rsidR="00C72125" w:rsidRPr="00C72125" w:rsidRDefault="00C72125" w:rsidP="00C72125">
      <w:pPr>
        <w:pStyle w:val="ac"/>
        <w:ind w:firstLine="708"/>
        <w:jc w:val="both"/>
        <w:rPr>
          <w:color w:val="000000"/>
          <w:sz w:val="28"/>
          <w:szCs w:val="28"/>
        </w:rPr>
      </w:pPr>
      <w:r w:rsidRPr="00C72125">
        <w:rPr>
          <w:color w:val="000000"/>
          <w:sz w:val="28"/>
          <w:szCs w:val="28"/>
        </w:rPr>
        <w:t>The obtained data confirm the feasibility and high effectiveness of a primarily conservative approach to adhesive small bowel obstruction provided strict dynamic monitoring and readiness for immediate surgical intervention at the first signs of complications are ensured. Success depends on accurate diagnosis (CT as the gold standard) and timely decompression, mainly antegrade, with retrograde as a reserve. Transition to surgery is necessary in the presence of ischaemia markers or in elderly individuals where the risk of complications is higher.</w:t>
      </w:r>
      <w:r w:rsidR="00793A52">
        <w:rPr>
          <w:color w:val="000000"/>
          <w:sz w:val="28"/>
          <w:szCs w:val="28"/>
        </w:rPr>
        <w:t xml:space="preserve"> [1,2,3,4]</w:t>
      </w:r>
    </w:p>
    <w:p w14:paraId="0DCA68E6" w14:textId="1FD35E89" w:rsidR="00122324" w:rsidRPr="00122324" w:rsidRDefault="00E5540C" w:rsidP="00C72125">
      <w:pPr>
        <w:spacing w:before="100" w:beforeAutospacing="1" w:after="100" w:afterAutospacing="1" w:line="240" w:lineRule="auto"/>
        <w:jc w:val="both"/>
        <w:outlineLvl w:val="2"/>
        <w:rPr>
          <w:rFonts w:ascii="Times New Roman" w:eastAsia="Times New Roman" w:hAnsi="Times New Roman" w:cs="Times New Roman"/>
          <w:b/>
          <w:bCs/>
          <w:color w:val="000000"/>
          <w:kern w:val="0"/>
          <w:sz w:val="28"/>
          <w:szCs w:val="28"/>
          <w:lang w:eastAsia="ru-RU"/>
          <w14:ligatures w14:val="none"/>
        </w:rPr>
      </w:pPr>
      <w:r w:rsidRPr="00C72125">
        <w:rPr>
          <w:rFonts w:ascii="Times New Roman" w:eastAsia="Times New Roman" w:hAnsi="Times New Roman" w:cs="Times New Roman"/>
          <w:b/>
          <w:bCs/>
          <w:color w:val="000000"/>
          <w:kern w:val="0"/>
          <w:sz w:val="28"/>
          <w:szCs w:val="28"/>
          <w:lang w:eastAsia="ru-RU"/>
          <w14:ligatures w14:val="none"/>
        </w:rPr>
        <w:t>Sources.</w:t>
      </w:r>
    </w:p>
    <w:p w14:paraId="6A142E59" w14:textId="2D922C01" w:rsidR="00E5540C" w:rsidRPr="00C72125" w:rsidRDefault="00122324" w:rsidP="00C72125">
      <w:pPr>
        <w:pStyle w:val="a7"/>
        <w:numPr>
          <w:ilvl w:val="0"/>
          <w:numId w:val="3"/>
        </w:numPr>
        <w:spacing w:before="100" w:beforeAutospacing="1" w:after="100" w:afterAutospacing="1" w:line="240" w:lineRule="auto"/>
        <w:jc w:val="both"/>
        <w:rPr>
          <w:rFonts w:ascii="Times New Roman" w:eastAsia="Times New Roman" w:hAnsi="Times New Roman" w:cs="Times New Roman"/>
          <w:color w:val="000000"/>
          <w:kern w:val="0"/>
          <w:sz w:val="28"/>
          <w:szCs w:val="28"/>
          <w:lang w:eastAsia="ru-RU"/>
          <w14:ligatures w14:val="none"/>
        </w:rPr>
      </w:pPr>
      <w:r w:rsidRPr="00C72125">
        <w:rPr>
          <w:rFonts w:ascii="Times New Roman" w:eastAsia="Times New Roman" w:hAnsi="Times New Roman" w:cs="Times New Roman"/>
          <w:color w:val="000000"/>
          <w:kern w:val="0"/>
          <w:sz w:val="28"/>
          <w:szCs w:val="28"/>
          <w:lang w:eastAsia="ru-RU"/>
          <w14:ligatures w14:val="none"/>
        </w:rPr>
        <w:t>Bologna Guidelines for Diagnosis and Management of Adhesive Small Bowel Obstruction (ASBO): 2017 Update of the Evidence-Based Guidelines from the World Society of Emergency Surgery ASBO Working Group. World J Emerg Surg. 2018;13:24.</w:t>
      </w:r>
    </w:p>
    <w:p w14:paraId="28251A87" w14:textId="77777777" w:rsidR="00793A52" w:rsidRDefault="00122324" w:rsidP="00793A52">
      <w:pPr>
        <w:pStyle w:val="a7"/>
        <w:numPr>
          <w:ilvl w:val="0"/>
          <w:numId w:val="3"/>
        </w:numPr>
        <w:spacing w:before="100" w:beforeAutospacing="1" w:after="100" w:afterAutospacing="1" w:line="240" w:lineRule="auto"/>
        <w:jc w:val="both"/>
        <w:rPr>
          <w:rFonts w:ascii="Times New Roman" w:eastAsia="Times New Roman" w:hAnsi="Times New Roman" w:cs="Times New Roman"/>
          <w:color w:val="000000"/>
          <w:kern w:val="0"/>
          <w:sz w:val="28"/>
          <w:szCs w:val="28"/>
          <w:lang w:eastAsia="ru-RU"/>
          <w14:ligatures w14:val="none"/>
        </w:rPr>
      </w:pPr>
      <w:r w:rsidRPr="00C72125">
        <w:rPr>
          <w:rFonts w:ascii="Times New Roman" w:eastAsia="Times New Roman" w:hAnsi="Times New Roman" w:cs="Times New Roman"/>
          <w:color w:val="000000"/>
          <w:kern w:val="0"/>
          <w:sz w:val="28"/>
          <w:szCs w:val="28"/>
          <w:lang w:eastAsia="ru-RU"/>
          <w14:ligatures w14:val="none"/>
        </w:rPr>
        <w:t>Eastern Association for the Surgery of Trauma. Small-Bowel Obstruction, Evaluation and Management of. 2018.</w:t>
      </w:r>
    </w:p>
    <w:p w14:paraId="4E5C9EA7" w14:textId="5644CACE" w:rsidR="00E5540C" w:rsidRPr="00793A52" w:rsidRDefault="00122324" w:rsidP="00793A52">
      <w:pPr>
        <w:pStyle w:val="a7"/>
        <w:numPr>
          <w:ilvl w:val="0"/>
          <w:numId w:val="3"/>
        </w:numPr>
        <w:spacing w:before="100" w:beforeAutospacing="1" w:after="100" w:afterAutospacing="1" w:line="240" w:lineRule="auto"/>
        <w:jc w:val="both"/>
        <w:rPr>
          <w:rFonts w:ascii="Times New Roman" w:eastAsia="Times New Roman" w:hAnsi="Times New Roman" w:cs="Times New Roman"/>
          <w:color w:val="000000"/>
          <w:kern w:val="0"/>
          <w:sz w:val="28"/>
          <w:szCs w:val="28"/>
          <w:lang w:eastAsia="ru-RU"/>
          <w14:ligatures w14:val="none"/>
        </w:rPr>
      </w:pPr>
      <w:r w:rsidRPr="00793A52">
        <w:rPr>
          <w:rFonts w:ascii="Times New Roman" w:eastAsia="Times New Roman" w:hAnsi="Times New Roman" w:cs="Times New Roman"/>
          <w:color w:val="000000"/>
          <w:kern w:val="0"/>
          <w:sz w:val="28"/>
          <w:szCs w:val="28"/>
          <w:lang w:eastAsia="ru-RU"/>
          <w14:ligatures w14:val="none"/>
        </w:rPr>
        <w:t>Behman R, et al. Association of Surgical Intervention for Adhesive Small-Bowel Obstruction With the Risk of Recurrence. JAMA Surg. 2019;154(5):413-420.</w:t>
      </w:r>
    </w:p>
    <w:p w14:paraId="2926EB2A" w14:textId="33D88869" w:rsidR="00122324" w:rsidRPr="00C72125" w:rsidRDefault="00122324" w:rsidP="00C72125">
      <w:pPr>
        <w:pStyle w:val="a7"/>
        <w:numPr>
          <w:ilvl w:val="0"/>
          <w:numId w:val="3"/>
        </w:numPr>
        <w:spacing w:before="100" w:beforeAutospacing="1" w:after="100" w:afterAutospacing="1" w:line="240" w:lineRule="auto"/>
        <w:jc w:val="both"/>
        <w:rPr>
          <w:rFonts w:ascii="Times New Roman" w:eastAsia="Times New Roman" w:hAnsi="Times New Roman" w:cs="Times New Roman"/>
          <w:color w:val="000000"/>
          <w:kern w:val="0"/>
          <w:sz w:val="28"/>
          <w:szCs w:val="28"/>
          <w:lang w:eastAsia="ru-RU"/>
          <w14:ligatures w14:val="none"/>
        </w:rPr>
      </w:pPr>
      <w:r w:rsidRPr="00C72125">
        <w:rPr>
          <w:rFonts w:ascii="Times New Roman" w:eastAsia="Times New Roman" w:hAnsi="Times New Roman" w:cs="Times New Roman"/>
          <w:color w:val="000000"/>
          <w:kern w:val="0"/>
          <w:sz w:val="28"/>
          <w:szCs w:val="28"/>
          <w:lang w:eastAsia="ru-RU"/>
          <w14:ligatures w14:val="none"/>
        </w:rPr>
        <w:t>Millet I, et al. Adhesive small-bowel obstruction: value of CT in identifying findings associated with the effectiveness of nonsurgical treatment. Radiology. 2014;273(2):425-32.</w:t>
      </w:r>
    </w:p>
    <w:p w14:paraId="713051B6" w14:textId="77777777" w:rsidR="00122324" w:rsidRPr="00C72125" w:rsidRDefault="00122324" w:rsidP="00C72125">
      <w:pPr>
        <w:jc w:val="both"/>
        <w:rPr>
          <w:sz w:val="28"/>
          <w:szCs w:val="28"/>
        </w:rPr>
      </w:pPr>
    </w:p>
    <w:sectPr w:rsidR="00122324" w:rsidRPr="00C7212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9276A2"/>
    <w:multiLevelType w:val="multilevel"/>
    <w:tmpl w:val="CBDA1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DE2646D"/>
    <w:multiLevelType w:val="hybridMultilevel"/>
    <w:tmpl w:val="7242D2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BAE3076"/>
    <w:multiLevelType w:val="multilevel"/>
    <w:tmpl w:val="BDBC45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68097503">
    <w:abstractNumId w:val="0"/>
  </w:num>
  <w:num w:numId="2" w16cid:durableId="795560784">
    <w:abstractNumId w:val="2"/>
  </w:num>
  <w:num w:numId="3" w16cid:durableId="6459388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2324"/>
    <w:rsid w:val="000E5A15"/>
    <w:rsid w:val="00122324"/>
    <w:rsid w:val="0054088D"/>
    <w:rsid w:val="005D1C86"/>
    <w:rsid w:val="00602C27"/>
    <w:rsid w:val="00643613"/>
    <w:rsid w:val="00793A52"/>
    <w:rsid w:val="00820633"/>
    <w:rsid w:val="008E0168"/>
    <w:rsid w:val="008E4748"/>
    <w:rsid w:val="00A0584E"/>
    <w:rsid w:val="00BF4F4F"/>
    <w:rsid w:val="00C72125"/>
    <w:rsid w:val="00CC5E25"/>
    <w:rsid w:val="00D3278B"/>
    <w:rsid w:val="00E5540C"/>
    <w:rsid w:val="00ED412B"/>
    <w:rsid w:val="00EE7B94"/>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ecimalSymbol w:val=","/>
  <w:listSeparator w:val=";"/>
  <w14:docId w14:val="5A5F6370"/>
  <w15:chartTrackingRefBased/>
  <w15:docId w15:val="{B2FA0C1E-C43C-3041-92B4-684A97B4C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12232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12232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122324"/>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122324"/>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122324"/>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122324"/>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122324"/>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122324"/>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122324"/>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22324"/>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122324"/>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122324"/>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122324"/>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122324"/>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122324"/>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122324"/>
    <w:rPr>
      <w:rFonts w:eastAsiaTheme="majorEastAsia" w:cstheme="majorBidi"/>
      <w:color w:val="595959" w:themeColor="text1" w:themeTint="A6"/>
    </w:rPr>
  </w:style>
  <w:style w:type="character" w:customStyle="1" w:styleId="80">
    <w:name w:val="Заголовок 8 Знак"/>
    <w:basedOn w:val="a0"/>
    <w:link w:val="8"/>
    <w:uiPriority w:val="9"/>
    <w:semiHidden/>
    <w:rsid w:val="00122324"/>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122324"/>
    <w:rPr>
      <w:rFonts w:eastAsiaTheme="majorEastAsia" w:cstheme="majorBidi"/>
      <w:color w:val="272727" w:themeColor="text1" w:themeTint="D8"/>
    </w:rPr>
  </w:style>
  <w:style w:type="paragraph" w:styleId="a3">
    <w:name w:val="Title"/>
    <w:basedOn w:val="a"/>
    <w:next w:val="a"/>
    <w:link w:val="a4"/>
    <w:uiPriority w:val="10"/>
    <w:qFormat/>
    <w:rsid w:val="0012232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12232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122324"/>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122324"/>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122324"/>
    <w:pPr>
      <w:spacing w:before="160"/>
      <w:jc w:val="center"/>
    </w:pPr>
    <w:rPr>
      <w:i/>
      <w:iCs/>
      <w:color w:val="404040" w:themeColor="text1" w:themeTint="BF"/>
    </w:rPr>
  </w:style>
  <w:style w:type="character" w:customStyle="1" w:styleId="22">
    <w:name w:val="Цитата 2 Знак"/>
    <w:basedOn w:val="a0"/>
    <w:link w:val="21"/>
    <w:uiPriority w:val="29"/>
    <w:rsid w:val="00122324"/>
    <w:rPr>
      <w:i/>
      <w:iCs/>
      <w:color w:val="404040" w:themeColor="text1" w:themeTint="BF"/>
    </w:rPr>
  </w:style>
  <w:style w:type="paragraph" w:styleId="a7">
    <w:name w:val="List Paragraph"/>
    <w:basedOn w:val="a"/>
    <w:uiPriority w:val="34"/>
    <w:qFormat/>
    <w:rsid w:val="00122324"/>
    <w:pPr>
      <w:ind w:left="720"/>
      <w:contextualSpacing/>
    </w:pPr>
  </w:style>
  <w:style w:type="character" w:styleId="a8">
    <w:name w:val="Intense Emphasis"/>
    <w:basedOn w:val="a0"/>
    <w:uiPriority w:val="21"/>
    <w:qFormat/>
    <w:rsid w:val="00122324"/>
    <w:rPr>
      <w:i/>
      <w:iCs/>
      <w:color w:val="0F4761" w:themeColor="accent1" w:themeShade="BF"/>
    </w:rPr>
  </w:style>
  <w:style w:type="paragraph" w:styleId="a9">
    <w:name w:val="Intense Quote"/>
    <w:basedOn w:val="a"/>
    <w:next w:val="a"/>
    <w:link w:val="aa"/>
    <w:uiPriority w:val="30"/>
    <w:qFormat/>
    <w:rsid w:val="0012232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122324"/>
    <w:rPr>
      <w:i/>
      <w:iCs/>
      <w:color w:val="0F4761" w:themeColor="accent1" w:themeShade="BF"/>
    </w:rPr>
  </w:style>
  <w:style w:type="character" w:styleId="ab">
    <w:name w:val="Intense Reference"/>
    <w:basedOn w:val="a0"/>
    <w:uiPriority w:val="32"/>
    <w:qFormat/>
    <w:rsid w:val="00122324"/>
    <w:rPr>
      <w:b/>
      <w:bCs/>
      <w:smallCaps/>
      <w:color w:val="0F4761" w:themeColor="accent1" w:themeShade="BF"/>
      <w:spacing w:val="5"/>
    </w:rPr>
  </w:style>
  <w:style w:type="paragraph" w:styleId="ac">
    <w:name w:val="Normal (Web)"/>
    <w:basedOn w:val="a"/>
    <w:uiPriority w:val="99"/>
    <w:semiHidden/>
    <w:unhideWhenUsed/>
    <w:rsid w:val="00122324"/>
    <w:pPr>
      <w:spacing w:before="100" w:beforeAutospacing="1" w:after="100" w:afterAutospacing="1" w:line="240" w:lineRule="auto"/>
    </w:pPr>
    <w:rPr>
      <w:rFonts w:ascii="Times New Roman" w:eastAsia="Times New Roman" w:hAnsi="Times New Roman" w:cs="Times New Roman"/>
      <w:kern w:val="0"/>
      <w:lang w:eastAsia="ru-RU"/>
      <w14:ligatures w14:val="none"/>
    </w:rPr>
  </w:style>
  <w:style w:type="character" w:styleId="ad">
    <w:name w:val="Strong"/>
    <w:basedOn w:val="a0"/>
    <w:uiPriority w:val="22"/>
    <w:qFormat/>
    <w:rsid w:val="00122324"/>
    <w:rPr>
      <w:b/>
      <w:bCs/>
    </w:rPr>
  </w:style>
  <w:style w:type="character" w:styleId="ae">
    <w:name w:val="Hyperlink"/>
    <w:basedOn w:val="a0"/>
    <w:uiPriority w:val="99"/>
    <w:unhideWhenUsed/>
    <w:rsid w:val="00122324"/>
    <w:rPr>
      <w:color w:val="0000FF"/>
      <w:u w:val="single"/>
    </w:rPr>
  </w:style>
  <w:style w:type="character" w:styleId="af">
    <w:name w:val="FollowedHyperlink"/>
    <w:basedOn w:val="a0"/>
    <w:uiPriority w:val="99"/>
    <w:semiHidden/>
    <w:unhideWhenUsed/>
    <w:rsid w:val="00E5540C"/>
    <w:rPr>
      <w:color w:val="96607D" w:themeColor="followedHyperlink"/>
      <w:u w:val="single"/>
    </w:rPr>
  </w:style>
  <w:style w:type="character" w:styleId="af0">
    <w:name w:val="Unresolved Mention"/>
    <w:basedOn w:val="a0"/>
    <w:uiPriority w:val="99"/>
    <w:semiHidden/>
    <w:unhideWhenUsed/>
    <w:rsid w:val="008E016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oh.petiunin@knmu.edu.ua" TargetMode="External"/><Relationship Id="rId5" Type="http://schemas.openxmlformats.org/officeDocument/2006/relationships/hyperlink" Target="mailto:do.myroshnychenko@knmu.edu.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1463</Words>
  <Characters>8341</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Darina Priymak</dc:creator>
  <cp:keywords/>
  <dc:description/>
  <cp:lastModifiedBy>Darina Priymak</cp:lastModifiedBy>
  <cp:revision>3</cp:revision>
  <dcterms:created xsi:type="dcterms:W3CDTF">2025-12-02T05:57:00Z</dcterms:created>
  <dcterms:modified xsi:type="dcterms:W3CDTF">2025-12-02T06:14:00Z</dcterms:modified>
</cp:coreProperties>
</file>