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7B9F" w:rsidRPr="00CC7B9F" w:rsidRDefault="00CC7B9F" w:rsidP="005B1521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CC7B9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Рождественська Анастасія Олександрівна</w:t>
      </w:r>
    </w:p>
    <w:p w:rsidR="00CC7B9F" w:rsidRDefault="00CC7B9F" w:rsidP="005B1521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CC7B9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</w:t>
      </w:r>
      <w:r w:rsidR="005B152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ауковий керівник: </w:t>
      </w:r>
      <w:proofErr w:type="spellStart"/>
      <w:r w:rsidR="005B152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Железнякова</w:t>
      </w:r>
      <w:proofErr w:type="spellEnd"/>
      <w:r w:rsidR="005B152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Наталя </w:t>
      </w:r>
      <w:proofErr w:type="spellStart"/>
      <w:r w:rsidR="005B152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Мерабівна</w:t>
      </w:r>
      <w:proofErr w:type="spellEnd"/>
    </w:p>
    <w:p w:rsidR="005B1521" w:rsidRPr="002C4490" w:rsidRDefault="005B1521" w:rsidP="005B1521">
      <w:pPr>
        <w:pStyle w:val="2"/>
        <w:spacing w:after="0" w:line="360" w:lineRule="auto"/>
        <w:ind w:left="0"/>
        <w:jc w:val="center"/>
        <w:rPr>
          <w:i/>
          <w:sz w:val="28"/>
          <w:szCs w:val="28"/>
          <w:lang w:val="uk-UA"/>
        </w:rPr>
      </w:pPr>
      <w:r w:rsidRPr="002C4490">
        <w:rPr>
          <w:i/>
          <w:sz w:val="28"/>
          <w:szCs w:val="28"/>
          <w:lang w:val="uk-UA"/>
        </w:rPr>
        <w:t xml:space="preserve">Харківський національний медичний університет, </w:t>
      </w:r>
    </w:p>
    <w:p w:rsidR="005B1521" w:rsidRPr="002C4490" w:rsidRDefault="005B1521" w:rsidP="005B1521">
      <w:pPr>
        <w:pStyle w:val="2"/>
        <w:spacing w:after="0" w:line="360" w:lineRule="auto"/>
        <w:ind w:left="0"/>
        <w:jc w:val="center"/>
        <w:rPr>
          <w:i/>
          <w:sz w:val="28"/>
          <w:szCs w:val="28"/>
          <w:lang w:val="uk-UA"/>
        </w:rPr>
      </w:pPr>
      <w:r w:rsidRPr="002C4490">
        <w:rPr>
          <w:i/>
          <w:sz w:val="28"/>
          <w:szCs w:val="28"/>
          <w:lang w:val="uk-UA"/>
        </w:rPr>
        <w:t>ка</w:t>
      </w:r>
      <w:bookmarkStart w:id="0" w:name="_GoBack"/>
      <w:bookmarkEnd w:id="0"/>
      <w:r w:rsidRPr="002C4490">
        <w:rPr>
          <w:i/>
          <w:sz w:val="28"/>
          <w:szCs w:val="28"/>
          <w:lang w:val="uk-UA"/>
        </w:rPr>
        <w:t>федра внутрішньої медицини №1, м. Харків, Україна</w:t>
      </w:r>
    </w:p>
    <w:p w:rsidR="00CC7B9F" w:rsidRPr="00CC7B9F" w:rsidRDefault="00CC7B9F" w:rsidP="005B1521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НЕАЛКОГОЛЬНА ЖИРОВА ХВОРОБА ПЕЧІНКИ – ГЕНДЕРНИЙ ФАКТОР</w:t>
      </w:r>
    </w:p>
    <w:p w:rsidR="000D46AB" w:rsidRDefault="005B0DF8" w:rsidP="005B1521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"/>
        </w:rPr>
      </w:pPr>
      <w:r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Актуальність: Неалкогольна жирова хвороба печінки (НАЖХП) – це </w:t>
      </w:r>
      <w:r w:rsidR="00E53E58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патологічний стан,</w:t>
      </w:r>
      <w:r w:rsidR="00826ED5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не пов'язаний зі зловживанням алкогольних напоїв,</w:t>
      </w:r>
      <w:r w:rsidR="00E53E58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який </w:t>
      </w:r>
      <w:r w:rsidR="004F0A61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характеризується надмірним </w:t>
      </w:r>
      <w:r w:rsidR="00541B69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накопиченням </w:t>
      </w:r>
      <w:r w:rsidR="00C93A74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тригліцеридів у гепатоцитах</w:t>
      </w:r>
      <w:r w:rsidR="008B49E3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. </w:t>
      </w:r>
      <w:r w:rsidR="00F86E40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Найбільш </w:t>
      </w:r>
      <w:r w:rsidR="005F4AAF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важка форма захворювання – неалкогольний </w:t>
      </w:r>
      <w:r w:rsidR="004223B7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стеатогепатит, </w:t>
      </w:r>
      <w:r w:rsidR="00471253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оскільки він</w:t>
      </w:r>
      <w:r w:rsidR="00265E4B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призводить до виникнення </w:t>
      </w:r>
      <w:r w:rsidR="00C9195B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гепатоц</w:t>
      </w:r>
      <w:r w:rsidR="00471253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елюлярної карциноми</w:t>
      </w:r>
      <w:r w:rsidR="00815433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. </w:t>
      </w:r>
      <w:r w:rsidR="00A43422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Збільшення рівня захворюваності на НАЖХП майже вдвічі за останні </w:t>
      </w:r>
      <w:r w:rsidR="00111AC0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десятиліття, а також часті випадки піздньої діагностики </w:t>
      </w:r>
      <w:r w:rsidR="00BD1B71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стали причинами підвищеної уваги до </w:t>
      </w:r>
      <w:r w:rsidR="00557126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нозології. </w:t>
      </w:r>
      <w:r w:rsidR="00596CAB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0827A2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клінічних дослідженнях часто виявляються дані щодо </w:t>
      </w:r>
      <w:r w:rsidR="00566477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гендер-залежних</w:t>
      </w:r>
      <w:r w:rsidR="00A05623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</w:t>
      </w:r>
      <w:r w:rsidR="00CC7B9F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особливостей</w:t>
      </w:r>
      <w:r w:rsidR="00A05623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</w:t>
      </w:r>
      <w:r w:rsidR="00566477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перебігу</w:t>
      </w:r>
      <w:r w:rsidR="00007F09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</w:t>
      </w:r>
      <w:r w:rsidR="007478FD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захворювання</w:t>
      </w:r>
      <w:r w:rsidR="009B43AF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.</w:t>
      </w:r>
      <w:r w:rsidR="003562DF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Вплив гендерних факторів</w:t>
      </w:r>
      <w:r w:rsidR="002B026E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на </w:t>
      </w:r>
      <w:r w:rsidR="003C05BB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розвиток</w:t>
      </w:r>
      <w:r w:rsidR="002B026E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НАЖХП </w:t>
      </w:r>
      <w:r w:rsidR="00084517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залишається невивченим,</w:t>
      </w:r>
      <w:r w:rsidR="005961A5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існують значні</w:t>
      </w:r>
      <w:r w:rsidR="00084517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</w:t>
      </w:r>
      <w:r w:rsidR="005861C0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розбіжності теорій </w:t>
      </w:r>
      <w:r w:rsidR="009927D2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у визначенні</w:t>
      </w:r>
      <w:r w:rsidR="005861C0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</w:t>
      </w:r>
      <w:r w:rsidR="005961A5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більшої</w:t>
      </w:r>
      <w:r w:rsidR="003C05BB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</w:t>
      </w:r>
      <w:r w:rsidR="005961A5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схильності</w:t>
      </w:r>
      <w:r w:rsidR="003C05BB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до виникнення</w:t>
      </w:r>
      <w:r w:rsidR="005861C0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та </w:t>
      </w:r>
      <w:r w:rsidR="003C05BB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важкого перебігу</w:t>
      </w:r>
      <w:r w:rsidR="005961A5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</w:t>
      </w:r>
      <w:r w:rsidR="00525B07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захворювання серед пацієнтів різної статі, а деякі автори не </w:t>
      </w:r>
      <w:r w:rsidR="00974AD3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знаходять </w:t>
      </w:r>
      <w:r w:rsidR="00CF5229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значного</w:t>
      </w:r>
      <w:r w:rsidR="00CD1DC9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впливу статевих ознак на клінічні особливості </w:t>
      </w:r>
      <w:r w:rsidR="001B45A6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НАЖХП.</w:t>
      </w:r>
    </w:p>
    <w:p w:rsidR="00356D11" w:rsidRPr="000D46AB" w:rsidRDefault="000D46AB" w:rsidP="005B1521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"/>
        </w:rPr>
      </w:pPr>
      <w:r>
        <w:rPr>
          <w:rFonts w:ascii="Times New Roman" w:hAnsi="Times New Roman" w:cs="Times New Roman"/>
          <w:sz w:val="28"/>
          <w:szCs w:val="28"/>
          <w:lang w:val=""/>
        </w:rPr>
        <w:t>Мета: В</w:t>
      </w:r>
      <w:r w:rsidR="00F86CB4" w:rsidRPr="000D46AB">
        <w:rPr>
          <w:rFonts w:ascii="Times New Roman" w:hAnsi="Times New Roman" w:cs="Times New Roman"/>
          <w:sz w:val="28"/>
          <w:szCs w:val="28"/>
          <w:lang w:val=""/>
        </w:rPr>
        <w:t xml:space="preserve">изначити гендерні особливості виникнення, </w:t>
      </w:r>
      <w:r w:rsidR="00657997" w:rsidRPr="000D46AB">
        <w:rPr>
          <w:rFonts w:ascii="Times New Roman" w:hAnsi="Times New Roman" w:cs="Times New Roman"/>
          <w:sz w:val="28"/>
          <w:szCs w:val="28"/>
          <w:lang w:val=""/>
        </w:rPr>
        <w:t>розвитку, клінічного перебігу</w:t>
      </w:r>
      <w:r w:rsidR="005B1521">
        <w:rPr>
          <w:rFonts w:ascii="Times New Roman" w:hAnsi="Times New Roman" w:cs="Times New Roman"/>
          <w:sz w:val="28"/>
          <w:szCs w:val="28"/>
          <w:lang w:val=""/>
        </w:rPr>
        <w:t>, д</w:t>
      </w:r>
      <w:r w:rsidR="005B152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1521" w:rsidRPr="005B1521">
        <w:rPr>
          <w:rFonts w:ascii="Times New Roman" w:hAnsi="Times New Roman" w:cs="Times New Roman"/>
          <w:sz w:val="28"/>
          <w:szCs w:val="28"/>
          <w:lang w:val=""/>
        </w:rPr>
        <w:t>агностики</w:t>
      </w:r>
      <w:r w:rsidR="00A42C5C" w:rsidRPr="000D46AB">
        <w:rPr>
          <w:rFonts w:ascii="Times New Roman" w:hAnsi="Times New Roman" w:cs="Times New Roman"/>
          <w:sz w:val="28"/>
          <w:szCs w:val="28"/>
          <w:lang w:val=""/>
        </w:rPr>
        <w:t xml:space="preserve"> </w:t>
      </w:r>
      <w:r w:rsidR="000C0198" w:rsidRPr="000D46AB">
        <w:rPr>
          <w:rFonts w:ascii="Times New Roman" w:hAnsi="Times New Roman" w:cs="Times New Roman"/>
          <w:sz w:val="28"/>
          <w:szCs w:val="28"/>
          <w:lang w:val=""/>
        </w:rPr>
        <w:t>нелкогольної жирової хвороби печінки та</w:t>
      </w:r>
      <w:r w:rsidR="00E07A6A" w:rsidRPr="000D46AB">
        <w:rPr>
          <w:rFonts w:ascii="Times New Roman" w:hAnsi="Times New Roman" w:cs="Times New Roman"/>
          <w:sz w:val="28"/>
          <w:szCs w:val="28"/>
          <w:lang w:val=""/>
        </w:rPr>
        <w:t xml:space="preserve"> оцінити</w:t>
      </w:r>
      <w:r w:rsidR="000C0198" w:rsidRPr="000D46AB">
        <w:rPr>
          <w:rFonts w:ascii="Times New Roman" w:hAnsi="Times New Roman" w:cs="Times New Roman"/>
          <w:sz w:val="28"/>
          <w:szCs w:val="28"/>
          <w:lang w:val=""/>
        </w:rPr>
        <w:t xml:space="preserve"> вплив статі на </w:t>
      </w:r>
      <w:r w:rsidR="00FF5D9B" w:rsidRPr="000D46AB">
        <w:rPr>
          <w:rFonts w:ascii="Times New Roman" w:hAnsi="Times New Roman" w:cs="Times New Roman"/>
          <w:sz w:val="28"/>
          <w:szCs w:val="28"/>
          <w:lang w:val=""/>
        </w:rPr>
        <w:t xml:space="preserve">важкість метаболічних змін у таких пацієнтів на </w:t>
      </w:r>
      <w:r w:rsidR="004B4B66" w:rsidRPr="000D46AB">
        <w:rPr>
          <w:rFonts w:ascii="Times New Roman" w:hAnsi="Times New Roman" w:cs="Times New Roman"/>
          <w:sz w:val="28"/>
          <w:szCs w:val="28"/>
          <w:lang w:val=""/>
        </w:rPr>
        <w:t>підставі вивчення даних відповідних клінічних досліджень.</w:t>
      </w:r>
    </w:p>
    <w:p w:rsidR="00CB2832" w:rsidRPr="00CC7B9F" w:rsidRDefault="000D46AB" w:rsidP="005B152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D46AB">
        <w:rPr>
          <w:rFonts w:ascii="Times New Roman" w:hAnsi="Times New Roman" w:cs="Times New Roman"/>
          <w:sz w:val="28"/>
          <w:szCs w:val="28"/>
          <w:lang w:val=""/>
        </w:rPr>
        <w:t xml:space="preserve">Результати: </w:t>
      </w:r>
      <w:r w:rsidR="009378D9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Дані досліджень минулих років свідчать, що серед пацієнтів з НАЖХП було більше чоловіків, однак у сьогоденні встановлено, що </w:t>
      </w:r>
      <w:r w:rsidR="009378D9">
        <w:rPr>
          <w:rFonts w:ascii="Times New Roman" w:hAnsi="Times New Roman" w:cs="Times New Roman"/>
          <w:sz w:val="28"/>
          <w:szCs w:val="28"/>
          <w:lang w:val=""/>
        </w:rPr>
        <w:t>60-75%</w:t>
      </w:r>
      <w:r w:rsidR="009378D9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 </w:t>
      </w:r>
      <w:r w:rsidR="009378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таких </w:t>
      </w:r>
      <w:r w:rsidR="009378D9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хворих</w:t>
      </w:r>
      <w:r w:rsidR="005B152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складають</w:t>
      </w:r>
      <w:r w:rsidR="009378D9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жінки в періоді перименопаузи.</w:t>
      </w:r>
      <w:r w:rsidR="00CB283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Однак у чоловіків з НАЖХП на 7-10 років раніше фіксуються ознаки </w:t>
      </w:r>
      <w:proofErr w:type="spellStart"/>
      <w:r w:rsidR="00CB2832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стеатогепатиту</w:t>
      </w:r>
      <w:proofErr w:type="spellEnd"/>
      <w:r w:rsidR="00CB283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B804E7" w:rsidRPr="000D46AB">
        <w:rPr>
          <w:rFonts w:ascii="Times New Roman" w:hAnsi="Times New Roman" w:cs="Times New Roman"/>
          <w:sz w:val="28"/>
          <w:szCs w:val="28"/>
          <w:shd w:val="clear" w:color="auto" w:fill="FFFFFF"/>
          <w:lang w:val=""/>
        </w:rPr>
        <w:t xml:space="preserve">Гендерні відмінності помітні </w:t>
      </w:r>
      <w:r w:rsid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вже</w:t>
      </w:r>
      <w:r w:rsidR="009378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</w:t>
      </w:r>
      <w:r w:rsidR="00B804E7" w:rsidRPr="000D46AB">
        <w:rPr>
          <w:rFonts w:ascii="Times New Roman" w:hAnsi="Times New Roman" w:cs="Times New Roman"/>
          <w:sz w:val="28"/>
          <w:szCs w:val="28"/>
          <w:shd w:val="clear" w:color="auto" w:fill="FFFFFF"/>
          <w:lang w:val=""/>
        </w:rPr>
        <w:t xml:space="preserve"> етапі </w:t>
      </w:r>
      <w:r w:rsidR="00C533D7" w:rsidRPr="000D46AB">
        <w:rPr>
          <w:rFonts w:ascii="Times New Roman" w:hAnsi="Times New Roman" w:cs="Times New Roman"/>
          <w:sz w:val="28"/>
          <w:szCs w:val="28"/>
          <w:shd w:val="clear" w:color="auto" w:fill="FFFFFF"/>
          <w:lang w:val=""/>
        </w:rPr>
        <w:t xml:space="preserve">виключення алкогольного стеатогепатозу: </w:t>
      </w:r>
      <w:r w:rsidR="00362334" w:rsidRPr="000D46AB">
        <w:rPr>
          <w:rFonts w:ascii="Times New Roman" w:hAnsi="Times New Roman" w:cs="Times New Roman"/>
          <w:sz w:val="28"/>
          <w:szCs w:val="28"/>
          <w:shd w:val="clear" w:color="auto" w:fill="FFFFFF"/>
          <w:lang w:val=""/>
        </w:rPr>
        <w:t xml:space="preserve">для жінок безпечною дозою </w:t>
      </w:r>
      <w:r w:rsidR="00A8159D" w:rsidRPr="000D46AB">
        <w:rPr>
          <w:rFonts w:ascii="Times New Roman" w:hAnsi="Times New Roman" w:cs="Times New Roman"/>
          <w:sz w:val="28"/>
          <w:szCs w:val="28"/>
          <w:shd w:val="clear" w:color="auto" w:fill="FFFFFF"/>
          <w:lang w:val=""/>
        </w:rPr>
        <w:t xml:space="preserve">вважається вживання </w:t>
      </w:r>
      <w:r w:rsidRPr="000D46AB">
        <w:rPr>
          <w:rFonts w:ascii="Times New Roman" w:hAnsi="Times New Roman" w:cs="Times New Roman"/>
          <w:sz w:val="28"/>
          <w:szCs w:val="28"/>
          <w:shd w:val="clear" w:color="auto" w:fill="FFFFFF"/>
          <w:lang w:val=""/>
        </w:rPr>
        <w:t xml:space="preserve">менше 20 г алкоголю в перерахуванні на чистий етанол </w:t>
      </w:r>
      <w:r w:rsidR="00A8159D" w:rsidRPr="000D46AB">
        <w:rPr>
          <w:rFonts w:ascii="Times New Roman" w:hAnsi="Times New Roman" w:cs="Times New Roman"/>
          <w:sz w:val="28"/>
          <w:szCs w:val="28"/>
          <w:shd w:val="clear" w:color="auto" w:fill="FFFFFF"/>
          <w:lang w:val=""/>
        </w:rPr>
        <w:t>на добу, у той час як для чоловіків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8159D" w:rsidRPr="000D46AB">
        <w:rPr>
          <w:rFonts w:ascii="Times New Roman" w:hAnsi="Times New Roman" w:cs="Times New Roman"/>
          <w:sz w:val="28"/>
          <w:szCs w:val="28"/>
          <w:shd w:val="clear" w:color="auto" w:fill="FFFFFF"/>
          <w:lang w:val=""/>
        </w:rPr>
        <w:t>40 г.</w:t>
      </w:r>
      <w:r w:rsidRPr="000D46AB">
        <w:rPr>
          <w:rFonts w:ascii="Times New Roman" w:hAnsi="Times New Roman" w:cs="Times New Roman"/>
          <w:sz w:val="28"/>
          <w:szCs w:val="28"/>
          <w:shd w:val="clear" w:color="auto" w:fill="FFFFFF"/>
          <w:lang w:val=""/>
        </w:rPr>
        <w:t xml:space="preserve"> </w:t>
      </w:r>
      <w:r w:rsidR="009378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Виявлено, що у групах пацієнтів з НАЖХП ведуть малоактивний спосіб життя </w:t>
      </w:r>
      <w:r w:rsidR="009378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приблизно 60% хворих жіночої статі та 40% </w:t>
      </w:r>
      <w:r w:rsidR="009378D9" w:rsidRPr="000D46AB">
        <w:rPr>
          <w:rFonts w:ascii="Times New Roman" w:hAnsi="Times New Roman" w:cs="Times New Roman"/>
          <w:color w:val="000000"/>
          <w:sz w:val="28"/>
          <w:szCs w:val="28"/>
          <w:lang w:val=""/>
        </w:rPr>
        <w:t>–</w:t>
      </w:r>
      <w:r w:rsidR="009378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чоловічої. </w:t>
      </w:r>
      <w:r w:rsidR="00CC7B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Порушення харчової поведінки</w:t>
      </w:r>
      <w:r w:rsidR="009378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виявляються у</w:t>
      </w:r>
      <w:r w:rsidR="00CC7B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60% обстежених хворих на НАЖХП</w:t>
      </w:r>
      <w:r w:rsid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CC7B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</w:t>
      </w:r>
      <w:r w:rsid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вони</w:t>
      </w:r>
      <w:r w:rsidR="009378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також </w:t>
      </w:r>
      <w:r w:rsidR="009378D9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відрізняються</w:t>
      </w:r>
      <w:r w:rsidR="00CC7B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378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для жінок більш характерний емоціогенний тип, а для чоловіків – </w:t>
      </w:r>
      <w:proofErr w:type="spellStart"/>
      <w:r w:rsidR="009378D9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екстернальний</w:t>
      </w:r>
      <w:proofErr w:type="spellEnd"/>
      <w:r w:rsidR="009378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="009378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Гендер</w:t>
      </w:r>
      <w:proofErr w:type="spellEnd"/>
      <w:r w:rsidR="009378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-залежними є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критерії встановлення абдомінального ожиріння</w:t>
      </w:r>
      <w:r w:rsidR="00CC7B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для жінок </w:t>
      </w:r>
      <w:r w:rsid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межу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вважа</w:t>
      </w:r>
      <w:r w:rsid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ють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83A1D" w:rsidRPr="00D83A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об'єм талії</w:t>
      </w:r>
      <w:r w:rsid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(ОТ) 80 см,</w:t>
      </w:r>
      <w:r w:rsidR="00D83A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чоловіків цей показник досягає 94 см. </w:t>
      </w:r>
      <w:r w:rsidR="00D83A1D">
        <w:rPr>
          <w:rFonts w:ascii="Times New Roman" w:hAnsi="Times New Roman" w:cs="Times New Roman"/>
          <w:sz w:val="28"/>
          <w:szCs w:val="28"/>
          <w:lang w:val="uk-UA"/>
        </w:rPr>
        <w:t xml:space="preserve">Ожиріння по ОТ виявляється в середньому у 95% жінок та 70% чоловіків з НАЖХП. Також у всіх дослідженнях серед груп пацієнтів з НАЖХП значення індексу </w:t>
      </w:r>
      <w:r w:rsidR="00D83A1D" w:rsidRPr="005B1521">
        <w:rPr>
          <w:rFonts w:ascii="Times New Roman" w:hAnsi="Times New Roman" w:cs="Times New Roman"/>
          <w:sz w:val="28"/>
          <w:szCs w:val="28"/>
          <w:lang w:val="uk-UA"/>
        </w:rPr>
        <w:t>маси тіла у жінок значно вищі. В цілому метаболічний синдром, печінков</w:t>
      </w:r>
      <w:r w:rsidR="00490A88" w:rsidRPr="005B1521">
        <w:rPr>
          <w:rFonts w:ascii="Times New Roman" w:hAnsi="Times New Roman" w:cs="Times New Roman"/>
          <w:sz w:val="28"/>
          <w:szCs w:val="28"/>
          <w:lang w:val="uk-UA"/>
        </w:rPr>
        <w:t>им проявом якого вважається НАЖ</w:t>
      </w:r>
      <w:r w:rsidR="00D83A1D" w:rsidRPr="005B1521">
        <w:rPr>
          <w:rFonts w:ascii="Times New Roman" w:hAnsi="Times New Roman" w:cs="Times New Roman"/>
          <w:sz w:val="28"/>
          <w:szCs w:val="28"/>
          <w:lang w:val="uk-UA"/>
        </w:rPr>
        <w:t xml:space="preserve">ХП, діагностується у 60% жінок та 30% чоловіків з неалкогольним </w:t>
      </w:r>
      <w:proofErr w:type="spellStart"/>
      <w:r w:rsidR="00D83A1D" w:rsidRPr="005B1521">
        <w:rPr>
          <w:rFonts w:ascii="Times New Roman" w:hAnsi="Times New Roman" w:cs="Times New Roman"/>
          <w:sz w:val="28"/>
          <w:szCs w:val="28"/>
          <w:lang w:val="uk-UA"/>
        </w:rPr>
        <w:t>стеатозом</w:t>
      </w:r>
      <w:proofErr w:type="spellEnd"/>
      <w:r w:rsidR="00D83A1D" w:rsidRPr="005B1521">
        <w:rPr>
          <w:rFonts w:ascii="Times New Roman" w:hAnsi="Times New Roman" w:cs="Times New Roman"/>
          <w:sz w:val="28"/>
          <w:szCs w:val="28"/>
          <w:lang w:val="uk-UA"/>
        </w:rPr>
        <w:t xml:space="preserve"> печінки. </w:t>
      </w:r>
      <w:r w:rsidR="009378D9" w:rsidRP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Особливості мають також нормативи </w:t>
      </w:r>
      <w:r w:rsidR="00CB2832" w:rsidRP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лабораторних та інструментальних</w:t>
      </w:r>
      <w:r w:rsidR="009378D9" w:rsidRP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методів дослідження: </w:t>
      </w:r>
      <w:r w:rsidR="00CB2832" w:rsidRP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високим ризиком розвитку метаболічного синдрому пов'язаний рівень холестерину </w:t>
      </w:r>
      <w:proofErr w:type="spellStart"/>
      <w:r w:rsidR="00CB2832" w:rsidRP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ліпопротеїнів</w:t>
      </w:r>
      <w:proofErr w:type="spellEnd"/>
      <w:r w:rsidR="00CB2832" w:rsidRPr="005B15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високої щільності менше </w:t>
      </w:r>
      <w:r w:rsidR="00CB2832" w:rsidRPr="005B1521">
        <w:rPr>
          <w:rFonts w:ascii="Times New Roman" w:hAnsi="Times New Roman" w:cs="Times New Roman"/>
          <w:sz w:val="28"/>
          <w:szCs w:val="28"/>
          <w:lang w:val=""/>
        </w:rPr>
        <w:t>1,29 ммоль/л у жін</w:t>
      </w:r>
      <w:proofErr w:type="spellStart"/>
      <w:r w:rsidR="00CB2832" w:rsidRPr="005B1521">
        <w:rPr>
          <w:rFonts w:ascii="Times New Roman" w:hAnsi="Times New Roman" w:cs="Times New Roman"/>
          <w:sz w:val="28"/>
          <w:szCs w:val="28"/>
          <w:lang w:val="uk-UA"/>
        </w:rPr>
        <w:t>ок</w:t>
      </w:r>
      <w:proofErr w:type="spellEnd"/>
      <w:r w:rsidR="00CB2832" w:rsidRPr="005B152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356D11" w:rsidRPr="005B1521">
        <w:rPr>
          <w:rFonts w:ascii="Times New Roman" w:hAnsi="Times New Roman" w:cs="Times New Roman"/>
          <w:sz w:val="28"/>
          <w:szCs w:val="28"/>
          <w:lang w:val=""/>
        </w:rPr>
        <w:t xml:space="preserve">1,03 ммоль/л у </w:t>
      </w:r>
      <w:r w:rsidR="00CB2832" w:rsidRPr="005B1521">
        <w:rPr>
          <w:rFonts w:ascii="Times New Roman" w:hAnsi="Times New Roman" w:cs="Times New Roman"/>
          <w:sz w:val="28"/>
          <w:szCs w:val="28"/>
          <w:lang w:val="uk-UA"/>
        </w:rPr>
        <w:t xml:space="preserve">чоловіків. Також у чоловіків з НАЖХП виявлений 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 xml:space="preserve">більший вміст альбуміну в крові </w:t>
      </w:r>
      <w:r w:rsidR="00CB2832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="00CB2832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="00CB2832">
        <w:rPr>
          <w:rFonts w:ascii="Times New Roman" w:hAnsi="Times New Roman" w:cs="Times New Roman"/>
          <w:sz w:val="28"/>
          <w:szCs w:val="28"/>
        </w:rPr>
        <w:t xml:space="preserve"> на 1,</w:t>
      </w:r>
      <w:r w:rsidR="005B1521">
        <w:rPr>
          <w:rFonts w:ascii="Times New Roman" w:hAnsi="Times New Roman" w:cs="Times New Roman"/>
          <w:sz w:val="28"/>
          <w:szCs w:val="28"/>
          <w:lang w:val="uk-UA"/>
        </w:rPr>
        <w:t>2-1,5</w:t>
      </w:r>
      <w:r w:rsidR="00CB2832">
        <w:rPr>
          <w:rFonts w:ascii="Times New Roman" w:hAnsi="Times New Roman" w:cs="Times New Roman"/>
          <w:sz w:val="28"/>
          <w:szCs w:val="28"/>
        </w:rPr>
        <w:t xml:space="preserve"> г</w:t>
      </w:r>
      <w:r w:rsidR="00CB2832" w:rsidRPr="000D46AB">
        <w:rPr>
          <w:rFonts w:ascii="Times New Roman" w:hAnsi="Times New Roman" w:cs="Times New Roman"/>
          <w:sz w:val="28"/>
          <w:szCs w:val="28"/>
        </w:rPr>
        <w:t>/л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B2832" w:rsidRPr="00CB2832">
        <w:rPr>
          <w:rFonts w:ascii="Times New Roman" w:hAnsi="Times New Roman" w:cs="Times New Roman"/>
          <w:sz w:val="28"/>
          <w:szCs w:val="28"/>
          <w:lang w:val="uk-UA"/>
        </w:rPr>
        <w:t xml:space="preserve">загального білка – на </w:t>
      </w:r>
      <w:r w:rsidR="005B1521">
        <w:rPr>
          <w:rFonts w:ascii="Times New Roman" w:hAnsi="Times New Roman" w:cs="Times New Roman"/>
          <w:sz w:val="28"/>
          <w:szCs w:val="28"/>
          <w:lang w:val="uk-UA"/>
        </w:rPr>
        <w:t xml:space="preserve">1,5-2 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B2832" w:rsidRPr="00CB2832">
        <w:rPr>
          <w:rFonts w:ascii="Times New Roman" w:hAnsi="Times New Roman" w:cs="Times New Roman"/>
          <w:sz w:val="28"/>
          <w:szCs w:val="28"/>
          <w:lang w:val="uk-UA"/>
        </w:rPr>
        <w:t>/л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>, креатиніну – на 13-20</w:t>
      </w:r>
      <w:r w:rsidR="00CB2832" w:rsidRPr="00CB2832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 xml:space="preserve">, а активність амінотрансфераз у них вище на 45-56% в порівнянні з жінками. Також у чоловіків фіксується менший вміст загального </w:t>
      </w:r>
      <w:proofErr w:type="spellStart"/>
      <w:r w:rsidR="00CB2832">
        <w:rPr>
          <w:rFonts w:ascii="Times New Roman" w:hAnsi="Times New Roman" w:cs="Times New Roman"/>
          <w:sz w:val="28"/>
          <w:szCs w:val="28"/>
          <w:lang w:val="uk-UA"/>
        </w:rPr>
        <w:t>холестеролу</w:t>
      </w:r>
      <w:proofErr w:type="spellEnd"/>
      <w:r w:rsidR="00CB2832">
        <w:rPr>
          <w:rFonts w:ascii="Times New Roman" w:hAnsi="Times New Roman" w:cs="Times New Roman"/>
          <w:sz w:val="28"/>
          <w:szCs w:val="28"/>
          <w:lang w:val="uk-UA"/>
        </w:rPr>
        <w:t xml:space="preserve"> крові</w:t>
      </w:r>
      <w:r w:rsidR="00596CA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CA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>ля чоловіків характерні більші розміри правої частки печінки –</w:t>
      </w:r>
      <w:r w:rsidR="00596C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065772">
        <w:rPr>
          <w:rFonts w:ascii="Times New Roman" w:hAnsi="Times New Roman" w:cs="Times New Roman"/>
          <w:sz w:val="28"/>
          <w:szCs w:val="28"/>
          <w:lang w:val="uk-UA"/>
        </w:rPr>
        <w:t>вертикальний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 xml:space="preserve"> розмір </w:t>
      </w:r>
      <w:r w:rsidR="005B1521">
        <w:rPr>
          <w:rFonts w:ascii="Times New Roman" w:hAnsi="Times New Roman" w:cs="Times New Roman"/>
          <w:sz w:val="28"/>
          <w:szCs w:val="28"/>
          <w:lang w:val="uk-UA"/>
        </w:rPr>
        <w:t>на 5-8</w:t>
      </w:r>
      <w:r w:rsidR="00065772">
        <w:rPr>
          <w:rFonts w:ascii="Times New Roman" w:hAnsi="Times New Roman" w:cs="Times New Roman"/>
          <w:sz w:val="28"/>
          <w:szCs w:val="28"/>
          <w:lang w:val="uk-UA"/>
        </w:rPr>
        <w:t xml:space="preserve"> мм 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 xml:space="preserve">перевищує </w:t>
      </w:r>
      <w:r w:rsidR="00065772">
        <w:rPr>
          <w:rFonts w:ascii="Times New Roman" w:hAnsi="Times New Roman" w:cs="Times New Roman"/>
          <w:sz w:val="28"/>
          <w:szCs w:val="28"/>
          <w:lang w:val="uk-UA"/>
        </w:rPr>
        <w:t>відповідний жіночий</w:t>
      </w:r>
      <w:r w:rsidR="00065772" w:rsidRPr="000657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772">
        <w:rPr>
          <w:rFonts w:ascii="Times New Roman" w:hAnsi="Times New Roman" w:cs="Times New Roman"/>
          <w:sz w:val="28"/>
          <w:szCs w:val="28"/>
          <w:lang w:val="uk-UA"/>
        </w:rPr>
        <w:t>показник</w:t>
      </w:r>
      <w:r w:rsidR="00CB28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22F2D" w:rsidRPr="00CC7B9F" w:rsidRDefault="00065772" w:rsidP="005B1521">
      <w:pPr>
        <w:tabs>
          <w:tab w:val="left" w:pos="262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Висновки: Таким чином, жінки, особливо в період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перименопаузи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більш схильні до розвитку НАЖХП через особливості метаболічних процесів та більш значущий вплив факторів ризику розвитку даного захворювання. Однак у чоловіків відзначається вища активність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біомаркерів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цитолітичного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інтоксикаційного синдромів, </w:t>
      </w:r>
      <w:r w:rsidR="005B1521">
        <w:rPr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виражена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гепатомегалія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Вірогідно, що ці особливості </w:t>
      </w:r>
      <w:r w:rsidR="00CC7B9F">
        <w:rPr>
          <w:rFonts w:ascii="Times New Roman" w:hAnsi="Times New Roman" w:cs="Times New Roman"/>
          <w:sz w:val="28"/>
          <w:szCs w:val="28"/>
          <w:lang w:val="uk-UA"/>
        </w:rPr>
        <w:t xml:space="preserve">призводять до ранньої маніфестації НАЖХП, </w:t>
      </w:r>
      <w:proofErr w:type="spellStart"/>
      <w:r w:rsidR="00CC7B9F">
        <w:rPr>
          <w:rFonts w:ascii="Times New Roman" w:hAnsi="Times New Roman" w:cs="Times New Roman"/>
          <w:sz w:val="28"/>
          <w:szCs w:val="28"/>
          <w:lang w:val="uk-UA"/>
        </w:rPr>
        <w:t>шкидкого</w:t>
      </w:r>
      <w:proofErr w:type="spellEnd"/>
      <w:r w:rsidR="00CC7B9F">
        <w:rPr>
          <w:rFonts w:ascii="Times New Roman" w:hAnsi="Times New Roman" w:cs="Times New Roman"/>
          <w:sz w:val="28"/>
          <w:szCs w:val="28"/>
          <w:lang w:val="uk-UA"/>
        </w:rPr>
        <w:t xml:space="preserve"> розвитку </w:t>
      </w:r>
      <w:proofErr w:type="spellStart"/>
      <w:r w:rsidR="00CC7B9F">
        <w:rPr>
          <w:rFonts w:ascii="Times New Roman" w:hAnsi="Times New Roman" w:cs="Times New Roman"/>
          <w:sz w:val="28"/>
          <w:szCs w:val="28"/>
          <w:lang w:val="uk-UA"/>
        </w:rPr>
        <w:t>стеатозу</w:t>
      </w:r>
      <w:proofErr w:type="spellEnd"/>
      <w:r w:rsidR="00CC7B9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CC7B9F">
        <w:rPr>
          <w:rFonts w:ascii="Times New Roman" w:hAnsi="Times New Roman" w:cs="Times New Roman"/>
          <w:sz w:val="28"/>
          <w:szCs w:val="28"/>
          <w:lang w:val="uk-UA"/>
        </w:rPr>
        <w:t>стеатогепатиту</w:t>
      </w:r>
      <w:proofErr w:type="spellEnd"/>
      <w:r w:rsidR="00CC7B9F">
        <w:rPr>
          <w:rFonts w:ascii="Times New Roman" w:hAnsi="Times New Roman" w:cs="Times New Roman"/>
          <w:sz w:val="28"/>
          <w:szCs w:val="28"/>
          <w:lang w:val="uk-UA"/>
        </w:rPr>
        <w:t>, а також агресивного перебігу захворювання</w:t>
      </w:r>
      <w:r w:rsidR="005B1521">
        <w:rPr>
          <w:rFonts w:ascii="Times New Roman" w:hAnsi="Times New Roman" w:cs="Times New Roman"/>
          <w:sz w:val="28"/>
          <w:szCs w:val="28"/>
          <w:lang w:val="uk-UA"/>
        </w:rPr>
        <w:t xml:space="preserve"> у пацієнтів чоловічої статі</w:t>
      </w:r>
      <w:r w:rsidR="00CC7B9F">
        <w:rPr>
          <w:rFonts w:ascii="Times New Roman" w:hAnsi="Times New Roman" w:cs="Times New Roman"/>
          <w:sz w:val="28"/>
          <w:szCs w:val="28"/>
          <w:lang w:val="uk-UA"/>
        </w:rPr>
        <w:t>. Важливо враховувати гендерні розбіжності під час встановлення діагнозу НАЖХП, визначення лікувальної тактики</w:t>
      </w:r>
      <w:r w:rsidR="005B1521">
        <w:rPr>
          <w:rFonts w:ascii="Times New Roman" w:hAnsi="Times New Roman" w:cs="Times New Roman"/>
          <w:sz w:val="28"/>
          <w:szCs w:val="28"/>
          <w:lang w:val="uk-UA"/>
        </w:rPr>
        <w:t>, оцінки важкості</w:t>
      </w:r>
      <w:r w:rsidR="00CC7B9F">
        <w:rPr>
          <w:rFonts w:ascii="Times New Roman" w:hAnsi="Times New Roman" w:cs="Times New Roman"/>
          <w:sz w:val="28"/>
          <w:szCs w:val="28"/>
          <w:lang w:val="uk-UA"/>
        </w:rPr>
        <w:t xml:space="preserve"> та прогнозування перебігу патології. </w:t>
      </w:r>
    </w:p>
    <w:sectPr w:rsidR="00D22F2D" w:rsidRPr="00CC7B9F" w:rsidSect="000D46A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FFF"/>
    <w:rsid w:val="00007F09"/>
    <w:rsid w:val="00065772"/>
    <w:rsid w:val="000827A2"/>
    <w:rsid w:val="00084517"/>
    <w:rsid w:val="000C0198"/>
    <w:rsid w:val="000D29E1"/>
    <w:rsid w:val="000D46AB"/>
    <w:rsid w:val="00111AC0"/>
    <w:rsid w:val="001B45A6"/>
    <w:rsid w:val="00212916"/>
    <w:rsid w:val="00265E4B"/>
    <w:rsid w:val="002B026E"/>
    <w:rsid w:val="002F6FFF"/>
    <w:rsid w:val="003562DF"/>
    <w:rsid w:val="00356D11"/>
    <w:rsid w:val="00362334"/>
    <w:rsid w:val="003C05BB"/>
    <w:rsid w:val="004223B7"/>
    <w:rsid w:val="00460AC6"/>
    <w:rsid w:val="004674C9"/>
    <w:rsid w:val="00471253"/>
    <w:rsid w:val="004764AA"/>
    <w:rsid w:val="00490A88"/>
    <w:rsid w:val="004B4B66"/>
    <w:rsid w:val="004B5877"/>
    <w:rsid w:val="004F0A61"/>
    <w:rsid w:val="005034FC"/>
    <w:rsid w:val="00525B07"/>
    <w:rsid w:val="00541B69"/>
    <w:rsid w:val="00557126"/>
    <w:rsid w:val="00566477"/>
    <w:rsid w:val="00567AEC"/>
    <w:rsid w:val="005861C0"/>
    <w:rsid w:val="005961A5"/>
    <w:rsid w:val="00596CAB"/>
    <w:rsid w:val="005A0212"/>
    <w:rsid w:val="005A43D8"/>
    <w:rsid w:val="005B0DF8"/>
    <w:rsid w:val="005B1521"/>
    <w:rsid w:val="005F4AAF"/>
    <w:rsid w:val="00603D51"/>
    <w:rsid w:val="00657997"/>
    <w:rsid w:val="00666EDA"/>
    <w:rsid w:val="00687097"/>
    <w:rsid w:val="006F3550"/>
    <w:rsid w:val="007478FD"/>
    <w:rsid w:val="007823C5"/>
    <w:rsid w:val="007A66A8"/>
    <w:rsid w:val="007B6232"/>
    <w:rsid w:val="007D4DD0"/>
    <w:rsid w:val="007E691B"/>
    <w:rsid w:val="00815433"/>
    <w:rsid w:val="00826ED5"/>
    <w:rsid w:val="008769A7"/>
    <w:rsid w:val="008A0092"/>
    <w:rsid w:val="008B49E3"/>
    <w:rsid w:val="009378D9"/>
    <w:rsid w:val="00974AD3"/>
    <w:rsid w:val="009927D2"/>
    <w:rsid w:val="009B43AF"/>
    <w:rsid w:val="00A05623"/>
    <w:rsid w:val="00A42C5C"/>
    <w:rsid w:val="00A43422"/>
    <w:rsid w:val="00A8159D"/>
    <w:rsid w:val="00B531CF"/>
    <w:rsid w:val="00B67C77"/>
    <w:rsid w:val="00B804E7"/>
    <w:rsid w:val="00BD05AD"/>
    <w:rsid w:val="00BD1B71"/>
    <w:rsid w:val="00BF7197"/>
    <w:rsid w:val="00C23835"/>
    <w:rsid w:val="00C240EE"/>
    <w:rsid w:val="00C27961"/>
    <w:rsid w:val="00C31446"/>
    <w:rsid w:val="00C533D7"/>
    <w:rsid w:val="00C83ADC"/>
    <w:rsid w:val="00C9195B"/>
    <w:rsid w:val="00C93A74"/>
    <w:rsid w:val="00CB2832"/>
    <w:rsid w:val="00CC7B9F"/>
    <w:rsid w:val="00CD1DC9"/>
    <w:rsid w:val="00CF5229"/>
    <w:rsid w:val="00D15E6A"/>
    <w:rsid w:val="00D22F2D"/>
    <w:rsid w:val="00D83A1D"/>
    <w:rsid w:val="00D91600"/>
    <w:rsid w:val="00DC435F"/>
    <w:rsid w:val="00E07A6A"/>
    <w:rsid w:val="00E53E58"/>
    <w:rsid w:val="00E67233"/>
    <w:rsid w:val="00E712B6"/>
    <w:rsid w:val="00EA6240"/>
    <w:rsid w:val="00EF12DD"/>
    <w:rsid w:val="00F86CB4"/>
    <w:rsid w:val="00F86E40"/>
    <w:rsid w:val="00FF5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6CE51"/>
  <w15:chartTrackingRefBased/>
  <w15:docId w15:val="{EF53E1D1-EEA6-4F2A-B4BF-DDC909CBD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F6F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F6FFF"/>
    <w:rPr>
      <w:b/>
      <w:bCs/>
    </w:rPr>
  </w:style>
  <w:style w:type="paragraph" w:customStyle="1" w:styleId="Pa12">
    <w:name w:val="Pa12"/>
    <w:basedOn w:val="a"/>
    <w:next w:val="a"/>
    <w:uiPriority w:val="99"/>
    <w:rsid w:val="00C27961"/>
    <w:pPr>
      <w:autoSpaceDE w:val="0"/>
      <w:autoSpaceDN w:val="0"/>
      <w:adjustRightInd w:val="0"/>
      <w:spacing w:after="0" w:line="181" w:lineRule="atLeast"/>
    </w:pPr>
    <w:rPr>
      <w:rFonts w:ascii="Arial" w:hAnsi="Arial" w:cs="Arial"/>
      <w:sz w:val="24"/>
      <w:szCs w:val="24"/>
    </w:rPr>
  </w:style>
  <w:style w:type="paragraph" w:styleId="2">
    <w:name w:val="Body Text Indent 2"/>
    <w:basedOn w:val="a"/>
    <w:link w:val="20"/>
    <w:rsid w:val="005B1521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5B152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03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1DC617-93C6-4727-82A7-F9C8476D7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612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</dc:creator>
  <cp:keywords/>
  <dc:description/>
  <cp:lastModifiedBy>Анастасия</cp:lastModifiedBy>
  <cp:revision>2</cp:revision>
  <dcterms:created xsi:type="dcterms:W3CDTF">2019-03-18T06:35:00Z</dcterms:created>
  <dcterms:modified xsi:type="dcterms:W3CDTF">2019-03-18T06:35:00Z</dcterms:modified>
</cp:coreProperties>
</file>